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8E203B">
      <w:pPr>
        <w:divId w:val="640884401"/>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jc w:val="center"/>
        <w:divId w:val="281376789"/>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divId w:val="281376789"/>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8E203B">
      <w:pPr>
        <w:spacing w:before="60" w:after="60"/>
        <w:divId w:val="281376789"/>
        <w:rPr>
          <w:rFonts w:ascii="Times New Roman" w:hAnsi="Times New Roman" w:cs="Times New Roman"/>
          <w:sz w:val="20"/>
          <w:szCs w:val="20"/>
        </w:rPr>
      </w:pPr>
      <w:r>
        <w:rPr>
          <w:rFonts w:ascii="Times New Roman" w:hAnsi="Times New Roman" w:cs="Times New Roman"/>
          <w:sz w:val="20"/>
          <w:szCs w:val="20"/>
        </w:rPr>
        <w:pict>
          <v:rect id="_x0000_i1025" style="width:415.3pt;height:2.25pt" o:hralign="center" o:hrstd="t" o:hrnoshade="t" o:hr="t" fillcolor="black" stroked="f"/>
        </w:pict>
      </w:r>
    </w:p>
    <w:p w:rsidR="00000000" w:rsidRDefault="008E203B">
      <w:pPr>
        <w:spacing w:after="60"/>
        <w:divId w:val="281376789"/>
        <w:rPr>
          <w:rFonts w:ascii="Times New Roman" w:hAnsi="Times New Roman" w:cs="Times New Roman"/>
          <w:sz w:val="20"/>
          <w:szCs w:val="20"/>
        </w:rPr>
      </w:pPr>
      <w:r>
        <w:rPr>
          <w:rFonts w:ascii="Times New Roman" w:hAnsi="Times New Roman" w:cs="Times New Roman"/>
          <w:sz w:val="20"/>
          <w:szCs w:val="20"/>
        </w:rPr>
        <w:pict>
          <v:rect id="_x0000_i1026" style="width:415.3pt;height:.75pt" o:hralign="center" o:hrstd="t" o:hrnoshade="t" o:hr="t" fillcolor="black" stroked="f"/>
        </w:pict>
      </w:r>
    </w:p>
    <w:p w:rsidR="00000000" w:rsidRDefault="008E203B">
      <w:pPr>
        <w:pStyle w:val="a3"/>
        <w:spacing w:before="0" w:beforeAutospacing="0" w:after="0" w:afterAutospacing="0"/>
        <w:jc w:val="center"/>
        <w:divId w:val="281376789"/>
        <w:rPr>
          <w:rFonts w:ascii="Times New Roman" w:hAnsi="Times New Roman" w:cs="Times New Roman"/>
          <w:sz w:val="20"/>
          <w:szCs w:val="20"/>
        </w:rPr>
      </w:pPr>
      <w:r>
        <w:rPr>
          <w:rFonts w:ascii="Times New Roman" w:hAnsi="Times New Roman" w:cs="Times New Roman"/>
          <w:b/>
          <w:bCs/>
          <w:sz w:val="20"/>
          <w:szCs w:val="20"/>
        </w:rPr>
        <w:t> </w:t>
      </w:r>
    </w:p>
    <w:p w:rsidR="00000000" w:rsidRDefault="008E203B">
      <w:pPr>
        <w:pStyle w:val="a3"/>
        <w:spacing w:before="0" w:beforeAutospacing="0" w:after="0" w:afterAutospacing="0"/>
        <w:jc w:val="center"/>
        <w:divId w:val="281376789"/>
        <w:rPr>
          <w:rFonts w:ascii="Times New Roman" w:hAnsi="Times New Roman" w:cs="Times New Roman"/>
          <w:sz w:val="20"/>
          <w:szCs w:val="20"/>
        </w:rPr>
      </w:pPr>
      <w:r>
        <w:rPr>
          <w:rFonts w:ascii="Times New Roman" w:hAnsi="Times New Roman" w:cs="Times New Roman"/>
          <w:b/>
          <w:bCs/>
          <w:sz w:val="20"/>
          <w:szCs w:val="20"/>
        </w:rPr>
        <w:t>UNITED STATES</w:t>
      </w:r>
    </w:p>
    <w:p w:rsidR="00000000" w:rsidRDefault="008E203B">
      <w:pPr>
        <w:pStyle w:val="a3"/>
        <w:spacing w:before="0" w:beforeAutospacing="0" w:after="0" w:afterAutospacing="0"/>
        <w:jc w:val="center"/>
        <w:divId w:val="281376789"/>
        <w:rPr>
          <w:rFonts w:ascii="Times New Roman" w:hAnsi="Times New Roman" w:cs="Times New Roman"/>
          <w:sz w:val="20"/>
          <w:szCs w:val="20"/>
        </w:rPr>
      </w:pPr>
      <w:r>
        <w:rPr>
          <w:rFonts w:ascii="Times New Roman" w:hAnsi="Times New Roman" w:cs="Times New Roman"/>
          <w:b/>
          <w:bCs/>
          <w:sz w:val="20"/>
          <w:szCs w:val="20"/>
        </w:rPr>
        <w:t>SECURITIES AND EXCHANGE COMMISSION</w:t>
      </w:r>
    </w:p>
    <w:p w:rsidR="00000000" w:rsidRDefault="008E203B">
      <w:pPr>
        <w:pStyle w:val="a3"/>
        <w:spacing w:before="0" w:beforeAutospacing="0" w:after="0" w:afterAutospacing="0"/>
        <w:jc w:val="center"/>
        <w:divId w:val="281376789"/>
        <w:rPr>
          <w:rFonts w:ascii="Times New Roman" w:hAnsi="Times New Roman" w:cs="Times New Roman"/>
          <w:sz w:val="20"/>
          <w:szCs w:val="20"/>
        </w:rPr>
      </w:pPr>
      <w:r>
        <w:rPr>
          <w:rFonts w:ascii="Times New Roman" w:hAnsi="Times New Roman" w:cs="Times New Roman"/>
          <w:b/>
          <w:bCs/>
          <w:sz w:val="20"/>
          <w:szCs w:val="20"/>
        </w:rPr>
        <w:t>Washington, D.C.  20549</w:t>
      </w:r>
    </w:p>
    <w:p w:rsidR="00000000" w:rsidRDefault="008E203B">
      <w:pPr>
        <w:pStyle w:val="a3"/>
        <w:spacing w:before="0" w:beforeAutospacing="0" w:after="0" w:afterAutospacing="0"/>
        <w:jc w:val="center"/>
        <w:divId w:val="281376789"/>
        <w:rPr>
          <w:rFonts w:ascii="Times New Roman" w:hAnsi="Times New Roman" w:cs="Times New Roman"/>
          <w:sz w:val="20"/>
          <w:szCs w:val="20"/>
        </w:rPr>
      </w:pPr>
      <w:r>
        <w:rPr>
          <w:rFonts w:ascii="Times New Roman" w:hAnsi="Times New Roman" w:cs="Times New Roman"/>
          <w:b/>
          <w:bCs/>
          <w:sz w:val="20"/>
          <w:szCs w:val="20"/>
        </w:rPr>
        <w:t> </w:t>
      </w:r>
    </w:p>
    <w:p w:rsidR="00000000" w:rsidRDefault="008E203B">
      <w:pPr>
        <w:pStyle w:val="a3"/>
        <w:spacing w:before="0" w:beforeAutospacing="0" w:after="0" w:afterAutospacing="0"/>
        <w:jc w:val="center"/>
        <w:divId w:val="281376789"/>
        <w:rPr>
          <w:rFonts w:ascii="Times New Roman" w:hAnsi="Times New Roman" w:cs="Times New Roman"/>
        </w:rPr>
      </w:pPr>
      <w:r>
        <w:rPr>
          <w:rFonts w:ascii="Times New Roman" w:hAnsi="Times New Roman" w:cs="Times New Roman"/>
          <w:b/>
          <w:bCs/>
        </w:rPr>
        <w:t>FORM 10-Q</w:t>
      </w:r>
    </w:p>
    <w:p w:rsidR="00000000" w:rsidRDefault="008E203B">
      <w:pPr>
        <w:pStyle w:val="a3"/>
        <w:spacing w:before="0" w:beforeAutospacing="0" w:after="0" w:afterAutospacing="0"/>
        <w:divId w:val="281376789"/>
        <w:rPr>
          <w:rFonts w:ascii="Times New Roman" w:hAnsi="Times New Roman" w:cs="Times New Roman"/>
          <w:sz w:val="20"/>
          <w:szCs w:val="20"/>
        </w:rPr>
      </w:pPr>
      <w:r>
        <w:rPr>
          <w:rFonts w:ascii="Times New Roman" w:hAnsi="Times New Roman" w:cs="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7586"/>
      </w:tblGrid>
      <w:tr w:rsidR="00000000">
        <w:trPr>
          <w:divId w:val="281376789"/>
          <w:tblCellSpacing w:w="0" w:type="dxa"/>
        </w:trPr>
        <w:tc>
          <w:tcPr>
            <w:tcW w:w="720" w:type="dxa"/>
            <w:hideMark/>
          </w:tcPr>
          <w:p w:rsidR="00000000" w:rsidRDefault="008E203B">
            <w:pPr>
              <w:pStyle w:val="a3"/>
              <w:spacing w:before="0" w:beforeAutospacing="0" w:after="0" w:afterAutospacing="0"/>
              <w:rPr>
                <w:rFonts w:ascii="Times New Roman" w:hAnsi="Times New Roman" w:cs="Times New Roman"/>
                <w:sz w:val="20"/>
                <w:szCs w:val="20"/>
              </w:rPr>
            </w:pPr>
            <w:r>
              <w:rPr>
                <w:rFonts w:ascii="Segoe UI Symbol" w:hAnsi="Segoe UI Symbol" w:cs="Segoe UI Symbol"/>
                <w:b/>
                <w:bCs/>
                <w:sz w:val="20"/>
                <w:szCs w:val="20"/>
              </w:rPr>
              <w:t>☒</w:t>
            </w:r>
          </w:p>
        </w:tc>
        <w:tc>
          <w:tcPr>
            <w:tcW w:w="0" w:type="auto"/>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QUARTERLY REPORT PURSUANT TO SECTION 13 OR 15(d) OF THE SECURITIES EXCHANGE ACT OF 1934</w:t>
            </w:r>
          </w:p>
        </w:tc>
      </w:tr>
    </w:tbl>
    <w:p w:rsidR="00000000" w:rsidRDefault="008E203B">
      <w:pPr>
        <w:pStyle w:val="a3"/>
        <w:spacing w:before="0" w:beforeAutospacing="0" w:after="0" w:afterAutospacing="0"/>
        <w:divId w:val="281376789"/>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jc w:val="center"/>
        <w:divId w:val="281376789"/>
        <w:rPr>
          <w:rFonts w:ascii="Times New Roman" w:hAnsi="Times New Roman" w:cs="Times New Roman"/>
          <w:sz w:val="20"/>
          <w:szCs w:val="20"/>
        </w:rPr>
      </w:pPr>
      <w:r>
        <w:rPr>
          <w:rFonts w:ascii="Times New Roman" w:hAnsi="Times New Roman" w:cs="Times New Roman"/>
          <w:b/>
          <w:bCs/>
          <w:sz w:val="20"/>
          <w:szCs w:val="20"/>
        </w:rPr>
        <w:t>For the quarterly period ended March 3</w:t>
      </w:r>
      <w:r>
        <w:rPr>
          <w:rFonts w:ascii="Times New Roman" w:hAnsi="Times New Roman" w:cs="Times New Roman"/>
          <w:b/>
          <w:bCs/>
          <w:sz w:val="20"/>
          <w:szCs w:val="20"/>
        </w:rPr>
        <w:t>1, 2019</w:t>
      </w:r>
    </w:p>
    <w:p w:rsidR="00000000" w:rsidRDefault="008E203B">
      <w:pPr>
        <w:pStyle w:val="a3"/>
        <w:spacing w:before="0" w:beforeAutospacing="0" w:after="0" w:afterAutospacing="0"/>
        <w:divId w:val="281376789"/>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jc w:val="center"/>
        <w:divId w:val="281376789"/>
        <w:rPr>
          <w:rFonts w:ascii="Times New Roman" w:hAnsi="Times New Roman" w:cs="Times New Roman"/>
          <w:sz w:val="20"/>
          <w:szCs w:val="20"/>
        </w:rPr>
      </w:pPr>
      <w:r>
        <w:rPr>
          <w:rFonts w:ascii="Times New Roman" w:hAnsi="Times New Roman" w:cs="Times New Roman"/>
          <w:sz w:val="20"/>
          <w:szCs w:val="20"/>
        </w:rPr>
        <w:t>or</w:t>
      </w:r>
    </w:p>
    <w:p w:rsidR="00000000" w:rsidRDefault="008E203B">
      <w:pPr>
        <w:pStyle w:val="a3"/>
        <w:spacing w:before="0" w:beforeAutospacing="0" w:after="0" w:afterAutospacing="0"/>
        <w:divId w:val="281376789"/>
        <w:rPr>
          <w:rFonts w:ascii="Times New Roman" w:hAnsi="Times New Roman" w:cs="Times New Roman"/>
          <w:sz w:val="20"/>
          <w:szCs w:val="20"/>
        </w:rPr>
      </w:pPr>
      <w:r>
        <w:rPr>
          <w:rFonts w:ascii="Times New Roman" w:hAnsi="Times New Roman" w:cs="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7586"/>
      </w:tblGrid>
      <w:tr w:rsidR="00000000">
        <w:trPr>
          <w:divId w:val="281376789"/>
          <w:tblCellSpacing w:w="0" w:type="dxa"/>
        </w:trPr>
        <w:tc>
          <w:tcPr>
            <w:tcW w:w="720" w:type="dxa"/>
            <w:hideMark/>
          </w:tcPr>
          <w:p w:rsidR="00000000" w:rsidRDefault="008E203B">
            <w:pPr>
              <w:pStyle w:val="a3"/>
              <w:spacing w:before="0" w:beforeAutospacing="0" w:after="0" w:afterAutospacing="0"/>
              <w:rPr>
                <w:rFonts w:ascii="Times New Roman" w:hAnsi="Times New Roman" w:cs="Times New Roman"/>
                <w:sz w:val="20"/>
                <w:szCs w:val="20"/>
              </w:rPr>
            </w:pPr>
            <w:r>
              <w:rPr>
                <w:rFonts w:ascii="Segoe UI Symbol" w:hAnsi="Segoe UI Symbol" w:cs="Segoe UI Symbol"/>
                <w:b/>
                <w:bCs/>
                <w:sz w:val="20"/>
                <w:szCs w:val="20"/>
              </w:rPr>
              <w:t>☐</w:t>
            </w:r>
          </w:p>
        </w:tc>
        <w:tc>
          <w:tcPr>
            <w:tcW w:w="0" w:type="auto"/>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TRANSITION REPORT PURSUANT TO SECTION 13 OR 15(d) OF THE SECURITIES EXCHANGE ACT OF 1934</w:t>
            </w:r>
          </w:p>
        </w:tc>
      </w:tr>
    </w:tbl>
    <w:p w:rsidR="00000000" w:rsidRDefault="008E203B">
      <w:pPr>
        <w:pStyle w:val="a3"/>
        <w:spacing w:before="0" w:beforeAutospacing="0" w:after="0" w:afterAutospacing="0"/>
        <w:divId w:val="281376789"/>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jc w:val="center"/>
        <w:divId w:val="281376789"/>
        <w:rPr>
          <w:rFonts w:ascii="Times New Roman" w:hAnsi="Times New Roman" w:cs="Times New Roman"/>
          <w:sz w:val="20"/>
          <w:szCs w:val="20"/>
        </w:rPr>
      </w:pPr>
      <w:r>
        <w:rPr>
          <w:rFonts w:ascii="Times New Roman" w:hAnsi="Times New Roman" w:cs="Times New Roman"/>
          <w:sz w:val="20"/>
          <w:szCs w:val="20"/>
        </w:rPr>
        <w:t xml:space="preserve">For the transition period from </w:t>
      </w:r>
      <w:r>
        <w:rPr>
          <w:rFonts w:ascii="Times New Roman" w:hAnsi="Times New Roman" w:cs="Times New Roman"/>
          <w:sz w:val="20"/>
          <w:szCs w:val="20"/>
          <w:u w:val="single"/>
        </w:rPr>
        <w:t>               </w:t>
      </w:r>
      <w:r>
        <w:rPr>
          <w:rFonts w:ascii="Times New Roman" w:hAnsi="Times New Roman" w:cs="Times New Roman"/>
          <w:sz w:val="20"/>
          <w:szCs w:val="20"/>
        </w:rPr>
        <w:t xml:space="preserve"> to </w:t>
      </w:r>
      <w:r>
        <w:rPr>
          <w:rFonts w:ascii="Times New Roman" w:hAnsi="Times New Roman" w:cs="Times New Roman"/>
          <w:sz w:val="20"/>
          <w:szCs w:val="20"/>
          <w:u w:val="single"/>
        </w:rPr>
        <w:t>               </w:t>
      </w:r>
    </w:p>
    <w:p w:rsidR="00000000" w:rsidRDefault="008E203B">
      <w:pPr>
        <w:pStyle w:val="a3"/>
        <w:spacing w:before="0" w:beforeAutospacing="0" w:after="0" w:afterAutospacing="0"/>
        <w:divId w:val="281376789"/>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jc w:val="center"/>
        <w:divId w:val="281376789"/>
        <w:rPr>
          <w:rFonts w:ascii="Times New Roman" w:hAnsi="Times New Roman" w:cs="Times New Roman"/>
          <w:sz w:val="20"/>
          <w:szCs w:val="20"/>
        </w:rPr>
      </w:pPr>
      <w:r>
        <w:rPr>
          <w:rFonts w:ascii="Times New Roman" w:hAnsi="Times New Roman" w:cs="Times New Roman"/>
          <w:sz w:val="20"/>
          <w:szCs w:val="20"/>
        </w:rPr>
        <w:t>Commission File Number:   </w:t>
      </w:r>
      <w:r>
        <w:rPr>
          <w:rFonts w:ascii="Times New Roman" w:hAnsi="Times New Roman" w:cs="Times New Roman"/>
          <w:sz w:val="20"/>
          <w:szCs w:val="20"/>
          <w:u w:val="single"/>
        </w:rPr>
        <w:t>1-10899</w:t>
      </w:r>
    </w:p>
    <w:p w:rsidR="00000000" w:rsidRDefault="008E203B">
      <w:pPr>
        <w:pStyle w:val="a3"/>
        <w:spacing w:before="0" w:beforeAutospacing="0" w:after="0" w:afterAutospacing="0"/>
        <w:divId w:val="281376789"/>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jc w:val="center"/>
        <w:divId w:val="281376789"/>
        <w:rPr>
          <w:rFonts w:ascii="Times New Roman" w:hAnsi="Times New Roman" w:cs="Times New Roman"/>
          <w:sz w:val="36"/>
          <w:szCs w:val="36"/>
        </w:rPr>
      </w:pPr>
      <w:r>
        <w:rPr>
          <w:rFonts w:ascii="Times New Roman" w:hAnsi="Times New Roman" w:cs="Times New Roman"/>
          <w:b/>
          <w:bCs/>
          <w:sz w:val="36"/>
          <w:szCs w:val="36"/>
          <w:u w:val="single"/>
        </w:rPr>
        <w:t>Kimco Realty Corporation</w:t>
      </w:r>
    </w:p>
    <w:p w:rsidR="00000000" w:rsidRDefault="008E203B">
      <w:pPr>
        <w:pStyle w:val="a3"/>
        <w:spacing w:before="0" w:beforeAutospacing="0" w:after="0" w:afterAutospacing="0"/>
        <w:jc w:val="center"/>
        <w:divId w:val="281376789"/>
        <w:rPr>
          <w:rFonts w:ascii="Times New Roman" w:hAnsi="Times New Roman" w:cs="Times New Roman"/>
          <w:sz w:val="20"/>
          <w:szCs w:val="20"/>
        </w:rPr>
      </w:pPr>
      <w:r>
        <w:rPr>
          <w:rFonts w:ascii="Times New Roman" w:hAnsi="Times New Roman" w:cs="Times New Roman"/>
          <w:sz w:val="20"/>
          <w:szCs w:val="20"/>
        </w:rPr>
        <w:t>(Exact name of registrant as specified in its charter)</w:t>
      </w:r>
    </w:p>
    <w:p w:rsidR="00000000" w:rsidRDefault="008E203B">
      <w:pPr>
        <w:pStyle w:val="a3"/>
        <w:spacing w:before="0" w:beforeAutospacing="0" w:after="0" w:afterAutospacing="0"/>
        <w:divId w:val="281376789"/>
        <w:rPr>
          <w:rFonts w:ascii="Times New Roman" w:hAnsi="Times New Roman" w:cs="Times New Roman"/>
          <w:sz w:val="20"/>
          <w:szCs w:val="20"/>
        </w:rPr>
      </w:pPr>
      <w:r>
        <w:rPr>
          <w:rFonts w:ascii="Times New Roman" w:hAnsi="Times New Roman" w:cs="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903"/>
        <w:gridCol w:w="507"/>
        <w:gridCol w:w="3896"/>
      </w:tblGrid>
      <w:tr w:rsidR="00000000">
        <w:trPr>
          <w:divId w:val="281376789"/>
          <w:tblCellSpacing w:w="0" w:type="dxa"/>
        </w:trPr>
        <w:tc>
          <w:tcPr>
            <w:tcW w:w="2350" w:type="pct"/>
            <w:tcBorders>
              <w:bottom w:val="single" w:sz="6" w:space="0" w:color="000000"/>
            </w:tcBorders>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Maryland</w:t>
            </w:r>
          </w:p>
        </w:tc>
        <w:tc>
          <w:tcPr>
            <w:tcW w:w="305" w:type="pct"/>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2350" w:type="pct"/>
            <w:tcBorders>
              <w:bottom w:val="single" w:sz="6" w:space="0" w:color="000000"/>
            </w:tcBorders>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13-2744380</w:t>
            </w:r>
          </w:p>
        </w:tc>
      </w:tr>
      <w:tr w:rsidR="00000000">
        <w:trPr>
          <w:divId w:val="281376789"/>
          <w:tblCellSpacing w:w="0" w:type="dxa"/>
        </w:trPr>
        <w:tc>
          <w:tcPr>
            <w:tcW w:w="2350" w:type="pct"/>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(State or other jurisdiction of incorporation or organization)</w:t>
            </w:r>
          </w:p>
        </w:tc>
        <w:tc>
          <w:tcPr>
            <w:tcW w:w="305" w:type="pct"/>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2350" w:type="pct"/>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(I.R.S. Employer Identification No.)</w:t>
            </w:r>
          </w:p>
        </w:tc>
      </w:tr>
    </w:tbl>
    <w:p w:rsidR="00000000" w:rsidRDefault="008E203B">
      <w:pPr>
        <w:pStyle w:val="a3"/>
        <w:spacing w:before="0" w:beforeAutospacing="0" w:after="0" w:afterAutospacing="0"/>
        <w:divId w:val="281376789"/>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jc w:val="center"/>
        <w:divId w:val="281376789"/>
        <w:rPr>
          <w:rFonts w:ascii="Times New Roman" w:hAnsi="Times New Roman" w:cs="Times New Roman"/>
          <w:sz w:val="20"/>
          <w:szCs w:val="20"/>
        </w:rPr>
      </w:pPr>
      <w:r>
        <w:rPr>
          <w:rFonts w:ascii="Times New Roman" w:hAnsi="Times New Roman" w:cs="Times New Roman"/>
          <w:b/>
          <w:bCs/>
          <w:sz w:val="20"/>
          <w:szCs w:val="20"/>
          <w:u w:val="single"/>
        </w:rPr>
        <w:t>3333 New Hyde Park Road, New Hyde Park, NY 11042</w:t>
      </w:r>
    </w:p>
    <w:p w:rsidR="00000000" w:rsidRDefault="008E203B">
      <w:pPr>
        <w:pStyle w:val="a3"/>
        <w:spacing w:before="0" w:beforeAutospacing="0" w:after="0" w:afterAutospacing="0"/>
        <w:jc w:val="center"/>
        <w:divId w:val="281376789"/>
        <w:rPr>
          <w:rFonts w:ascii="Times New Roman" w:hAnsi="Times New Roman" w:cs="Times New Roman"/>
          <w:sz w:val="20"/>
          <w:szCs w:val="20"/>
        </w:rPr>
      </w:pPr>
      <w:r>
        <w:rPr>
          <w:rFonts w:ascii="Times New Roman" w:hAnsi="Times New Roman" w:cs="Times New Roman"/>
          <w:sz w:val="20"/>
          <w:szCs w:val="20"/>
        </w:rPr>
        <w:t>(Address of principal executive offices) (Zip Code)</w:t>
      </w:r>
    </w:p>
    <w:p w:rsidR="00000000" w:rsidRDefault="008E203B">
      <w:pPr>
        <w:pStyle w:val="a3"/>
        <w:spacing w:before="0" w:beforeAutospacing="0" w:after="0" w:afterAutospacing="0"/>
        <w:divId w:val="281376789"/>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jc w:val="center"/>
        <w:divId w:val="281376789"/>
        <w:rPr>
          <w:rFonts w:ascii="Times New Roman" w:hAnsi="Times New Roman" w:cs="Times New Roman"/>
          <w:sz w:val="20"/>
          <w:szCs w:val="20"/>
        </w:rPr>
      </w:pPr>
      <w:r>
        <w:rPr>
          <w:rFonts w:ascii="Times New Roman" w:hAnsi="Times New Roman" w:cs="Times New Roman"/>
          <w:b/>
          <w:bCs/>
          <w:sz w:val="20"/>
          <w:szCs w:val="20"/>
          <w:u w:val="single"/>
        </w:rPr>
        <w:t>(516) 869-9000</w:t>
      </w:r>
    </w:p>
    <w:p w:rsidR="00000000" w:rsidRDefault="008E203B">
      <w:pPr>
        <w:pStyle w:val="a3"/>
        <w:spacing w:before="0" w:beforeAutospacing="0" w:after="0" w:afterAutospacing="0"/>
        <w:jc w:val="center"/>
        <w:divId w:val="281376789"/>
        <w:rPr>
          <w:rFonts w:ascii="Times New Roman" w:hAnsi="Times New Roman" w:cs="Times New Roman"/>
          <w:sz w:val="20"/>
          <w:szCs w:val="20"/>
        </w:rPr>
      </w:pPr>
      <w:r>
        <w:rPr>
          <w:rFonts w:ascii="Times New Roman" w:hAnsi="Times New Roman" w:cs="Times New Roman"/>
          <w:sz w:val="20"/>
          <w:szCs w:val="20"/>
        </w:rPr>
        <w:t>(Registrant’s telephone number, including area code)</w:t>
      </w:r>
    </w:p>
    <w:p w:rsidR="00000000" w:rsidRDefault="008E203B">
      <w:pPr>
        <w:pStyle w:val="a3"/>
        <w:spacing w:before="0" w:beforeAutospacing="0" w:after="0" w:afterAutospacing="0"/>
        <w:divId w:val="281376789"/>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jc w:val="center"/>
        <w:divId w:val="281376789"/>
        <w:rPr>
          <w:rFonts w:ascii="Times New Roman" w:hAnsi="Times New Roman" w:cs="Times New Roman"/>
          <w:sz w:val="20"/>
          <w:szCs w:val="20"/>
        </w:rPr>
      </w:pPr>
      <w:r>
        <w:rPr>
          <w:rFonts w:ascii="Times New Roman" w:hAnsi="Times New Roman" w:cs="Times New Roman"/>
          <w:b/>
          <w:bCs/>
          <w:sz w:val="20"/>
          <w:szCs w:val="20"/>
          <w:u w:val="single"/>
        </w:rPr>
        <w:t>        N/A        </w:t>
      </w:r>
    </w:p>
    <w:p w:rsidR="00000000" w:rsidRDefault="008E203B">
      <w:pPr>
        <w:pStyle w:val="a3"/>
        <w:spacing w:before="0" w:beforeAutospacing="0" w:after="0" w:afterAutospacing="0"/>
        <w:jc w:val="center"/>
        <w:divId w:val="281376789"/>
        <w:rPr>
          <w:rFonts w:ascii="Times New Roman" w:hAnsi="Times New Roman" w:cs="Times New Roman"/>
          <w:sz w:val="20"/>
          <w:szCs w:val="20"/>
        </w:rPr>
      </w:pPr>
      <w:r>
        <w:rPr>
          <w:rFonts w:ascii="Times New Roman" w:hAnsi="Times New Roman" w:cs="Times New Roman"/>
          <w:sz w:val="20"/>
          <w:szCs w:val="20"/>
          <w:u w:val="single"/>
        </w:rPr>
        <w:t>(Former name, former address and former fiscal year, if changed since last report)</w:t>
      </w:r>
    </w:p>
    <w:p w:rsidR="00000000" w:rsidRDefault="008E203B">
      <w:pPr>
        <w:pStyle w:val="a3"/>
        <w:spacing w:before="0" w:beforeAutospacing="0" w:after="0" w:afterAutospacing="0"/>
        <w:divId w:val="281376789"/>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divId w:val="281376789"/>
        <w:rPr>
          <w:rFonts w:ascii="Times New Roman" w:hAnsi="Times New Roman" w:cs="Times New Roman"/>
          <w:sz w:val="20"/>
          <w:szCs w:val="20"/>
        </w:rPr>
      </w:pPr>
      <w:r>
        <w:rPr>
          <w:rFonts w:ascii="Times New Roman" w:hAnsi="Times New Roman" w:cs="Times New Roman"/>
          <w:sz w:val="20"/>
          <w:szCs w:val="20"/>
        </w:rPr>
        <w:t>Securities registered pursuant to Section 12(b) of the Act:</w:t>
      </w:r>
    </w:p>
    <w:p w:rsidR="00000000" w:rsidRDefault="008E203B">
      <w:pPr>
        <w:pStyle w:val="a3"/>
        <w:spacing w:before="0" w:beforeAutospacing="0" w:after="0" w:afterAutospacing="0"/>
        <w:divId w:val="281376789"/>
        <w:rPr>
          <w:rFonts w:ascii="Times New Roman" w:hAnsi="Times New Roman" w:cs="Times New Roman"/>
          <w:sz w:val="20"/>
          <w:szCs w:val="20"/>
        </w:rPr>
      </w:pPr>
      <w:r>
        <w:rPr>
          <w:rFonts w:ascii="Times New Roman" w:hAnsi="Times New Roman" w:cs="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909"/>
        <w:gridCol w:w="595"/>
        <w:gridCol w:w="2013"/>
        <w:gridCol w:w="789"/>
      </w:tblGrid>
      <w:tr w:rsidR="00000000">
        <w:trPr>
          <w:divId w:val="281376789"/>
          <w:tblCellSpacing w:w="0" w:type="dxa"/>
        </w:trPr>
        <w:tc>
          <w:tcPr>
            <w:tcW w:w="11310" w:type="dxa"/>
            <w:vAlign w:val="center"/>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u w:val="single"/>
              </w:rPr>
              <w:t>Title of each class</w:t>
            </w:r>
          </w:p>
        </w:tc>
        <w:tc>
          <w:tcPr>
            <w:tcW w:w="1440" w:type="dxa"/>
            <w:gridSpan w:val="2"/>
            <w:vAlign w:val="center"/>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u w:val="single"/>
              </w:rPr>
              <w:t xml:space="preserve">Trading </w:t>
            </w:r>
          </w:p>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u w:val="single"/>
              </w:rPr>
              <w:t>Symbol(s)</w:t>
            </w:r>
          </w:p>
        </w:tc>
        <w:tc>
          <w:tcPr>
            <w:tcW w:w="1185" w:type="pct"/>
            <w:vAlign w:val="center"/>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u w:val="single"/>
              </w:rPr>
              <w:t>Name of each exchange on which registered</w:t>
            </w:r>
          </w:p>
        </w:tc>
      </w:tr>
      <w:tr w:rsidR="00000000">
        <w:trPr>
          <w:divId w:val="281376789"/>
          <w:tblCellSpacing w:w="0" w:type="dxa"/>
        </w:trPr>
        <w:tc>
          <w:tcPr>
            <w:tcW w:w="3365" w:type="pct"/>
            <w:gridSpan w:val="2"/>
            <w:shd w:val="clear" w:color="auto" w:fill="CCEEFF"/>
            <w:vAlign w:val="center"/>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Common Stock, par value $.01 per share.</w:t>
            </w:r>
          </w:p>
        </w:tc>
        <w:tc>
          <w:tcPr>
            <w:tcW w:w="450" w:type="pct"/>
            <w:shd w:val="clear" w:color="auto" w:fill="CCEEFF"/>
            <w:vAlign w:val="center"/>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KIM</w:t>
            </w:r>
          </w:p>
        </w:tc>
        <w:tc>
          <w:tcPr>
            <w:tcW w:w="1185" w:type="pct"/>
            <w:shd w:val="clear" w:color="auto" w:fill="CCEEFF"/>
            <w:vAlign w:val="center"/>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New York Stock Exchange</w:t>
            </w:r>
          </w:p>
        </w:tc>
      </w:tr>
      <w:tr w:rsidR="00000000">
        <w:trPr>
          <w:divId w:val="281376789"/>
          <w:tblCellSpacing w:w="0" w:type="dxa"/>
        </w:trPr>
        <w:tc>
          <w:tcPr>
            <w:tcW w:w="3365" w:type="pct"/>
            <w:gridSpan w:val="2"/>
            <w:shd w:val="clear" w:color="auto" w:fill="FFFFFF"/>
            <w:vAlign w:val="center"/>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Depositary Shares, each representing one-thousandth of a share of 6.000% Class I Cumulative Redeemable, Preferred Stock, $1.00 par value per share.</w:t>
            </w:r>
          </w:p>
        </w:tc>
        <w:tc>
          <w:tcPr>
            <w:tcW w:w="450" w:type="pct"/>
            <w:shd w:val="clear" w:color="auto" w:fill="FFFFFF"/>
            <w:vAlign w:val="center"/>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KIMprI</w:t>
            </w:r>
          </w:p>
        </w:tc>
        <w:tc>
          <w:tcPr>
            <w:tcW w:w="1185" w:type="pct"/>
            <w:shd w:val="clear" w:color="auto" w:fill="FFFFFF"/>
            <w:vAlign w:val="center"/>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New York Stock Exchange</w:t>
            </w:r>
          </w:p>
        </w:tc>
      </w:tr>
      <w:tr w:rsidR="00000000">
        <w:trPr>
          <w:divId w:val="281376789"/>
          <w:tblCellSpacing w:w="0" w:type="dxa"/>
        </w:trPr>
        <w:tc>
          <w:tcPr>
            <w:tcW w:w="3365" w:type="pct"/>
            <w:gridSpan w:val="2"/>
            <w:shd w:val="clear" w:color="auto" w:fill="CCEEFF"/>
            <w:vAlign w:val="center"/>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lastRenderedPageBreak/>
              <w:t>Depos</w:t>
            </w:r>
            <w:r>
              <w:rPr>
                <w:rFonts w:ascii="Times New Roman" w:hAnsi="Times New Roman" w:cs="Times New Roman"/>
                <w:sz w:val="20"/>
                <w:szCs w:val="20"/>
              </w:rPr>
              <w:t>itary Shares, each representing one-thousandth of a share of 5.500% Class J Cumulative Redeemable, Preferred Stock, $1.00 par value per share.</w:t>
            </w:r>
          </w:p>
        </w:tc>
        <w:tc>
          <w:tcPr>
            <w:tcW w:w="450" w:type="pct"/>
            <w:shd w:val="clear" w:color="auto" w:fill="CCEEFF"/>
            <w:vAlign w:val="center"/>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KIMprJ</w:t>
            </w:r>
          </w:p>
        </w:tc>
        <w:tc>
          <w:tcPr>
            <w:tcW w:w="1185" w:type="pct"/>
            <w:shd w:val="clear" w:color="auto" w:fill="CCEEFF"/>
            <w:vAlign w:val="center"/>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New York Stock Exchange</w:t>
            </w:r>
          </w:p>
        </w:tc>
      </w:tr>
      <w:tr w:rsidR="00000000">
        <w:trPr>
          <w:divId w:val="281376789"/>
          <w:tblCellSpacing w:w="0" w:type="dxa"/>
        </w:trPr>
        <w:tc>
          <w:tcPr>
            <w:tcW w:w="3365" w:type="pct"/>
            <w:gridSpan w:val="2"/>
            <w:shd w:val="clear" w:color="auto" w:fill="FFFFFF"/>
            <w:vAlign w:val="center"/>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Depositary Shares, each representing one-thousandth of a share of 5.625% Class K</w:t>
            </w:r>
            <w:r>
              <w:rPr>
                <w:rFonts w:ascii="Times New Roman" w:hAnsi="Times New Roman" w:cs="Times New Roman"/>
                <w:sz w:val="20"/>
                <w:szCs w:val="20"/>
              </w:rPr>
              <w:t xml:space="preserve"> Cumulative Redeemable, Preferred Stock, $1.00 par value per share.</w:t>
            </w:r>
          </w:p>
        </w:tc>
        <w:tc>
          <w:tcPr>
            <w:tcW w:w="450" w:type="pct"/>
            <w:shd w:val="clear" w:color="auto" w:fill="FFFFFF"/>
            <w:vAlign w:val="center"/>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KIMprK</w:t>
            </w:r>
          </w:p>
        </w:tc>
        <w:tc>
          <w:tcPr>
            <w:tcW w:w="1185" w:type="pct"/>
            <w:shd w:val="clear" w:color="auto" w:fill="FFFFFF"/>
            <w:vAlign w:val="center"/>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New York Stock Exchange</w:t>
            </w:r>
          </w:p>
        </w:tc>
      </w:tr>
      <w:tr w:rsidR="00000000">
        <w:trPr>
          <w:divId w:val="281376789"/>
          <w:tblCellSpacing w:w="0" w:type="dxa"/>
        </w:trPr>
        <w:tc>
          <w:tcPr>
            <w:tcW w:w="3365" w:type="pct"/>
            <w:gridSpan w:val="2"/>
            <w:shd w:val="clear" w:color="auto" w:fill="CCEEFF"/>
            <w:vAlign w:val="center"/>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Depositary Shares, each representing one-thousandth of a share of 5.125% Class L Cumulative Redeemable, Preferred Stock, $1.00 par value per share.</w:t>
            </w:r>
          </w:p>
        </w:tc>
        <w:tc>
          <w:tcPr>
            <w:tcW w:w="450" w:type="pct"/>
            <w:shd w:val="clear" w:color="auto" w:fill="CCEEFF"/>
            <w:vAlign w:val="center"/>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KIMprL</w:t>
            </w:r>
          </w:p>
        </w:tc>
        <w:tc>
          <w:tcPr>
            <w:tcW w:w="1185" w:type="pct"/>
            <w:shd w:val="clear" w:color="auto" w:fill="CCEEFF"/>
            <w:vAlign w:val="center"/>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New York Stock Exchange</w:t>
            </w:r>
          </w:p>
        </w:tc>
      </w:tr>
      <w:tr w:rsidR="00000000">
        <w:trPr>
          <w:divId w:val="281376789"/>
          <w:tblCellSpacing w:w="0" w:type="dxa"/>
        </w:trPr>
        <w:tc>
          <w:tcPr>
            <w:tcW w:w="3365" w:type="pct"/>
            <w:gridSpan w:val="2"/>
            <w:shd w:val="clear" w:color="auto" w:fill="FFFFFF"/>
            <w:vAlign w:val="center"/>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Depositary Shares, each representing one-thousandth of a share of 5.250% Cl</w:t>
            </w:r>
            <w:r>
              <w:rPr>
                <w:rFonts w:ascii="Times New Roman" w:hAnsi="Times New Roman" w:cs="Times New Roman"/>
                <w:sz w:val="20"/>
                <w:szCs w:val="20"/>
              </w:rPr>
              <w:t>ass M Cumulative Redeemable, Preferred Stock, $1.00 par value per share.</w:t>
            </w:r>
          </w:p>
        </w:tc>
        <w:tc>
          <w:tcPr>
            <w:tcW w:w="450" w:type="pct"/>
            <w:shd w:val="clear" w:color="auto" w:fill="FFFFFF"/>
            <w:vAlign w:val="center"/>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KIMprM</w:t>
            </w:r>
          </w:p>
        </w:tc>
        <w:tc>
          <w:tcPr>
            <w:tcW w:w="1185" w:type="pct"/>
            <w:shd w:val="clear" w:color="auto" w:fill="FFFFFF"/>
            <w:vAlign w:val="center"/>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New York Stock Exchange</w:t>
            </w:r>
          </w:p>
        </w:tc>
      </w:tr>
    </w:tbl>
    <w:p w:rsidR="00000000" w:rsidRDefault="008E203B">
      <w:pPr>
        <w:pStyle w:val="a3"/>
        <w:spacing w:before="0" w:beforeAutospacing="0" w:after="0" w:afterAutospacing="0"/>
        <w:divId w:val="281376789"/>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ind w:firstLine="360"/>
        <w:divId w:val="281376789"/>
        <w:rPr>
          <w:rFonts w:ascii="Times New Roman" w:hAnsi="Times New Roman" w:cs="Times New Roman"/>
          <w:sz w:val="20"/>
          <w:szCs w:val="20"/>
        </w:rPr>
      </w:pPr>
      <w:r>
        <w:rPr>
          <w:rFonts w:ascii="Times New Roman" w:hAnsi="Times New Roman" w:cs="Times New Roman"/>
          <w:sz w:val="20"/>
          <w:szCs w:val="20"/>
        </w:rPr>
        <w:t>Indicate by check mark whether the registrant (1) has filed all reports required to be filed by Section 13 or 15(d) of the Securities Exchange Act of 1934 during the preceding 12 months (or for such shorter period that the registrant was required to file s</w:t>
      </w:r>
      <w:r>
        <w:rPr>
          <w:rFonts w:ascii="Times New Roman" w:hAnsi="Times New Roman" w:cs="Times New Roman"/>
          <w:sz w:val="20"/>
          <w:szCs w:val="20"/>
        </w:rPr>
        <w:t xml:space="preserve">uch reports), and (2) has been subject to such filing requirements for the past 90 days.   Yes </w:t>
      </w:r>
      <w:r>
        <w:rPr>
          <w:rFonts w:ascii="Segoe UI Symbol" w:hAnsi="Segoe UI Symbol" w:cs="Segoe UI Symbol"/>
          <w:sz w:val="20"/>
          <w:szCs w:val="20"/>
        </w:rPr>
        <w:t>☒</w:t>
      </w:r>
      <w:r>
        <w:rPr>
          <w:rFonts w:ascii="Times New Roman" w:hAnsi="Times New Roman" w:cs="Times New Roman"/>
          <w:sz w:val="20"/>
          <w:szCs w:val="20"/>
        </w:rPr>
        <w:t>   </w:t>
      </w:r>
      <w:r>
        <w:rPr>
          <w:rFonts w:ascii="Times New Roman" w:hAnsi="Times New Roman" w:cs="Times New Roman"/>
          <w:sz w:val="20"/>
          <w:szCs w:val="20"/>
        </w:rPr>
        <w:t xml:space="preserve">No </w:t>
      </w:r>
      <w:r>
        <w:rPr>
          <w:rFonts w:ascii="Segoe UI Symbol" w:hAnsi="Segoe UI Symbol" w:cs="Segoe UI Symbol"/>
          <w:sz w:val="20"/>
          <w:szCs w:val="20"/>
        </w:rPr>
        <w:t>☐</w:t>
      </w:r>
    </w:p>
    <w:p w:rsidR="00000000" w:rsidRDefault="008E203B">
      <w:pPr>
        <w:pStyle w:val="a3"/>
        <w:spacing w:before="0" w:beforeAutospacing="0" w:after="0" w:afterAutospacing="0"/>
        <w:divId w:val="281376789"/>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ind w:firstLine="360"/>
        <w:divId w:val="281376789"/>
        <w:rPr>
          <w:rFonts w:ascii="Times New Roman" w:hAnsi="Times New Roman" w:cs="Times New Roman"/>
          <w:sz w:val="20"/>
          <w:szCs w:val="20"/>
        </w:rPr>
      </w:pPr>
      <w:r>
        <w:rPr>
          <w:rFonts w:ascii="Times New Roman" w:hAnsi="Times New Roman" w:cs="Times New Roman"/>
          <w:sz w:val="20"/>
          <w:szCs w:val="20"/>
        </w:rPr>
        <w:t xml:space="preserve">Indicate by check mark whether the registrant has submitted electronically, every Interactive Data File required to be submitted pursuant to Rule 405 </w:t>
      </w:r>
      <w:r>
        <w:rPr>
          <w:rFonts w:ascii="Times New Roman" w:hAnsi="Times New Roman" w:cs="Times New Roman"/>
          <w:sz w:val="20"/>
          <w:szCs w:val="20"/>
        </w:rPr>
        <w:t xml:space="preserve">of Regulation S-T (§232.405 of this chapter) during the preceding 12 months (or for such shorter period that the registrant was required to submit such files).    Yes </w:t>
      </w:r>
      <w:r>
        <w:rPr>
          <w:rFonts w:ascii="Segoe UI Symbol" w:hAnsi="Segoe UI Symbol" w:cs="Segoe UI Symbol"/>
          <w:sz w:val="20"/>
          <w:szCs w:val="20"/>
        </w:rPr>
        <w:t>☒</w:t>
      </w:r>
      <w:r>
        <w:rPr>
          <w:rFonts w:ascii="Times New Roman" w:hAnsi="Times New Roman" w:cs="Times New Roman"/>
          <w:sz w:val="20"/>
          <w:szCs w:val="20"/>
        </w:rPr>
        <w:t>   </w:t>
      </w:r>
      <w:r>
        <w:rPr>
          <w:rFonts w:ascii="Times New Roman" w:hAnsi="Times New Roman" w:cs="Times New Roman"/>
          <w:sz w:val="20"/>
          <w:szCs w:val="20"/>
        </w:rPr>
        <w:t xml:space="preserve">No </w:t>
      </w:r>
      <w:r>
        <w:rPr>
          <w:rFonts w:ascii="Segoe UI Symbol" w:hAnsi="Segoe UI Symbol" w:cs="Segoe UI Symbol"/>
          <w:sz w:val="20"/>
          <w:szCs w:val="20"/>
        </w:rPr>
        <w:t>☐</w:t>
      </w:r>
    </w:p>
    <w:p w:rsidR="00000000" w:rsidRDefault="008E203B">
      <w:pPr>
        <w:pStyle w:val="a3"/>
        <w:spacing w:before="0" w:beforeAutospacing="0" w:after="0" w:afterAutospacing="0"/>
        <w:divId w:val="281376789"/>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ind w:firstLine="360"/>
        <w:divId w:val="281376789"/>
        <w:rPr>
          <w:rFonts w:ascii="Times New Roman" w:hAnsi="Times New Roman" w:cs="Times New Roman"/>
          <w:sz w:val="20"/>
          <w:szCs w:val="20"/>
        </w:rPr>
      </w:pPr>
      <w:r>
        <w:rPr>
          <w:rFonts w:ascii="Times New Roman" w:hAnsi="Times New Roman" w:cs="Times New Roman"/>
          <w:sz w:val="20"/>
          <w:szCs w:val="20"/>
        </w:rPr>
        <w:t>Indicate by check mark whether the registrant is a large accelerated filer, an accelerated filer, a non-accelerated filer, a smaller reporting company, or an emerging growth company. See the definitions of “large accelerated filer,” “accelerated filer,” “s</w:t>
      </w:r>
      <w:r>
        <w:rPr>
          <w:rFonts w:ascii="Times New Roman" w:hAnsi="Times New Roman" w:cs="Times New Roman"/>
          <w:sz w:val="20"/>
          <w:szCs w:val="20"/>
        </w:rPr>
        <w:t>maller reporting company,” and “emerging growth company” in Rule 12-b-2 of the Exchange Act.</w:t>
      </w:r>
    </w:p>
    <w:p w:rsidR="00000000" w:rsidRDefault="008E203B">
      <w:pPr>
        <w:pStyle w:val="a3"/>
        <w:spacing w:before="0" w:beforeAutospacing="0" w:after="0" w:afterAutospacing="0"/>
        <w:divId w:val="281376789"/>
        <w:rPr>
          <w:rFonts w:ascii="Times New Roman" w:hAnsi="Times New Roman" w:cs="Times New Roman"/>
          <w:sz w:val="20"/>
          <w:szCs w:val="20"/>
        </w:rPr>
      </w:pPr>
      <w:r>
        <w:rPr>
          <w:rFonts w:ascii="Times New Roman" w:hAnsi="Times New Roman" w:cs="Times New Roman"/>
          <w:sz w:val="20"/>
          <w:szCs w:val="20"/>
        </w:rPr>
        <w:t> </w:t>
      </w:r>
    </w:p>
    <w:tbl>
      <w:tblPr>
        <w:tblW w:w="4850" w:type="pct"/>
        <w:tblCellSpacing w:w="15" w:type="dxa"/>
        <w:tblInd w:w="1" w:type="dxa"/>
        <w:tblCellMar>
          <w:top w:w="15" w:type="dxa"/>
          <w:left w:w="15" w:type="dxa"/>
          <w:bottom w:w="15" w:type="dxa"/>
          <w:right w:w="15" w:type="dxa"/>
        </w:tblCellMar>
        <w:tblLook w:val="04A0" w:firstRow="1" w:lastRow="0" w:firstColumn="1" w:lastColumn="0" w:noHBand="0" w:noVBand="1"/>
      </w:tblPr>
      <w:tblGrid>
        <w:gridCol w:w="2155"/>
        <w:gridCol w:w="967"/>
        <w:gridCol w:w="1984"/>
        <w:gridCol w:w="265"/>
        <w:gridCol w:w="734"/>
        <w:gridCol w:w="1672"/>
        <w:gridCol w:w="280"/>
      </w:tblGrid>
      <w:tr w:rsidR="00000000">
        <w:trPr>
          <w:divId w:val="281376789"/>
          <w:tblCellSpacing w:w="15" w:type="dxa"/>
        </w:trPr>
        <w:tc>
          <w:tcPr>
            <w:tcW w:w="1350" w:type="pct"/>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Large accelerated filer</w:t>
            </w:r>
          </w:p>
        </w:tc>
        <w:tc>
          <w:tcPr>
            <w:tcW w:w="600" w:type="pct"/>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Segoe UI Symbol" w:hAnsi="Segoe UI Symbol" w:cs="Segoe UI Symbol"/>
                <w:sz w:val="20"/>
                <w:szCs w:val="20"/>
              </w:rPr>
              <w:t>☒</w:t>
            </w:r>
          </w:p>
        </w:tc>
        <w:tc>
          <w:tcPr>
            <w:tcW w:w="1250" w:type="pct"/>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Accelerated filer</w:t>
            </w:r>
          </w:p>
        </w:tc>
        <w:tc>
          <w:tcPr>
            <w:tcW w:w="150" w:type="pct"/>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Segoe UI Symbol" w:hAnsi="Segoe UI Symbol" w:cs="Segoe UI Symbol"/>
                <w:sz w:val="20"/>
                <w:szCs w:val="20"/>
              </w:rPr>
              <w:t>☐</w:t>
            </w:r>
          </w:p>
        </w:tc>
        <w:tc>
          <w:tcPr>
            <w:tcW w:w="450" w:type="pct"/>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1050" w:type="pct"/>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Non-accelerated filer</w:t>
            </w:r>
          </w:p>
        </w:tc>
        <w:tc>
          <w:tcPr>
            <w:tcW w:w="200" w:type="pct"/>
            <w:hideMark/>
          </w:tcPr>
          <w:p w:rsidR="00000000" w:rsidRDefault="008E203B">
            <w:pPr>
              <w:pStyle w:val="a3"/>
              <w:spacing w:before="0" w:beforeAutospacing="0" w:after="0" w:afterAutospacing="0"/>
              <w:jc w:val="right"/>
              <w:rPr>
                <w:rFonts w:ascii="Times New Roman" w:hAnsi="Times New Roman" w:cs="Times New Roman"/>
                <w:sz w:val="20"/>
                <w:szCs w:val="20"/>
              </w:rPr>
            </w:pPr>
            <w:r>
              <w:rPr>
                <w:rFonts w:ascii="Segoe UI Symbol" w:hAnsi="Segoe UI Symbol" w:cs="Segoe UI Symbol"/>
                <w:sz w:val="20"/>
                <w:szCs w:val="20"/>
              </w:rPr>
              <w:t>☐</w:t>
            </w:r>
          </w:p>
        </w:tc>
      </w:tr>
      <w:tr w:rsidR="00000000">
        <w:trPr>
          <w:divId w:val="281376789"/>
          <w:tblCellSpacing w:w="15" w:type="dxa"/>
        </w:trPr>
        <w:tc>
          <w:tcPr>
            <w:tcW w:w="1350" w:type="pct"/>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Smaller reporting company</w:t>
            </w:r>
          </w:p>
        </w:tc>
        <w:tc>
          <w:tcPr>
            <w:tcW w:w="600" w:type="pct"/>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Segoe UI Symbol" w:hAnsi="Segoe UI Symbol" w:cs="Segoe UI Symbol"/>
                <w:sz w:val="20"/>
                <w:szCs w:val="20"/>
              </w:rPr>
              <w:t>☐</w:t>
            </w:r>
          </w:p>
        </w:tc>
        <w:tc>
          <w:tcPr>
            <w:tcW w:w="1250" w:type="pct"/>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Emerging growth company</w:t>
            </w:r>
          </w:p>
        </w:tc>
        <w:tc>
          <w:tcPr>
            <w:tcW w:w="150" w:type="pct"/>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Segoe UI Symbol" w:hAnsi="Segoe UI Symbol" w:cs="Segoe UI Symbol"/>
                <w:sz w:val="20"/>
                <w:szCs w:val="20"/>
              </w:rPr>
              <w:t>☐</w:t>
            </w:r>
          </w:p>
        </w:tc>
        <w:tc>
          <w:tcPr>
            <w:tcW w:w="450" w:type="pct"/>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1050" w:type="pct"/>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281376789"/>
          <w:tblCellSpacing w:w="15" w:type="dxa"/>
        </w:trPr>
        <w:tc>
          <w:tcPr>
            <w:tcW w:w="1950" w:type="pct"/>
            <w:gridSpan w:val="3"/>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50" w:type="pct"/>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1050" w:type="pct"/>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bl>
    <w:p w:rsidR="00000000" w:rsidRDefault="008E203B">
      <w:pPr>
        <w:pStyle w:val="a3"/>
        <w:spacing w:before="0" w:beforeAutospacing="0" w:after="0" w:afterAutospacing="0"/>
        <w:ind w:firstLine="360"/>
        <w:divId w:val="281376789"/>
        <w:rPr>
          <w:rFonts w:ascii="Times New Roman" w:hAnsi="Times New Roman" w:cs="Times New Roman"/>
          <w:sz w:val="20"/>
          <w:szCs w:val="20"/>
        </w:rPr>
      </w:pPr>
      <w:r>
        <w:rPr>
          <w:rFonts w:ascii="Times New Roman" w:hAnsi="Times New Roman" w:cs="Times New Roman"/>
          <w:sz w:val="20"/>
          <w:szCs w:val="20"/>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hAnsi="Segoe UI Symbol" w:cs="Segoe UI Symbol"/>
          <w:sz w:val="20"/>
          <w:szCs w:val="20"/>
        </w:rPr>
        <w:t>☐</w:t>
      </w:r>
    </w:p>
    <w:p w:rsidR="00000000" w:rsidRDefault="008E203B">
      <w:pPr>
        <w:pStyle w:val="a3"/>
        <w:spacing w:before="0" w:beforeAutospacing="0" w:after="0" w:afterAutospacing="0"/>
        <w:divId w:val="281376789"/>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ind w:firstLine="360"/>
        <w:divId w:val="281376789"/>
        <w:rPr>
          <w:rFonts w:ascii="Times New Roman" w:hAnsi="Times New Roman" w:cs="Times New Roman"/>
          <w:sz w:val="20"/>
          <w:szCs w:val="20"/>
        </w:rPr>
      </w:pPr>
      <w:r>
        <w:rPr>
          <w:rFonts w:ascii="Times New Roman" w:hAnsi="Times New Roman" w:cs="Times New Roman"/>
          <w:sz w:val="20"/>
          <w:szCs w:val="20"/>
        </w:rPr>
        <w:t>I</w:t>
      </w:r>
      <w:r>
        <w:rPr>
          <w:rFonts w:ascii="Times New Roman" w:hAnsi="Times New Roman" w:cs="Times New Roman"/>
          <w:sz w:val="20"/>
          <w:szCs w:val="20"/>
        </w:rPr>
        <w:t xml:space="preserve">ndicate by check mark whether the registrant is a shell company (as defined in Rule 12b-2 of the Exchange Act). Yes </w:t>
      </w:r>
      <w:r>
        <w:rPr>
          <w:rFonts w:ascii="Segoe UI Symbol" w:hAnsi="Segoe UI Symbol" w:cs="Segoe UI Symbol"/>
          <w:sz w:val="20"/>
          <w:szCs w:val="20"/>
        </w:rPr>
        <w:t>☐</w:t>
      </w:r>
      <w:r>
        <w:rPr>
          <w:rFonts w:ascii="Times New Roman" w:hAnsi="Times New Roman" w:cs="Times New Roman"/>
          <w:sz w:val="20"/>
          <w:szCs w:val="20"/>
        </w:rPr>
        <w:t> </w:t>
      </w:r>
      <w:r>
        <w:rPr>
          <w:rFonts w:ascii="Times New Roman" w:hAnsi="Times New Roman" w:cs="Times New Roman"/>
          <w:sz w:val="20"/>
          <w:szCs w:val="20"/>
        </w:rPr>
        <w:t xml:space="preserve">No </w:t>
      </w:r>
      <w:r>
        <w:rPr>
          <w:rFonts w:ascii="Segoe UI Symbol" w:hAnsi="Segoe UI Symbol" w:cs="Segoe UI Symbol"/>
          <w:sz w:val="20"/>
          <w:szCs w:val="20"/>
        </w:rPr>
        <w:t>☒</w:t>
      </w:r>
    </w:p>
    <w:p w:rsidR="00000000" w:rsidRDefault="008E203B">
      <w:pPr>
        <w:pStyle w:val="a3"/>
        <w:spacing w:before="0" w:beforeAutospacing="0" w:after="0" w:afterAutospacing="0"/>
        <w:ind w:firstLine="360"/>
        <w:divId w:val="281376789"/>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jc w:val="center"/>
        <w:divId w:val="281376789"/>
        <w:rPr>
          <w:rFonts w:ascii="Times New Roman" w:hAnsi="Times New Roman" w:cs="Times New Roman"/>
          <w:sz w:val="20"/>
          <w:szCs w:val="20"/>
        </w:rPr>
      </w:pPr>
      <w:r>
        <w:rPr>
          <w:rFonts w:ascii="Times New Roman" w:hAnsi="Times New Roman" w:cs="Times New Roman"/>
          <w:sz w:val="20"/>
          <w:szCs w:val="20"/>
        </w:rPr>
        <w:t>As of April 24, 2019, the registrant had 422,040,439 shares of common stock outstanding.</w:t>
      </w:r>
    </w:p>
    <w:p w:rsidR="00000000" w:rsidRDefault="008E203B">
      <w:pPr>
        <w:pStyle w:val="a3"/>
        <w:spacing w:before="0" w:beforeAutospacing="0" w:after="0" w:afterAutospacing="0"/>
        <w:jc w:val="center"/>
        <w:divId w:val="281376789"/>
        <w:rPr>
          <w:rFonts w:ascii="Times New Roman" w:hAnsi="Times New Roman" w:cs="Times New Roman"/>
          <w:sz w:val="20"/>
          <w:szCs w:val="20"/>
        </w:rPr>
      </w:pPr>
      <w:r>
        <w:rPr>
          <w:rFonts w:ascii="Times New Roman" w:hAnsi="Times New Roman" w:cs="Times New Roman"/>
          <w:sz w:val="20"/>
          <w:szCs w:val="20"/>
        </w:rPr>
        <w:t> </w:t>
      </w:r>
    </w:p>
    <w:p w:rsidR="00000000" w:rsidRDefault="008E203B">
      <w:pPr>
        <w:spacing w:before="60" w:after="60"/>
        <w:divId w:val="281376789"/>
        <w:rPr>
          <w:rFonts w:ascii="Times New Roman" w:hAnsi="Times New Roman" w:cs="Times New Roman"/>
          <w:sz w:val="20"/>
          <w:szCs w:val="20"/>
        </w:rPr>
      </w:pPr>
      <w:r>
        <w:rPr>
          <w:rFonts w:ascii="Times New Roman" w:hAnsi="Times New Roman" w:cs="Times New Roman"/>
          <w:sz w:val="20"/>
          <w:szCs w:val="20"/>
        </w:rPr>
        <w:pict>
          <v:rect id="_x0000_i1027" style="width:415.3pt;height:.75pt" o:hralign="center" o:hrstd="t" o:hrnoshade="t" o:hr="t" fillcolor="black" stroked="f"/>
        </w:pict>
      </w:r>
    </w:p>
    <w:p w:rsidR="00000000" w:rsidRDefault="008E203B">
      <w:pPr>
        <w:spacing w:after="60"/>
        <w:divId w:val="281376789"/>
        <w:rPr>
          <w:rFonts w:ascii="Times New Roman" w:hAnsi="Times New Roman" w:cs="Times New Roman"/>
          <w:sz w:val="20"/>
          <w:szCs w:val="20"/>
        </w:rPr>
      </w:pPr>
      <w:r>
        <w:rPr>
          <w:rFonts w:ascii="Times New Roman" w:hAnsi="Times New Roman" w:cs="Times New Roman"/>
          <w:sz w:val="20"/>
          <w:szCs w:val="20"/>
        </w:rPr>
        <w:pict>
          <v:rect id="_x0000_i1028" style="width:415.3pt;height:2.25pt" o:hralign="center" o:hrstd="t" o:hrnoshade="t" o:hr="t" fillcolor="black" stroked="f"/>
        </w:pict>
      </w:r>
    </w:p>
    <w:p w:rsidR="00000000" w:rsidRDefault="008E203B">
      <w:pPr>
        <w:pStyle w:val="a3"/>
        <w:spacing w:before="0" w:beforeAutospacing="0" w:after="0" w:afterAutospacing="0"/>
        <w:jc w:val="center"/>
        <w:divId w:val="281376789"/>
        <w:rPr>
          <w:rFonts w:ascii="Times New Roman" w:hAnsi="Times New Roman" w:cs="Times New Roman"/>
          <w:sz w:val="20"/>
          <w:szCs w:val="20"/>
        </w:rPr>
      </w:pPr>
      <w:r>
        <w:rPr>
          <w:rFonts w:ascii="Times New Roman" w:hAnsi="Times New Roman" w:cs="Times New Roman"/>
          <w:sz w:val="20"/>
          <w:szCs w:val="20"/>
        </w:rPr>
        <w:t> </w:t>
      </w:r>
    </w:p>
    <w:p w:rsidR="00000000" w:rsidRDefault="008E203B">
      <w:pPr>
        <w:jc w:val="center"/>
        <w:divId w:val="909075373"/>
        <w:rPr>
          <w:rFonts w:ascii="Times New Roman" w:hAnsi="Times New Roman" w:cs="Times New Roman"/>
          <w:sz w:val="20"/>
          <w:szCs w:val="20"/>
        </w:rPr>
      </w:pPr>
      <w:r>
        <w:rPr>
          <w:rFonts w:ascii="Times New Roman" w:hAnsi="Times New Roman" w:cs="Times New Roman"/>
          <w:sz w:val="20"/>
          <w:szCs w:val="20"/>
        </w:rPr>
        <w:t> </w:t>
      </w:r>
    </w:p>
    <w:p w:rsidR="00000000" w:rsidRDefault="008E203B">
      <w:pPr>
        <w:divId w:val="909075373"/>
        <w:rPr>
          <w:rFonts w:ascii="Times New Roman" w:hAnsi="Times New Roman" w:cs="Times New Roman"/>
          <w:sz w:val="20"/>
          <w:szCs w:val="20"/>
        </w:rPr>
      </w:pPr>
      <w:r>
        <w:rPr>
          <w:rFonts w:ascii="Times New Roman" w:hAnsi="Times New Roman" w:cs="Times New Roman"/>
          <w:sz w:val="20"/>
          <w:szCs w:val="20"/>
        </w:rPr>
        <w:pict>
          <v:rect id="_x0000_i1029" style="width:415.3pt;height:1.5pt" o:hralign="center" o:hrstd="t" o:hrnoshade="t" o:hr="t" fillcolor="black" stroked="f"/>
        </w:pict>
      </w:r>
    </w:p>
    <w:p w:rsidR="00000000" w:rsidRDefault="008E203B">
      <w:pPr>
        <w:divId w:val="909075373"/>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8E203B">
      <w:pPr>
        <w:pStyle w:val="a3"/>
        <w:spacing w:before="0" w:beforeAutospacing="0" w:after="0" w:afterAutospacing="0"/>
        <w:divId w:val="281376789"/>
        <w:rPr>
          <w:rFonts w:ascii="Times New Roman" w:hAnsi="Times New Roman" w:cs="Times New Roman"/>
          <w:sz w:val="20"/>
          <w:szCs w:val="20"/>
        </w:rPr>
      </w:pPr>
      <w:r>
        <w:rPr>
          <w:rFonts w:ascii="Times New Roman" w:hAnsi="Times New Roman" w:cs="Times New Roman"/>
          <w:sz w:val="20"/>
          <w:szCs w:val="20"/>
        </w:rPr>
        <w:t> </w:t>
      </w:r>
    </w:p>
    <w:p w:rsidR="00000000" w:rsidRDefault="008E203B">
      <w:pPr>
        <w:divId w:val="1953315463"/>
        <w:rPr>
          <w:rFonts w:ascii="Times New Roman" w:hAnsi="Times New Roman" w:cs="Times New Roman"/>
          <w:sz w:val="20"/>
          <w:szCs w:val="20"/>
        </w:rPr>
      </w:pPr>
      <w:r>
        <w:rPr>
          <w:rFonts w:ascii="Times New Roman" w:hAnsi="Times New Roman" w:cs="Times New Roman"/>
          <w:sz w:val="20"/>
          <w:szCs w:val="20"/>
        </w:rPr>
        <w:t> </w:t>
      </w:r>
    </w:p>
    <w:bookmarkStart w:id="0" w:name="toc"/>
    <w:bookmarkEnd w:id="0"/>
    <w:p w:rsidR="00000000" w:rsidRDefault="008E203B">
      <w:pPr>
        <w:pStyle w:val="a3"/>
        <w:spacing w:before="0" w:beforeAutospacing="0" w:after="0" w:afterAutospacing="0"/>
        <w:jc w:val="center"/>
        <w:divId w:val="2028826360"/>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w:instrText>
      </w:r>
      <w:r>
        <w:rPr>
          <w:rFonts w:ascii="Times New Roman" w:hAnsi="Times New Roman" w:cs="Times New Roman"/>
          <w:sz w:val="20"/>
          <w:szCs w:val="20"/>
        </w:rPr>
        <w:instrText>HYPERLINK "" \l "part1"</w:instrText>
      </w:r>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separate"/>
      </w:r>
      <w:r>
        <w:rPr>
          <w:rStyle w:val="a4"/>
          <w:rFonts w:ascii="Times New Roman" w:hAnsi="Times New Roman" w:cs="Times New Roman"/>
          <w:sz w:val="20"/>
          <w:szCs w:val="20"/>
        </w:rPr>
        <w:t>PART I - FINANCIAL INFORMATION</w:t>
      </w:r>
      <w:r>
        <w:rPr>
          <w:rFonts w:ascii="Times New Roman" w:hAnsi="Times New Roman" w:cs="Times New Roman"/>
          <w:sz w:val="20"/>
          <w:szCs w:val="20"/>
        </w:rPr>
        <w:fldChar w:fldCharType="end"/>
      </w:r>
    </w:p>
    <w:p w:rsidR="00000000" w:rsidRDefault="008E203B">
      <w:pPr>
        <w:pStyle w:val="a3"/>
        <w:spacing w:before="0" w:beforeAutospacing="0" w:after="0" w:afterAutospacing="0"/>
        <w:divId w:val="2028826360"/>
        <w:rPr>
          <w:rFonts w:ascii="Times New Roman" w:hAnsi="Times New Roman" w:cs="Times New Roman"/>
          <w:sz w:val="20"/>
          <w:szCs w:val="20"/>
        </w:rPr>
      </w:pPr>
      <w:r>
        <w:rPr>
          <w:rFonts w:ascii="Times New Roman" w:hAnsi="Times New Roman" w:cs="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99"/>
        <w:gridCol w:w="7226"/>
        <w:gridCol w:w="581"/>
      </w:tblGrid>
      <w:tr w:rsidR="00000000">
        <w:trPr>
          <w:divId w:val="2028826360"/>
          <w:tblCellSpacing w:w="0" w:type="dxa"/>
        </w:trPr>
        <w:tc>
          <w:tcPr>
            <w:tcW w:w="300" w:type="pct"/>
            <w:gridSpan w:val="2"/>
            <w:hideMark/>
          </w:tcPr>
          <w:p w:rsidR="00000000" w:rsidRDefault="008E203B">
            <w:pPr>
              <w:pStyle w:val="a3"/>
              <w:spacing w:before="0" w:beforeAutospacing="0" w:after="0" w:afterAutospacing="0"/>
              <w:rPr>
                <w:rFonts w:ascii="Times New Roman" w:hAnsi="Times New Roman" w:cs="Times New Roman"/>
                <w:sz w:val="20"/>
                <w:szCs w:val="20"/>
              </w:rPr>
            </w:pPr>
            <w:hyperlink w:anchor="part1" w:history="1">
              <w:r>
                <w:rPr>
                  <w:rStyle w:val="a4"/>
                  <w:rFonts w:ascii="Times New Roman" w:hAnsi="Times New Roman" w:cs="Times New Roman"/>
                  <w:sz w:val="20"/>
                  <w:szCs w:val="20"/>
                </w:rPr>
                <w:t>Item 1.  Financial Statements.</w:t>
              </w:r>
            </w:hyperlink>
          </w:p>
        </w:tc>
        <w:tc>
          <w:tcPr>
            <w:tcW w:w="350" w:type="pct"/>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r>
      <w:tr w:rsidR="00000000">
        <w:trPr>
          <w:divId w:val="2028826360"/>
          <w:tblCellSpacing w:w="0" w:type="dxa"/>
        </w:trPr>
        <w:tc>
          <w:tcPr>
            <w:tcW w:w="300" w:type="pct"/>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350" w:type="pct"/>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350" w:type="pct"/>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r>
      <w:tr w:rsidR="00000000">
        <w:trPr>
          <w:divId w:val="2028826360"/>
          <w:tblCellSpacing w:w="0" w:type="dxa"/>
        </w:trPr>
        <w:tc>
          <w:tcPr>
            <w:tcW w:w="300" w:type="pct"/>
            <w:gridSpan w:val="2"/>
            <w:hideMark/>
          </w:tcPr>
          <w:p w:rsidR="00000000" w:rsidRDefault="008E203B">
            <w:pPr>
              <w:pStyle w:val="a3"/>
              <w:spacing w:before="0" w:beforeAutospacing="0" w:after="0" w:afterAutospacing="0"/>
              <w:rPr>
                <w:rFonts w:ascii="Times New Roman" w:hAnsi="Times New Roman" w:cs="Times New Roman"/>
                <w:sz w:val="20"/>
                <w:szCs w:val="20"/>
              </w:rPr>
            </w:pPr>
            <w:hyperlink w:anchor="part1" w:history="1">
              <w:r>
                <w:rPr>
                  <w:rStyle w:val="a4"/>
                  <w:rFonts w:ascii="Times New Roman" w:hAnsi="Times New Roman" w:cs="Times New Roman"/>
                  <w:color w:val="2980B9"/>
                  <w:sz w:val="20"/>
                  <w:szCs w:val="20"/>
                </w:rPr>
                <w:t>Condensed Consolidated Financial Statements </w:t>
              </w:r>
            </w:hyperlink>
            <w:r>
              <w:rPr>
                <w:rFonts w:ascii="Times New Roman" w:hAnsi="Times New Roman" w:cs="Times New Roman"/>
                <w:color w:val="2980B9"/>
                <w:sz w:val="20"/>
                <w:szCs w:val="20"/>
                <w:u w:val="single"/>
              </w:rPr>
              <w:t>of Kimco Realty Corporation and Subsidiaries (Unaudited)</w:t>
            </w:r>
            <w:r>
              <w:rPr>
                <w:rFonts w:ascii="Times New Roman" w:hAnsi="Times New Roman" w:cs="Times New Roman"/>
                <w:color w:val="2980B9"/>
                <w:sz w:val="20"/>
                <w:szCs w:val="20"/>
                <w:u w:val="single"/>
              </w:rPr>
              <w:t> </w:t>
            </w:r>
            <w:hyperlink w:anchor="part1" w:history="1">
              <w:r>
                <w:rPr>
                  <w:rStyle w:val="a4"/>
                  <w:rFonts w:ascii="Times New Roman" w:hAnsi="Times New Roman" w:cs="Times New Roman"/>
                  <w:color w:val="2980B9"/>
                  <w:sz w:val="20"/>
                  <w:szCs w:val="20"/>
                </w:rPr>
                <w:t>-</w:t>
              </w:r>
            </w:hyperlink>
          </w:p>
        </w:tc>
        <w:tc>
          <w:tcPr>
            <w:tcW w:w="350" w:type="pct"/>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r>
      <w:tr w:rsidR="00000000">
        <w:trPr>
          <w:divId w:val="2028826360"/>
          <w:tblCellSpacing w:w="0" w:type="dxa"/>
        </w:trPr>
        <w:tc>
          <w:tcPr>
            <w:tcW w:w="300" w:type="pct"/>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350" w:type="pct"/>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350" w:type="pct"/>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r>
      <w:tr w:rsidR="00000000">
        <w:trPr>
          <w:divId w:val="2028826360"/>
          <w:tblCellSpacing w:w="0" w:type="dxa"/>
        </w:trPr>
        <w:tc>
          <w:tcPr>
            <w:tcW w:w="300" w:type="pct"/>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350" w:type="pct"/>
            <w:hideMark/>
          </w:tcPr>
          <w:p w:rsidR="00000000" w:rsidRDefault="008E203B">
            <w:pPr>
              <w:pStyle w:val="a3"/>
              <w:spacing w:before="0" w:beforeAutospacing="0" w:after="0" w:afterAutospacing="0"/>
              <w:rPr>
                <w:rFonts w:ascii="Times New Roman" w:hAnsi="Times New Roman" w:cs="Times New Roman"/>
                <w:sz w:val="20"/>
                <w:szCs w:val="20"/>
              </w:rPr>
            </w:pPr>
            <w:hyperlink w:anchor="part1" w:history="1">
              <w:r>
                <w:rPr>
                  <w:rStyle w:val="a4"/>
                  <w:rFonts w:ascii="Times New Roman" w:hAnsi="Times New Roman" w:cs="Times New Roman"/>
                  <w:sz w:val="20"/>
                  <w:szCs w:val="20"/>
                </w:rPr>
                <w:t>Condensed Consolidated Balance Sheets as of March 31, 2019 and December 31, 2</w:t>
              </w:r>
              <w:r>
                <w:rPr>
                  <w:rStyle w:val="a4"/>
                  <w:rFonts w:ascii="Times New Roman" w:hAnsi="Times New Roman" w:cs="Times New Roman"/>
                  <w:sz w:val="20"/>
                  <w:szCs w:val="20"/>
                </w:rPr>
                <w:t>018</w:t>
              </w:r>
            </w:hyperlink>
          </w:p>
        </w:tc>
        <w:tc>
          <w:tcPr>
            <w:tcW w:w="350" w:type="pct"/>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3</w:t>
            </w:r>
          </w:p>
        </w:tc>
      </w:tr>
      <w:tr w:rsidR="00000000">
        <w:trPr>
          <w:divId w:val="2028826360"/>
          <w:tblCellSpacing w:w="0" w:type="dxa"/>
        </w:trPr>
        <w:tc>
          <w:tcPr>
            <w:tcW w:w="300" w:type="pct"/>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350" w:type="pct"/>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350" w:type="pct"/>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2028826360"/>
          <w:tblCellSpacing w:w="0" w:type="dxa"/>
        </w:trPr>
        <w:tc>
          <w:tcPr>
            <w:tcW w:w="300" w:type="pct"/>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350" w:type="pct"/>
            <w:hideMark/>
          </w:tcPr>
          <w:p w:rsidR="00000000" w:rsidRDefault="008E203B">
            <w:pPr>
              <w:pStyle w:val="a3"/>
              <w:spacing w:before="0" w:beforeAutospacing="0" w:after="0" w:afterAutospacing="0"/>
              <w:rPr>
                <w:rFonts w:ascii="Times New Roman" w:hAnsi="Times New Roman" w:cs="Times New Roman"/>
                <w:sz w:val="20"/>
                <w:szCs w:val="20"/>
              </w:rPr>
            </w:pPr>
            <w:hyperlink w:anchor="income" w:history="1">
              <w:r>
                <w:rPr>
                  <w:rStyle w:val="a4"/>
                  <w:rFonts w:ascii="Times New Roman" w:hAnsi="Times New Roman" w:cs="Times New Roman"/>
                  <w:sz w:val="20"/>
                  <w:szCs w:val="20"/>
                </w:rPr>
                <w:t>Condensed Consolidated Statements of Income for the Three Months Ended March 31, 2019 and 2018</w:t>
              </w:r>
            </w:hyperlink>
          </w:p>
        </w:tc>
        <w:tc>
          <w:tcPr>
            <w:tcW w:w="350" w:type="pct"/>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4</w:t>
            </w:r>
          </w:p>
        </w:tc>
      </w:tr>
      <w:tr w:rsidR="00000000">
        <w:trPr>
          <w:divId w:val="2028826360"/>
          <w:tblCellSpacing w:w="0" w:type="dxa"/>
        </w:trPr>
        <w:tc>
          <w:tcPr>
            <w:tcW w:w="300" w:type="pct"/>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350" w:type="pct"/>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350" w:type="pct"/>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2028826360"/>
          <w:tblCellSpacing w:w="0" w:type="dxa"/>
        </w:trPr>
        <w:tc>
          <w:tcPr>
            <w:tcW w:w="300" w:type="pct"/>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350" w:type="pct"/>
            <w:hideMark/>
          </w:tcPr>
          <w:p w:rsidR="00000000" w:rsidRDefault="008E203B">
            <w:pPr>
              <w:pStyle w:val="a3"/>
              <w:spacing w:before="0" w:beforeAutospacing="0" w:after="0" w:afterAutospacing="0"/>
              <w:rPr>
                <w:rFonts w:ascii="Times New Roman" w:hAnsi="Times New Roman" w:cs="Times New Roman"/>
                <w:sz w:val="20"/>
                <w:szCs w:val="20"/>
              </w:rPr>
            </w:pPr>
            <w:hyperlink w:anchor="compincome" w:history="1">
              <w:r>
                <w:rPr>
                  <w:rStyle w:val="a4"/>
                  <w:rFonts w:ascii="Times New Roman" w:hAnsi="Times New Roman" w:cs="Times New Roman"/>
                  <w:sz w:val="20"/>
                  <w:szCs w:val="20"/>
                </w:rPr>
                <w:t>Condensed Consolidated Statements of Comprehensive Income for the Three Months Ended March 31, 2019 and 2018</w:t>
              </w:r>
            </w:hyperlink>
          </w:p>
        </w:tc>
        <w:tc>
          <w:tcPr>
            <w:tcW w:w="350" w:type="pct"/>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5</w:t>
            </w:r>
          </w:p>
        </w:tc>
      </w:tr>
      <w:tr w:rsidR="00000000">
        <w:trPr>
          <w:divId w:val="2028826360"/>
          <w:tblCellSpacing w:w="0" w:type="dxa"/>
        </w:trPr>
        <w:tc>
          <w:tcPr>
            <w:tcW w:w="300" w:type="pct"/>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350" w:type="pct"/>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350" w:type="pct"/>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2028826360"/>
          <w:tblCellSpacing w:w="0" w:type="dxa"/>
        </w:trPr>
        <w:tc>
          <w:tcPr>
            <w:tcW w:w="300" w:type="pct"/>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350" w:type="pct"/>
            <w:hideMark/>
          </w:tcPr>
          <w:p w:rsidR="00000000" w:rsidRDefault="008E203B">
            <w:pPr>
              <w:pStyle w:val="a3"/>
              <w:spacing w:before="0" w:beforeAutospacing="0" w:after="0" w:afterAutospacing="0"/>
              <w:rPr>
                <w:rFonts w:ascii="Times New Roman" w:hAnsi="Times New Roman" w:cs="Times New Roman"/>
                <w:sz w:val="20"/>
                <w:szCs w:val="20"/>
              </w:rPr>
            </w:pPr>
            <w:hyperlink w:anchor="equity" w:history="1">
              <w:r>
                <w:rPr>
                  <w:rStyle w:val="a4"/>
                  <w:rFonts w:ascii="Times New Roman" w:hAnsi="Times New Roman" w:cs="Times New Roman"/>
                  <w:sz w:val="20"/>
                  <w:szCs w:val="20"/>
                </w:rPr>
                <w:t>Condensed Consolidated Statements of Changes in Equity for the Three Months Ended March 31, 2019 and 2</w:t>
              </w:r>
              <w:r>
                <w:rPr>
                  <w:rStyle w:val="a4"/>
                  <w:rFonts w:ascii="Times New Roman" w:hAnsi="Times New Roman" w:cs="Times New Roman"/>
                  <w:sz w:val="20"/>
                  <w:szCs w:val="20"/>
                </w:rPr>
                <w:t>018</w:t>
              </w:r>
            </w:hyperlink>
          </w:p>
        </w:tc>
        <w:tc>
          <w:tcPr>
            <w:tcW w:w="350" w:type="pct"/>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6</w:t>
            </w:r>
          </w:p>
        </w:tc>
      </w:tr>
      <w:tr w:rsidR="00000000">
        <w:trPr>
          <w:divId w:val="2028826360"/>
          <w:tblCellSpacing w:w="0" w:type="dxa"/>
        </w:trPr>
        <w:tc>
          <w:tcPr>
            <w:tcW w:w="300" w:type="pct"/>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350" w:type="pct"/>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350" w:type="pct"/>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2028826360"/>
          <w:tblCellSpacing w:w="0" w:type="dxa"/>
        </w:trPr>
        <w:tc>
          <w:tcPr>
            <w:tcW w:w="300" w:type="pct"/>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350" w:type="pct"/>
            <w:hideMark/>
          </w:tcPr>
          <w:p w:rsidR="00000000" w:rsidRDefault="008E203B">
            <w:pPr>
              <w:pStyle w:val="a3"/>
              <w:spacing w:before="0" w:beforeAutospacing="0" w:after="0" w:afterAutospacing="0"/>
              <w:rPr>
                <w:rFonts w:ascii="Times New Roman" w:hAnsi="Times New Roman" w:cs="Times New Roman"/>
                <w:sz w:val="20"/>
                <w:szCs w:val="20"/>
              </w:rPr>
            </w:pPr>
            <w:hyperlink w:anchor="cashflow" w:history="1">
              <w:r>
                <w:rPr>
                  <w:rStyle w:val="a4"/>
                  <w:rFonts w:ascii="Times New Roman" w:hAnsi="Times New Roman" w:cs="Times New Roman"/>
                  <w:sz w:val="20"/>
                  <w:szCs w:val="20"/>
                </w:rPr>
                <w:t>Condensed Consolidated Statements of Cash Flows for the Three Months Ended March 31, 2019 and 2018</w:t>
              </w:r>
            </w:hyperlink>
          </w:p>
        </w:tc>
        <w:tc>
          <w:tcPr>
            <w:tcW w:w="350" w:type="pct"/>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7</w:t>
            </w:r>
          </w:p>
        </w:tc>
      </w:tr>
      <w:tr w:rsidR="00000000">
        <w:trPr>
          <w:divId w:val="2028826360"/>
          <w:tblCellSpacing w:w="0" w:type="dxa"/>
        </w:trPr>
        <w:tc>
          <w:tcPr>
            <w:tcW w:w="300" w:type="pct"/>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350" w:type="pct"/>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350" w:type="pct"/>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2028826360"/>
          <w:tblCellSpacing w:w="0" w:type="dxa"/>
        </w:trPr>
        <w:tc>
          <w:tcPr>
            <w:tcW w:w="300" w:type="pct"/>
            <w:gridSpan w:val="2"/>
            <w:hideMark/>
          </w:tcPr>
          <w:p w:rsidR="00000000" w:rsidRDefault="008E203B">
            <w:pPr>
              <w:rPr>
                <w:rFonts w:ascii="Times New Roman" w:hAnsi="Times New Roman" w:cs="Times New Roman"/>
                <w:sz w:val="20"/>
                <w:szCs w:val="20"/>
              </w:rPr>
            </w:pPr>
            <w:hyperlink w:anchor="notes" w:history="1">
              <w:r>
                <w:rPr>
                  <w:rStyle w:val="a4"/>
                  <w:rFonts w:ascii="Times New Roman" w:hAnsi="Times New Roman" w:cs="Times New Roman"/>
                  <w:sz w:val="20"/>
                  <w:szCs w:val="20"/>
                </w:rPr>
                <w:t>Notes to Condensed Consolidated Financial Statements.</w:t>
              </w:r>
            </w:hyperlink>
          </w:p>
        </w:tc>
        <w:tc>
          <w:tcPr>
            <w:tcW w:w="350" w:type="pct"/>
            <w:vAlign w:val="bottom"/>
            <w:hideMark/>
          </w:tcPr>
          <w:p w:rsidR="00000000" w:rsidRDefault="008E203B">
            <w:pPr>
              <w:jc w:val="center"/>
              <w:rPr>
                <w:rFonts w:ascii="Times New Roman" w:hAnsi="Times New Roman" w:cs="Times New Roman"/>
                <w:sz w:val="20"/>
                <w:szCs w:val="20"/>
              </w:rPr>
            </w:pPr>
            <w:r>
              <w:rPr>
                <w:rFonts w:ascii="Times New Roman" w:hAnsi="Times New Roman" w:cs="Times New Roman"/>
                <w:sz w:val="20"/>
                <w:szCs w:val="20"/>
              </w:rPr>
              <w:t>8</w:t>
            </w:r>
          </w:p>
        </w:tc>
      </w:tr>
    </w:tbl>
    <w:p w:rsidR="00000000" w:rsidRDefault="008E203B">
      <w:pPr>
        <w:pStyle w:val="a3"/>
        <w:spacing w:before="0" w:beforeAutospacing="0" w:after="0" w:afterAutospacing="0"/>
        <w:divId w:val="2028826360"/>
        <w:rPr>
          <w:rFonts w:ascii="Times New Roman" w:hAnsi="Times New Roman" w:cs="Times New Roman"/>
          <w:sz w:val="20"/>
          <w:szCs w:val="20"/>
        </w:rPr>
      </w:pPr>
      <w:r>
        <w:rPr>
          <w:rFonts w:ascii="Times New Roman" w:hAnsi="Times New Roman" w:cs="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65"/>
        <w:gridCol w:w="7060"/>
        <w:gridCol w:w="581"/>
      </w:tblGrid>
      <w:tr w:rsidR="00000000">
        <w:trPr>
          <w:divId w:val="2028826360"/>
          <w:tblCellSpacing w:w="0" w:type="dxa"/>
        </w:trPr>
        <w:tc>
          <w:tcPr>
            <w:tcW w:w="400" w:type="pct"/>
            <w:gridSpan w:val="2"/>
            <w:vAlign w:val="center"/>
            <w:hideMark/>
          </w:tcPr>
          <w:p w:rsidR="00000000" w:rsidRDefault="008E203B">
            <w:pPr>
              <w:pStyle w:val="a3"/>
              <w:spacing w:before="0" w:beforeAutospacing="0" w:after="0" w:afterAutospacing="0"/>
              <w:rPr>
                <w:rFonts w:ascii="Times New Roman" w:hAnsi="Times New Roman" w:cs="Times New Roman"/>
                <w:sz w:val="20"/>
                <w:szCs w:val="20"/>
              </w:rPr>
            </w:pPr>
            <w:hyperlink w:anchor="1item2" w:history="1">
              <w:r>
                <w:rPr>
                  <w:rStyle w:val="a4"/>
                  <w:rFonts w:ascii="Times New Roman" w:hAnsi="Times New Roman" w:cs="Times New Roman"/>
                  <w:sz w:val="20"/>
                  <w:szCs w:val="20"/>
                </w:rPr>
                <w:t>Item 2.  Management'</w:t>
              </w:r>
              <w:r>
                <w:rPr>
                  <w:rStyle w:val="a4"/>
                  <w:rFonts w:ascii="Times New Roman" w:hAnsi="Times New Roman" w:cs="Times New Roman"/>
                  <w:sz w:val="20"/>
                  <w:szCs w:val="20"/>
                </w:rPr>
                <w:t>s Discussion and Analysis of Financial Condition and Results of Operations.</w:t>
              </w:r>
            </w:hyperlink>
          </w:p>
        </w:tc>
        <w:tc>
          <w:tcPr>
            <w:tcW w:w="350" w:type="pct"/>
            <w:vAlign w:val="center"/>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21</w:t>
            </w:r>
          </w:p>
        </w:tc>
      </w:tr>
      <w:tr w:rsidR="00000000">
        <w:trPr>
          <w:divId w:val="2028826360"/>
          <w:tblCellSpacing w:w="0" w:type="dxa"/>
        </w:trPr>
        <w:tc>
          <w:tcPr>
            <w:tcW w:w="400" w:type="pct"/>
            <w:vAlign w:val="center"/>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4250" w:type="pct"/>
            <w:vAlign w:val="center"/>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350" w:type="pct"/>
            <w:vAlign w:val="center"/>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2028826360"/>
          <w:tblCellSpacing w:w="0" w:type="dxa"/>
        </w:trPr>
        <w:tc>
          <w:tcPr>
            <w:tcW w:w="400" w:type="pct"/>
            <w:gridSpan w:val="2"/>
            <w:vAlign w:val="center"/>
            <w:hideMark/>
          </w:tcPr>
          <w:p w:rsidR="00000000" w:rsidRDefault="008E203B">
            <w:pPr>
              <w:pStyle w:val="a3"/>
              <w:spacing w:before="0" w:beforeAutospacing="0" w:after="0" w:afterAutospacing="0"/>
              <w:rPr>
                <w:rFonts w:ascii="Times New Roman" w:hAnsi="Times New Roman" w:cs="Times New Roman"/>
                <w:sz w:val="20"/>
                <w:szCs w:val="20"/>
              </w:rPr>
            </w:pPr>
            <w:hyperlink w:anchor="1item3" w:history="1">
              <w:r>
                <w:rPr>
                  <w:rStyle w:val="a4"/>
                  <w:rFonts w:ascii="Times New Roman" w:hAnsi="Times New Roman" w:cs="Times New Roman"/>
                  <w:sz w:val="20"/>
                  <w:szCs w:val="20"/>
                </w:rPr>
                <w:t>Item 3.  Quantitative and Qualitative Disclosures About Market Risk.</w:t>
              </w:r>
            </w:hyperlink>
          </w:p>
        </w:tc>
        <w:tc>
          <w:tcPr>
            <w:tcW w:w="350" w:type="pct"/>
            <w:vAlign w:val="center"/>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31</w:t>
            </w:r>
          </w:p>
        </w:tc>
      </w:tr>
      <w:tr w:rsidR="00000000">
        <w:trPr>
          <w:divId w:val="2028826360"/>
          <w:tblCellSpacing w:w="0" w:type="dxa"/>
        </w:trPr>
        <w:tc>
          <w:tcPr>
            <w:tcW w:w="400" w:type="pct"/>
            <w:vAlign w:val="center"/>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4250" w:type="pct"/>
            <w:vAlign w:val="center"/>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350" w:type="pct"/>
            <w:vAlign w:val="center"/>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2028826360"/>
          <w:tblCellSpacing w:w="0" w:type="dxa"/>
        </w:trPr>
        <w:tc>
          <w:tcPr>
            <w:tcW w:w="400" w:type="pct"/>
            <w:gridSpan w:val="2"/>
            <w:vAlign w:val="center"/>
            <w:hideMark/>
          </w:tcPr>
          <w:p w:rsidR="00000000" w:rsidRDefault="008E203B">
            <w:pPr>
              <w:pStyle w:val="a3"/>
              <w:spacing w:before="0" w:beforeAutospacing="0" w:after="0" w:afterAutospacing="0"/>
              <w:rPr>
                <w:rFonts w:ascii="Times New Roman" w:hAnsi="Times New Roman" w:cs="Times New Roman"/>
                <w:sz w:val="20"/>
                <w:szCs w:val="20"/>
              </w:rPr>
            </w:pPr>
            <w:hyperlink w:anchor="1item4" w:history="1">
              <w:r>
                <w:rPr>
                  <w:rStyle w:val="a4"/>
                  <w:rFonts w:ascii="Times New Roman" w:hAnsi="Times New Roman" w:cs="Times New Roman"/>
                  <w:sz w:val="20"/>
                  <w:szCs w:val="20"/>
                </w:rPr>
                <w:t xml:space="preserve">Item 4.  </w:t>
              </w:r>
              <w:r>
                <w:rPr>
                  <w:rStyle w:val="a4"/>
                  <w:rFonts w:ascii="Times New Roman" w:hAnsi="Times New Roman" w:cs="Times New Roman"/>
                  <w:sz w:val="20"/>
                  <w:szCs w:val="20"/>
                </w:rPr>
                <w:t>Controls and Procedures.</w:t>
              </w:r>
            </w:hyperlink>
          </w:p>
        </w:tc>
        <w:tc>
          <w:tcPr>
            <w:tcW w:w="350" w:type="pct"/>
            <w:vAlign w:val="center"/>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31</w:t>
            </w:r>
          </w:p>
        </w:tc>
      </w:tr>
      <w:tr w:rsidR="00000000">
        <w:trPr>
          <w:divId w:val="2028826360"/>
          <w:tblCellSpacing w:w="0" w:type="dxa"/>
        </w:trPr>
        <w:tc>
          <w:tcPr>
            <w:tcW w:w="400" w:type="pct"/>
            <w:vAlign w:val="center"/>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4250" w:type="pct"/>
            <w:vAlign w:val="center"/>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350" w:type="pct"/>
            <w:vAlign w:val="center"/>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2028826360"/>
          <w:tblCellSpacing w:w="0" w:type="dxa"/>
        </w:trPr>
        <w:tc>
          <w:tcPr>
            <w:tcW w:w="4650" w:type="pct"/>
            <w:gridSpan w:val="3"/>
            <w:vAlign w:val="center"/>
            <w:hideMark/>
          </w:tcPr>
          <w:p w:rsidR="00000000" w:rsidRDefault="008E203B">
            <w:pPr>
              <w:pStyle w:val="a3"/>
              <w:spacing w:before="0" w:beforeAutospacing="0" w:after="0" w:afterAutospacing="0"/>
              <w:jc w:val="center"/>
              <w:rPr>
                <w:rFonts w:ascii="Times New Roman" w:hAnsi="Times New Roman" w:cs="Times New Roman"/>
                <w:sz w:val="20"/>
                <w:szCs w:val="20"/>
              </w:rPr>
            </w:pPr>
            <w:hyperlink w:anchor="part2" w:history="1">
              <w:r>
                <w:rPr>
                  <w:rStyle w:val="a4"/>
                  <w:rFonts w:ascii="Times New Roman" w:hAnsi="Times New Roman" w:cs="Times New Roman"/>
                  <w:sz w:val="20"/>
                  <w:szCs w:val="20"/>
                </w:rPr>
                <w:t>PART II - OTHER INFORMATION</w:t>
              </w:r>
            </w:hyperlink>
          </w:p>
        </w:tc>
      </w:tr>
      <w:tr w:rsidR="00000000">
        <w:trPr>
          <w:divId w:val="2028826360"/>
          <w:tblCellSpacing w:w="0" w:type="dxa"/>
        </w:trPr>
        <w:tc>
          <w:tcPr>
            <w:tcW w:w="4650" w:type="pct"/>
            <w:gridSpan w:val="3"/>
            <w:vAlign w:val="center"/>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2028826360"/>
          <w:tblCellSpacing w:w="0" w:type="dxa"/>
        </w:trPr>
        <w:tc>
          <w:tcPr>
            <w:tcW w:w="400" w:type="pct"/>
            <w:gridSpan w:val="2"/>
            <w:vAlign w:val="center"/>
            <w:hideMark/>
          </w:tcPr>
          <w:p w:rsidR="00000000" w:rsidRDefault="008E203B">
            <w:pPr>
              <w:pStyle w:val="a3"/>
              <w:spacing w:before="0" w:beforeAutospacing="0" w:after="0" w:afterAutospacing="0"/>
              <w:rPr>
                <w:rFonts w:ascii="Times New Roman" w:hAnsi="Times New Roman" w:cs="Times New Roman"/>
                <w:sz w:val="20"/>
                <w:szCs w:val="20"/>
              </w:rPr>
            </w:pPr>
            <w:hyperlink w:anchor="2item1" w:history="1">
              <w:r>
                <w:rPr>
                  <w:rStyle w:val="a4"/>
                  <w:rFonts w:ascii="Times New Roman" w:hAnsi="Times New Roman" w:cs="Times New Roman"/>
                  <w:sz w:val="20"/>
                  <w:szCs w:val="20"/>
                </w:rPr>
                <w:t>Item 1.  Legal Proceedings.</w:t>
              </w:r>
            </w:hyperlink>
          </w:p>
        </w:tc>
        <w:tc>
          <w:tcPr>
            <w:tcW w:w="350" w:type="pct"/>
            <w:vAlign w:val="center"/>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32</w:t>
            </w:r>
          </w:p>
        </w:tc>
      </w:tr>
      <w:tr w:rsidR="00000000">
        <w:trPr>
          <w:divId w:val="2028826360"/>
          <w:tblCellSpacing w:w="0" w:type="dxa"/>
        </w:trPr>
        <w:tc>
          <w:tcPr>
            <w:tcW w:w="400" w:type="pct"/>
            <w:vAlign w:val="center"/>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4250" w:type="pct"/>
            <w:vAlign w:val="center"/>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350" w:type="pct"/>
            <w:vAlign w:val="center"/>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2028826360"/>
          <w:tblCellSpacing w:w="0" w:type="dxa"/>
        </w:trPr>
        <w:tc>
          <w:tcPr>
            <w:tcW w:w="400" w:type="pct"/>
            <w:gridSpan w:val="2"/>
            <w:vAlign w:val="center"/>
            <w:hideMark/>
          </w:tcPr>
          <w:p w:rsidR="00000000" w:rsidRDefault="008E203B">
            <w:pPr>
              <w:pStyle w:val="a3"/>
              <w:spacing w:before="0" w:beforeAutospacing="0" w:after="0" w:afterAutospacing="0"/>
              <w:rPr>
                <w:rFonts w:ascii="Times New Roman" w:hAnsi="Times New Roman" w:cs="Times New Roman"/>
                <w:sz w:val="20"/>
                <w:szCs w:val="20"/>
              </w:rPr>
            </w:pPr>
            <w:hyperlink w:anchor="2item1a" w:history="1">
              <w:r>
                <w:rPr>
                  <w:rStyle w:val="a4"/>
                  <w:rFonts w:ascii="Times New Roman" w:hAnsi="Times New Roman" w:cs="Times New Roman"/>
                  <w:sz w:val="20"/>
                  <w:szCs w:val="20"/>
                </w:rPr>
                <w:t>Item 1A.  Risk Factors.</w:t>
              </w:r>
            </w:hyperlink>
          </w:p>
        </w:tc>
        <w:tc>
          <w:tcPr>
            <w:tcW w:w="350" w:type="pct"/>
            <w:vAlign w:val="center"/>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32</w:t>
            </w:r>
          </w:p>
        </w:tc>
      </w:tr>
      <w:tr w:rsidR="00000000">
        <w:trPr>
          <w:divId w:val="2028826360"/>
          <w:tblCellSpacing w:w="0" w:type="dxa"/>
        </w:trPr>
        <w:tc>
          <w:tcPr>
            <w:tcW w:w="400" w:type="pct"/>
            <w:vAlign w:val="center"/>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4250" w:type="pct"/>
            <w:vAlign w:val="center"/>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350" w:type="pct"/>
            <w:vAlign w:val="center"/>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2028826360"/>
          <w:tblCellSpacing w:w="0" w:type="dxa"/>
        </w:trPr>
        <w:tc>
          <w:tcPr>
            <w:tcW w:w="400" w:type="pct"/>
            <w:gridSpan w:val="2"/>
            <w:vAlign w:val="center"/>
            <w:hideMark/>
          </w:tcPr>
          <w:p w:rsidR="00000000" w:rsidRDefault="008E203B">
            <w:pPr>
              <w:pStyle w:val="a3"/>
              <w:spacing w:before="0" w:beforeAutospacing="0" w:after="0" w:afterAutospacing="0"/>
              <w:rPr>
                <w:rFonts w:ascii="Times New Roman" w:hAnsi="Times New Roman" w:cs="Times New Roman"/>
                <w:sz w:val="20"/>
                <w:szCs w:val="20"/>
              </w:rPr>
            </w:pPr>
            <w:hyperlink w:anchor="2item2" w:history="1">
              <w:r>
                <w:rPr>
                  <w:rStyle w:val="a4"/>
                  <w:rFonts w:ascii="Times New Roman" w:hAnsi="Times New Roman" w:cs="Times New Roman"/>
                  <w:sz w:val="20"/>
                  <w:szCs w:val="20"/>
                </w:rPr>
                <w:t>Item 2.  Unregistered Sales of Equity Securities and Use of Proceeds.</w:t>
              </w:r>
            </w:hyperlink>
          </w:p>
        </w:tc>
        <w:tc>
          <w:tcPr>
            <w:tcW w:w="350" w:type="pct"/>
            <w:vAlign w:val="center"/>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32</w:t>
            </w:r>
          </w:p>
        </w:tc>
      </w:tr>
      <w:tr w:rsidR="00000000">
        <w:trPr>
          <w:divId w:val="2028826360"/>
          <w:tblCellSpacing w:w="0" w:type="dxa"/>
        </w:trPr>
        <w:tc>
          <w:tcPr>
            <w:tcW w:w="400" w:type="pct"/>
            <w:vAlign w:val="center"/>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4250" w:type="pct"/>
            <w:vAlign w:val="center"/>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350" w:type="pct"/>
            <w:vAlign w:val="center"/>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2028826360"/>
          <w:tblCellSpacing w:w="0" w:type="dxa"/>
        </w:trPr>
        <w:tc>
          <w:tcPr>
            <w:tcW w:w="400" w:type="pct"/>
            <w:gridSpan w:val="2"/>
            <w:vAlign w:val="center"/>
            <w:hideMark/>
          </w:tcPr>
          <w:p w:rsidR="00000000" w:rsidRDefault="008E203B">
            <w:pPr>
              <w:pStyle w:val="a3"/>
              <w:spacing w:before="0" w:beforeAutospacing="0" w:after="0" w:afterAutospacing="0"/>
              <w:rPr>
                <w:rFonts w:ascii="Times New Roman" w:hAnsi="Times New Roman" w:cs="Times New Roman"/>
                <w:sz w:val="20"/>
                <w:szCs w:val="20"/>
              </w:rPr>
            </w:pPr>
            <w:hyperlink w:anchor="2item3" w:history="1">
              <w:r>
                <w:rPr>
                  <w:rStyle w:val="a4"/>
                  <w:rFonts w:ascii="Times New Roman" w:hAnsi="Times New Roman" w:cs="Times New Roman"/>
                  <w:sz w:val="20"/>
                  <w:szCs w:val="20"/>
                </w:rPr>
                <w:t>Item 3.  Defaults Upon Senior Securities.</w:t>
              </w:r>
            </w:hyperlink>
          </w:p>
        </w:tc>
        <w:tc>
          <w:tcPr>
            <w:tcW w:w="350" w:type="pct"/>
            <w:vAlign w:val="center"/>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32</w:t>
            </w:r>
          </w:p>
        </w:tc>
      </w:tr>
      <w:tr w:rsidR="00000000">
        <w:trPr>
          <w:divId w:val="2028826360"/>
          <w:tblCellSpacing w:w="0" w:type="dxa"/>
        </w:trPr>
        <w:tc>
          <w:tcPr>
            <w:tcW w:w="400" w:type="pct"/>
            <w:vAlign w:val="center"/>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4250" w:type="pct"/>
            <w:vAlign w:val="center"/>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350" w:type="pct"/>
            <w:vAlign w:val="center"/>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2028826360"/>
          <w:tblCellSpacing w:w="0" w:type="dxa"/>
        </w:trPr>
        <w:tc>
          <w:tcPr>
            <w:tcW w:w="400" w:type="pct"/>
            <w:gridSpan w:val="2"/>
            <w:vAlign w:val="center"/>
            <w:hideMark/>
          </w:tcPr>
          <w:p w:rsidR="00000000" w:rsidRDefault="008E203B">
            <w:pPr>
              <w:pStyle w:val="a3"/>
              <w:spacing w:before="0" w:beforeAutospacing="0" w:after="0" w:afterAutospacing="0"/>
              <w:rPr>
                <w:rFonts w:ascii="Times New Roman" w:hAnsi="Times New Roman" w:cs="Times New Roman"/>
                <w:sz w:val="20"/>
                <w:szCs w:val="20"/>
              </w:rPr>
            </w:pPr>
            <w:hyperlink w:anchor="2item4" w:history="1">
              <w:r>
                <w:rPr>
                  <w:rStyle w:val="a4"/>
                  <w:rFonts w:ascii="Times New Roman" w:hAnsi="Times New Roman" w:cs="Times New Roman"/>
                  <w:sz w:val="20"/>
                  <w:szCs w:val="20"/>
                </w:rPr>
                <w:t>Item 4.  Mine Safety Disclosures.</w:t>
              </w:r>
            </w:hyperlink>
          </w:p>
        </w:tc>
        <w:tc>
          <w:tcPr>
            <w:tcW w:w="350" w:type="pct"/>
            <w:vAlign w:val="center"/>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32</w:t>
            </w:r>
          </w:p>
        </w:tc>
      </w:tr>
      <w:tr w:rsidR="00000000">
        <w:trPr>
          <w:divId w:val="2028826360"/>
          <w:tblCellSpacing w:w="0" w:type="dxa"/>
        </w:trPr>
        <w:tc>
          <w:tcPr>
            <w:tcW w:w="400" w:type="pct"/>
            <w:vAlign w:val="center"/>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4250" w:type="pct"/>
            <w:vAlign w:val="center"/>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350" w:type="pct"/>
            <w:vAlign w:val="center"/>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2028826360"/>
          <w:tblCellSpacing w:w="0" w:type="dxa"/>
        </w:trPr>
        <w:tc>
          <w:tcPr>
            <w:tcW w:w="400" w:type="pct"/>
            <w:gridSpan w:val="2"/>
            <w:vAlign w:val="center"/>
            <w:hideMark/>
          </w:tcPr>
          <w:p w:rsidR="00000000" w:rsidRDefault="008E203B">
            <w:pPr>
              <w:pStyle w:val="a3"/>
              <w:spacing w:before="0" w:beforeAutospacing="0" w:after="0" w:afterAutospacing="0"/>
              <w:rPr>
                <w:rFonts w:ascii="Times New Roman" w:hAnsi="Times New Roman" w:cs="Times New Roman"/>
                <w:sz w:val="20"/>
                <w:szCs w:val="20"/>
              </w:rPr>
            </w:pPr>
            <w:hyperlink w:anchor="2item5" w:history="1">
              <w:r>
                <w:rPr>
                  <w:rStyle w:val="a4"/>
                  <w:rFonts w:ascii="Times New Roman" w:hAnsi="Times New Roman" w:cs="Times New Roman"/>
                  <w:sz w:val="20"/>
                  <w:szCs w:val="20"/>
                </w:rPr>
                <w:t>Item 5.  Other Information.</w:t>
              </w:r>
            </w:hyperlink>
          </w:p>
        </w:tc>
        <w:tc>
          <w:tcPr>
            <w:tcW w:w="350" w:type="pct"/>
            <w:vAlign w:val="center"/>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32</w:t>
            </w:r>
          </w:p>
        </w:tc>
      </w:tr>
      <w:tr w:rsidR="00000000">
        <w:trPr>
          <w:divId w:val="2028826360"/>
          <w:tblCellSpacing w:w="0" w:type="dxa"/>
        </w:trPr>
        <w:tc>
          <w:tcPr>
            <w:tcW w:w="400" w:type="pct"/>
            <w:vAlign w:val="center"/>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4250" w:type="pct"/>
            <w:vAlign w:val="center"/>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350" w:type="pct"/>
            <w:vAlign w:val="center"/>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2028826360"/>
          <w:tblCellSpacing w:w="0" w:type="dxa"/>
        </w:trPr>
        <w:tc>
          <w:tcPr>
            <w:tcW w:w="400" w:type="pct"/>
            <w:gridSpan w:val="2"/>
            <w:vAlign w:val="center"/>
            <w:hideMark/>
          </w:tcPr>
          <w:p w:rsidR="00000000" w:rsidRDefault="008E203B">
            <w:pPr>
              <w:pStyle w:val="a3"/>
              <w:spacing w:before="0" w:beforeAutospacing="0" w:after="0" w:afterAutospacing="0"/>
              <w:rPr>
                <w:rFonts w:ascii="Times New Roman" w:hAnsi="Times New Roman" w:cs="Times New Roman"/>
                <w:sz w:val="20"/>
                <w:szCs w:val="20"/>
              </w:rPr>
            </w:pPr>
            <w:hyperlink w:anchor="2item6" w:history="1">
              <w:r>
                <w:rPr>
                  <w:rStyle w:val="a4"/>
                  <w:rFonts w:ascii="Times New Roman" w:hAnsi="Times New Roman" w:cs="Times New Roman"/>
                  <w:sz w:val="20"/>
                  <w:szCs w:val="20"/>
                </w:rPr>
                <w:t>Item 6.  Exhibits.</w:t>
              </w:r>
            </w:hyperlink>
          </w:p>
        </w:tc>
        <w:tc>
          <w:tcPr>
            <w:tcW w:w="350" w:type="pct"/>
            <w:vAlign w:val="center"/>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33</w:t>
            </w:r>
          </w:p>
        </w:tc>
      </w:tr>
      <w:tr w:rsidR="00000000">
        <w:trPr>
          <w:divId w:val="2028826360"/>
          <w:tblCellSpacing w:w="0" w:type="dxa"/>
        </w:trPr>
        <w:tc>
          <w:tcPr>
            <w:tcW w:w="400" w:type="pct"/>
            <w:vAlign w:val="center"/>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4250" w:type="pct"/>
            <w:vAlign w:val="center"/>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350" w:type="pct"/>
            <w:vAlign w:val="center"/>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2028826360"/>
          <w:tblCellSpacing w:w="0" w:type="dxa"/>
        </w:trPr>
        <w:tc>
          <w:tcPr>
            <w:tcW w:w="400" w:type="pct"/>
            <w:gridSpan w:val="2"/>
            <w:vAlign w:val="center"/>
            <w:hideMark/>
          </w:tcPr>
          <w:p w:rsidR="00000000" w:rsidRDefault="008E203B">
            <w:pPr>
              <w:pStyle w:val="a3"/>
              <w:spacing w:before="0" w:beforeAutospacing="0" w:after="0" w:afterAutospacing="0"/>
              <w:rPr>
                <w:rFonts w:ascii="Times New Roman" w:hAnsi="Times New Roman" w:cs="Times New Roman"/>
                <w:sz w:val="20"/>
                <w:szCs w:val="20"/>
              </w:rPr>
            </w:pPr>
            <w:hyperlink w:anchor="sigs" w:history="1">
              <w:r>
                <w:rPr>
                  <w:rStyle w:val="a4"/>
                  <w:rFonts w:ascii="Times New Roman" w:hAnsi="Times New Roman" w:cs="Times New Roman"/>
                  <w:sz w:val="20"/>
                  <w:szCs w:val="20"/>
                </w:rPr>
                <w:t>Signatures</w:t>
              </w:r>
            </w:hyperlink>
          </w:p>
        </w:tc>
        <w:tc>
          <w:tcPr>
            <w:tcW w:w="350" w:type="pct"/>
            <w:vAlign w:val="center"/>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34</w:t>
            </w:r>
          </w:p>
        </w:tc>
      </w:tr>
    </w:tbl>
    <w:p w:rsidR="00000000" w:rsidRDefault="008E203B">
      <w:pPr>
        <w:pStyle w:val="a3"/>
        <w:spacing w:before="0" w:beforeAutospacing="0" w:after="0" w:afterAutospacing="0"/>
        <w:divId w:val="2028826360"/>
        <w:rPr>
          <w:rFonts w:ascii="Times New Roman" w:hAnsi="Times New Roman" w:cs="Times New Roman"/>
          <w:sz w:val="20"/>
          <w:szCs w:val="20"/>
        </w:rPr>
      </w:pPr>
      <w:r>
        <w:rPr>
          <w:rFonts w:ascii="Times New Roman" w:hAnsi="Times New Roman" w:cs="Times New Roman"/>
          <w:b/>
          <w:bCs/>
          <w:sz w:val="20"/>
          <w:szCs w:val="20"/>
        </w:rPr>
        <w:t> </w:t>
      </w:r>
    </w:p>
    <w:p w:rsidR="00000000" w:rsidRDefault="008E203B">
      <w:pPr>
        <w:jc w:val="center"/>
        <w:divId w:val="231550071"/>
        <w:rPr>
          <w:rFonts w:ascii="Times New Roman" w:hAnsi="Times New Roman" w:cs="Times New Roman"/>
          <w:sz w:val="20"/>
          <w:szCs w:val="20"/>
        </w:rPr>
      </w:pPr>
      <w:r>
        <w:rPr>
          <w:rFonts w:ascii="Times New Roman" w:hAnsi="Times New Roman" w:cs="Times New Roman"/>
          <w:sz w:val="20"/>
          <w:szCs w:val="20"/>
        </w:rPr>
        <w:t>2</w:t>
      </w:r>
    </w:p>
    <w:p w:rsidR="00000000" w:rsidRDefault="008E203B">
      <w:pPr>
        <w:divId w:val="231550071"/>
        <w:rPr>
          <w:rFonts w:ascii="Times New Roman" w:hAnsi="Times New Roman" w:cs="Times New Roman"/>
          <w:sz w:val="20"/>
          <w:szCs w:val="20"/>
        </w:rPr>
      </w:pPr>
      <w:r>
        <w:rPr>
          <w:rFonts w:ascii="Times New Roman" w:hAnsi="Times New Roman" w:cs="Times New Roman"/>
          <w:sz w:val="20"/>
          <w:szCs w:val="20"/>
        </w:rPr>
        <w:pict>
          <v:rect id="_x0000_i1030" style="width:415.3pt;height:1.5pt" o:hralign="center" o:hrstd="t" o:hrnoshade="t" o:hr="t" fillcolor="black" stroked="f"/>
        </w:pict>
      </w:r>
    </w:p>
    <w:p w:rsidR="00000000" w:rsidRDefault="008E203B">
      <w:pPr>
        <w:divId w:val="231550071"/>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8E203B">
      <w:pPr>
        <w:pStyle w:val="a3"/>
        <w:spacing w:before="0" w:beforeAutospacing="0" w:after="0" w:afterAutospacing="0"/>
        <w:divId w:val="2028826360"/>
        <w:rPr>
          <w:rFonts w:ascii="Times New Roman" w:hAnsi="Times New Roman" w:cs="Times New Roman"/>
          <w:sz w:val="20"/>
          <w:szCs w:val="20"/>
        </w:rPr>
      </w:pPr>
      <w:r>
        <w:rPr>
          <w:rFonts w:ascii="Times New Roman" w:hAnsi="Times New Roman" w:cs="Times New Roman"/>
          <w:sz w:val="20"/>
          <w:szCs w:val="20"/>
        </w:rPr>
        <w:t> </w:t>
      </w:r>
    </w:p>
    <w:p w:rsidR="00000000" w:rsidRDefault="008E203B">
      <w:pPr>
        <w:divId w:val="1027408373"/>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jc w:val="center"/>
        <w:rPr>
          <w:rFonts w:ascii="Times New Roman" w:hAnsi="Times New Roman" w:cs="Times New Roman"/>
          <w:sz w:val="20"/>
          <w:szCs w:val="20"/>
        </w:rPr>
      </w:pPr>
      <w:bookmarkStart w:id="1" w:name="part1"/>
      <w:bookmarkEnd w:id="1"/>
      <w:r>
        <w:rPr>
          <w:rFonts w:ascii="Times New Roman" w:hAnsi="Times New Roman" w:cs="Times New Roman"/>
          <w:sz w:val="20"/>
          <w:szCs w:val="20"/>
        </w:rPr>
        <w:t>KIMCO REALTY CORPORATION AND SUBSIDIARIES</w:t>
      </w:r>
    </w:p>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CONDENSED CONSOLIDATED BALANCE SHEETS</w:t>
      </w:r>
    </w:p>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(Unaudited)</w:t>
      </w:r>
    </w:p>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(in thousands, except share information)</w:t>
      </w:r>
    </w:p>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809"/>
        <w:gridCol w:w="78"/>
        <w:gridCol w:w="100"/>
        <w:gridCol w:w="992"/>
        <w:gridCol w:w="78"/>
        <w:gridCol w:w="78"/>
        <w:gridCol w:w="100"/>
        <w:gridCol w:w="992"/>
        <w:gridCol w:w="79"/>
      </w:tblGrid>
      <w:tr w:rsidR="00000000">
        <w:trPr>
          <w:divId w:val="1639258368"/>
          <w:tblCellSpacing w:w="0" w:type="dxa"/>
        </w:trPr>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gridSpan w:val="2"/>
            <w:tcBorders>
              <w:bottom w:val="single" w:sz="6" w:space="0" w:color="000000"/>
            </w:tcBorders>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March 31, 2019</w:t>
            </w:r>
          </w:p>
        </w:tc>
        <w:tc>
          <w:tcPr>
            <w:tcW w:w="0" w:type="auto"/>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gridSpan w:val="2"/>
            <w:tcBorders>
              <w:bottom w:val="single" w:sz="6" w:space="0" w:color="000000"/>
            </w:tcBorders>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December 31, 2018</w:t>
            </w:r>
          </w:p>
        </w:tc>
        <w:tc>
          <w:tcPr>
            <w:tcW w:w="0" w:type="auto"/>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639258368"/>
          <w:tblCellSpacing w:w="0" w:type="dxa"/>
        </w:trPr>
        <w:tc>
          <w:tcPr>
            <w:tcW w:w="0" w:type="auto"/>
            <w:shd w:val="clear" w:color="auto" w:fill="CCEEFF"/>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Assets:</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639258368"/>
          <w:tblCellSpacing w:w="0" w:type="dxa"/>
        </w:trPr>
        <w:tc>
          <w:tcPr>
            <w:tcW w:w="0" w:type="auto"/>
            <w:shd w:val="clear" w:color="auto" w:fill="FFFFFF"/>
            <w:vAlign w:val="bottom"/>
            <w:hideMark/>
          </w:tcPr>
          <w:p w:rsidR="00000000" w:rsidRDefault="008E203B">
            <w:pPr>
              <w:pStyle w:val="a3"/>
              <w:spacing w:before="0" w:beforeAutospacing="0" w:after="0" w:afterAutospacing="0"/>
              <w:ind w:left="540" w:hanging="180"/>
              <w:rPr>
                <w:rFonts w:ascii="Times New Roman" w:hAnsi="Times New Roman" w:cs="Times New Roman"/>
                <w:sz w:val="20"/>
                <w:szCs w:val="20"/>
              </w:rPr>
            </w:pPr>
            <w:r>
              <w:rPr>
                <w:rFonts w:ascii="Times New Roman" w:hAnsi="Times New Roman" w:cs="Times New Roman"/>
                <w:sz w:val="20"/>
                <w:szCs w:val="20"/>
              </w:rPr>
              <w:t>Real estate, net of accumulated depreciation and amortization of $2,393,946 and $2,385,287, respectively</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60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9,221,743</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60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9,250,519</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639258368"/>
          <w:tblCellSpacing w:w="0" w:type="dxa"/>
        </w:trPr>
        <w:tc>
          <w:tcPr>
            <w:tcW w:w="0" w:type="auto"/>
            <w:shd w:val="clear" w:color="auto" w:fill="CCEEFF"/>
            <w:vAlign w:val="bottom"/>
            <w:hideMark/>
          </w:tcPr>
          <w:p w:rsidR="00000000" w:rsidRDefault="008E203B">
            <w:pPr>
              <w:pStyle w:val="a3"/>
              <w:spacing w:before="0" w:beforeAutospacing="0" w:after="0" w:afterAutospacing="0"/>
              <w:ind w:left="360"/>
              <w:rPr>
                <w:rFonts w:ascii="Times New Roman" w:hAnsi="Times New Roman" w:cs="Times New Roman"/>
                <w:sz w:val="20"/>
                <w:szCs w:val="20"/>
              </w:rPr>
            </w:pPr>
            <w:r>
              <w:rPr>
                <w:rFonts w:ascii="Times New Roman" w:hAnsi="Times New Roman" w:cs="Times New Roman"/>
                <w:sz w:val="20"/>
                <w:szCs w:val="20"/>
              </w:rPr>
              <w:t>Real estate under development</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275,914</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241,384</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639258368"/>
          <w:tblCellSpacing w:w="0" w:type="dxa"/>
        </w:trPr>
        <w:tc>
          <w:tcPr>
            <w:tcW w:w="0" w:type="auto"/>
            <w:shd w:val="clear" w:color="auto" w:fill="FFFFFF"/>
            <w:vAlign w:val="bottom"/>
            <w:hideMark/>
          </w:tcPr>
          <w:p w:rsidR="00000000" w:rsidRDefault="008E203B">
            <w:pPr>
              <w:pStyle w:val="a3"/>
              <w:spacing w:before="0" w:beforeAutospacing="0" w:after="0" w:afterAutospacing="0"/>
              <w:ind w:left="360"/>
              <w:rPr>
                <w:rFonts w:ascii="Times New Roman" w:hAnsi="Times New Roman" w:cs="Times New Roman"/>
                <w:sz w:val="20"/>
                <w:szCs w:val="20"/>
              </w:rPr>
            </w:pPr>
            <w:r>
              <w:rPr>
                <w:rFonts w:ascii="Times New Roman" w:hAnsi="Times New Roman" w:cs="Times New Roman"/>
                <w:sz w:val="20"/>
                <w:szCs w:val="20"/>
              </w:rPr>
              <w:lastRenderedPageBreak/>
              <w:t>Investments in and advances to real estate joint ventures</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566,928</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570,922</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639258368"/>
          <w:tblCellSpacing w:w="0" w:type="dxa"/>
        </w:trPr>
        <w:tc>
          <w:tcPr>
            <w:tcW w:w="0" w:type="auto"/>
            <w:shd w:val="clear" w:color="auto" w:fill="CCEEFF"/>
            <w:vAlign w:val="bottom"/>
            <w:hideMark/>
          </w:tcPr>
          <w:p w:rsidR="00000000" w:rsidRDefault="008E203B">
            <w:pPr>
              <w:pStyle w:val="a3"/>
              <w:spacing w:before="0" w:beforeAutospacing="0" w:after="0" w:afterAutospacing="0"/>
              <w:ind w:left="360"/>
              <w:rPr>
                <w:rFonts w:ascii="Times New Roman" w:hAnsi="Times New Roman" w:cs="Times New Roman"/>
                <w:sz w:val="20"/>
                <w:szCs w:val="20"/>
              </w:rPr>
            </w:pPr>
            <w:r>
              <w:rPr>
                <w:rFonts w:ascii="Times New Roman" w:hAnsi="Times New Roman" w:cs="Times New Roman"/>
                <w:sz w:val="20"/>
                <w:szCs w:val="20"/>
              </w:rPr>
              <w:t>Other real estate investments</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201,880</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192,123</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639258368"/>
          <w:tblCellSpacing w:w="0" w:type="dxa"/>
        </w:trPr>
        <w:tc>
          <w:tcPr>
            <w:tcW w:w="0" w:type="auto"/>
            <w:shd w:val="clear" w:color="auto" w:fill="FFFFFF"/>
            <w:vAlign w:val="bottom"/>
            <w:hideMark/>
          </w:tcPr>
          <w:p w:rsidR="00000000" w:rsidRDefault="008E203B">
            <w:pPr>
              <w:pStyle w:val="a3"/>
              <w:spacing w:before="0" w:beforeAutospacing="0" w:after="0" w:afterAutospacing="0"/>
              <w:ind w:left="360"/>
              <w:rPr>
                <w:rFonts w:ascii="Times New Roman" w:hAnsi="Times New Roman" w:cs="Times New Roman"/>
                <w:sz w:val="20"/>
                <w:szCs w:val="20"/>
              </w:rPr>
            </w:pPr>
            <w:r>
              <w:rPr>
                <w:rFonts w:ascii="Times New Roman" w:hAnsi="Times New Roman" w:cs="Times New Roman"/>
                <w:sz w:val="20"/>
                <w:szCs w:val="20"/>
              </w:rPr>
              <w:t>Cash and cash equivalents</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143,673</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143,581</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639258368"/>
          <w:tblCellSpacing w:w="0" w:type="dxa"/>
        </w:trPr>
        <w:tc>
          <w:tcPr>
            <w:tcW w:w="0" w:type="auto"/>
            <w:shd w:val="clear" w:color="auto" w:fill="CCEEFF"/>
            <w:vAlign w:val="bottom"/>
            <w:hideMark/>
          </w:tcPr>
          <w:p w:rsidR="00000000" w:rsidRDefault="008E203B">
            <w:pPr>
              <w:pStyle w:val="a3"/>
              <w:spacing w:before="0" w:beforeAutospacing="0" w:after="0" w:afterAutospacing="0"/>
              <w:ind w:left="360"/>
              <w:rPr>
                <w:rFonts w:ascii="Times New Roman" w:hAnsi="Times New Roman" w:cs="Times New Roman"/>
                <w:sz w:val="20"/>
                <w:szCs w:val="20"/>
              </w:rPr>
            </w:pPr>
            <w:r>
              <w:rPr>
                <w:rFonts w:ascii="Times New Roman" w:hAnsi="Times New Roman" w:cs="Times New Roman"/>
                <w:sz w:val="20"/>
                <w:szCs w:val="20"/>
              </w:rPr>
              <w:t>Accounts and notes receivable, net</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183,650</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184,528</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639258368"/>
          <w:tblCellSpacing w:w="0" w:type="dxa"/>
        </w:trPr>
        <w:tc>
          <w:tcPr>
            <w:tcW w:w="0" w:type="auto"/>
            <w:shd w:val="clear" w:color="auto" w:fill="FFFFFF"/>
            <w:vAlign w:val="bottom"/>
            <w:hideMark/>
          </w:tcPr>
          <w:p w:rsidR="00000000" w:rsidRDefault="008E203B">
            <w:pPr>
              <w:pStyle w:val="a3"/>
              <w:spacing w:before="0" w:beforeAutospacing="0" w:after="0" w:afterAutospacing="0"/>
              <w:ind w:left="360"/>
              <w:rPr>
                <w:rFonts w:ascii="Times New Roman" w:hAnsi="Times New Roman" w:cs="Times New Roman"/>
                <w:sz w:val="20"/>
                <w:szCs w:val="20"/>
              </w:rPr>
            </w:pPr>
            <w:r>
              <w:rPr>
                <w:rFonts w:ascii="Times New Roman" w:hAnsi="Times New Roman" w:cs="Times New Roman"/>
                <w:sz w:val="20"/>
                <w:szCs w:val="20"/>
              </w:rPr>
              <w:t>Operating lease right-of-use assets, net</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104,177</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639258368"/>
          <w:tblCellSpacing w:w="0" w:type="dxa"/>
        </w:trPr>
        <w:tc>
          <w:tcPr>
            <w:tcW w:w="0" w:type="auto"/>
            <w:shd w:val="clear" w:color="auto" w:fill="CCEEFF"/>
            <w:vAlign w:val="bottom"/>
            <w:hideMark/>
          </w:tcPr>
          <w:p w:rsidR="00000000" w:rsidRDefault="008E203B">
            <w:pPr>
              <w:pStyle w:val="a3"/>
              <w:spacing w:before="0" w:beforeAutospacing="0" w:after="0" w:afterAutospacing="0"/>
              <w:ind w:left="360"/>
              <w:rPr>
                <w:rFonts w:ascii="Times New Roman" w:hAnsi="Times New Roman" w:cs="Times New Roman"/>
                <w:sz w:val="20"/>
                <w:szCs w:val="20"/>
              </w:rPr>
            </w:pPr>
            <w:r>
              <w:rPr>
                <w:rFonts w:ascii="Times New Roman" w:hAnsi="Times New Roman" w:cs="Times New Roman"/>
                <w:sz w:val="20"/>
                <w:szCs w:val="20"/>
              </w:rPr>
              <w:t>Other assets</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single" w:sz="6" w:space="0" w:color="000000"/>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tcBorders>
              <w:bottom w:val="single" w:sz="6" w:space="0" w:color="000000"/>
            </w:tcBorders>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372,235</w:t>
            </w:r>
          </w:p>
        </w:tc>
        <w:tc>
          <w:tcPr>
            <w:tcW w:w="50" w:type="pct"/>
            <w:shd w:val="clear" w:color="auto" w:fill="CCEEFF"/>
            <w:noWrap/>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single" w:sz="6" w:space="0" w:color="000000"/>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tcBorders>
              <w:bottom w:val="single" w:sz="6" w:space="0" w:color="000000"/>
            </w:tcBorders>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416,043</w:t>
            </w:r>
          </w:p>
        </w:tc>
        <w:tc>
          <w:tcPr>
            <w:tcW w:w="50" w:type="pct"/>
            <w:shd w:val="clear" w:color="auto" w:fill="CCEEFF"/>
            <w:noWrap/>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639258368"/>
          <w:tblCellSpacing w:w="0" w:type="dxa"/>
        </w:trPr>
        <w:tc>
          <w:tcPr>
            <w:tcW w:w="0" w:type="auto"/>
            <w:shd w:val="clear" w:color="auto" w:fill="FFFFFF"/>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Total assets (1)</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double" w:sz="6" w:space="0" w:color="000000"/>
            </w:tcBorders>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600" w:type="pct"/>
            <w:tcBorders>
              <w:bottom w:val="double" w:sz="6" w:space="0" w:color="000000"/>
            </w:tcBorders>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11,070,200</w:t>
            </w:r>
          </w:p>
        </w:tc>
        <w:tc>
          <w:tcPr>
            <w:tcW w:w="50" w:type="pct"/>
            <w:shd w:val="clear" w:color="auto" w:fill="FFFFFF"/>
            <w:noWrap/>
            <w:tcMar>
              <w:top w:w="0" w:type="dxa"/>
              <w:left w:w="0" w:type="dxa"/>
              <w:bottom w:w="4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double" w:sz="6" w:space="0" w:color="000000"/>
            </w:tcBorders>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600" w:type="pct"/>
            <w:tcBorders>
              <w:bottom w:val="double" w:sz="6" w:space="0" w:color="000000"/>
            </w:tcBorders>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10,999,100</w:t>
            </w:r>
          </w:p>
        </w:tc>
        <w:tc>
          <w:tcPr>
            <w:tcW w:w="50" w:type="pct"/>
            <w:shd w:val="clear" w:color="auto" w:fill="FFFFFF"/>
            <w:noWrap/>
            <w:tcMar>
              <w:top w:w="0" w:type="dxa"/>
              <w:left w:w="0" w:type="dxa"/>
              <w:bottom w:w="4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639258368"/>
          <w:tblCellSpacing w:w="0" w:type="dxa"/>
        </w:trPr>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639258368"/>
          <w:tblCellSpacing w:w="0" w:type="dxa"/>
        </w:trPr>
        <w:tc>
          <w:tcPr>
            <w:tcW w:w="0" w:type="auto"/>
            <w:shd w:val="clear" w:color="auto" w:fill="FFFFFF"/>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Liabilities:</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639258368"/>
          <w:tblCellSpacing w:w="0" w:type="dxa"/>
        </w:trPr>
        <w:tc>
          <w:tcPr>
            <w:tcW w:w="0" w:type="auto"/>
            <w:shd w:val="clear" w:color="auto" w:fill="CCEEFF"/>
            <w:vAlign w:val="bottom"/>
            <w:hideMark/>
          </w:tcPr>
          <w:p w:rsidR="00000000" w:rsidRDefault="008E203B">
            <w:pPr>
              <w:pStyle w:val="a3"/>
              <w:spacing w:before="0" w:beforeAutospacing="0" w:after="0" w:afterAutospacing="0"/>
              <w:ind w:left="360"/>
              <w:rPr>
                <w:rFonts w:ascii="Times New Roman" w:hAnsi="Times New Roman" w:cs="Times New Roman"/>
                <w:sz w:val="20"/>
                <w:szCs w:val="20"/>
              </w:rPr>
            </w:pPr>
            <w:r>
              <w:rPr>
                <w:rFonts w:ascii="Times New Roman" w:hAnsi="Times New Roman" w:cs="Times New Roman"/>
                <w:sz w:val="20"/>
                <w:szCs w:val="20"/>
              </w:rPr>
              <w:t>Notes payable, net</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60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4,383,413</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60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4,381,456</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639258368"/>
          <w:tblCellSpacing w:w="0" w:type="dxa"/>
        </w:trPr>
        <w:tc>
          <w:tcPr>
            <w:tcW w:w="0" w:type="auto"/>
            <w:shd w:val="clear" w:color="auto" w:fill="FFFFFF"/>
            <w:vAlign w:val="bottom"/>
            <w:hideMark/>
          </w:tcPr>
          <w:p w:rsidR="00000000" w:rsidRDefault="008E203B">
            <w:pPr>
              <w:pStyle w:val="a3"/>
              <w:spacing w:before="0" w:beforeAutospacing="0" w:after="0" w:afterAutospacing="0"/>
              <w:ind w:left="360"/>
              <w:rPr>
                <w:rFonts w:ascii="Times New Roman" w:hAnsi="Times New Roman" w:cs="Times New Roman"/>
                <w:sz w:val="20"/>
                <w:szCs w:val="20"/>
              </w:rPr>
            </w:pPr>
            <w:r>
              <w:rPr>
                <w:rFonts w:ascii="Times New Roman" w:hAnsi="Times New Roman" w:cs="Times New Roman"/>
                <w:sz w:val="20"/>
                <w:szCs w:val="20"/>
              </w:rPr>
              <w:t>Mortgages and construction loan payable, net</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485,341</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492,416</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639258368"/>
          <w:tblCellSpacing w:w="0" w:type="dxa"/>
        </w:trPr>
        <w:tc>
          <w:tcPr>
            <w:tcW w:w="0" w:type="auto"/>
            <w:shd w:val="clear" w:color="auto" w:fill="CCEEFF"/>
            <w:vAlign w:val="bottom"/>
            <w:hideMark/>
          </w:tcPr>
          <w:p w:rsidR="00000000" w:rsidRDefault="008E203B">
            <w:pPr>
              <w:pStyle w:val="a3"/>
              <w:spacing w:before="0" w:beforeAutospacing="0" w:after="0" w:afterAutospacing="0"/>
              <w:ind w:left="360"/>
              <w:rPr>
                <w:rFonts w:ascii="Times New Roman" w:hAnsi="Times New Roman" w:cs="Times New Roman"/>
                <w:sz w:val="20"/>
                <w:szCs w:val="20"/>
              </w:rPr>
            </w:pPr>
            <w:r>
              <w:rPr>
                <w:rFonts w:ascii="Times New Roman" w:hAnsi="Times New Roman" w:cs="Times New Roman"/>
                <w:sz w:val="20"/>
                <w:szCs w:val="20"/>
              </w:rPr>
              <w:t>Dividends payable</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130,444</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130,262</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639258368"/>
          <w:tblCellSpacing w:w="0" w:type="dxa"/>
        </w:trPr>
        <w:tc>
          <w:tcPr>
            <w:tcW w:w="0" w:type="auto"/>
            <w:shd w:val="clear" w:color="auto" w:fill="FFFFFF"/>
            <w:vAlign w:val="bottom"/>
            <w:hideMark/>
          </w:tcPr>
          <w:p w:rsidR="00000000" w:rsidRDefault="008E203B">
            <w:pPr>
              <w:pStyle w:val="a3"/>
              <w:spacing w:before="0" w:beforeAutospacing="0" w:after="0" w:afterAutospacing="0"/>
              <w:ind w:left="360"/>
              <w:rPr>
                <w:rFonts w:ascii="Times New Roman" w:hAnsi="Times New Roman" w:cs="Times New Roman"/>
                <w:sz w:val="20"/>
                <w:szCs w:val="20"/>
              </w:rPr>
            </w:pPr>
            <w:r>
              <w:rPr>
                <w:rFonts w:ascii="Times New Roman" w:hAnsi="Times New Roman" w:cs="Times New Roman"/>
                <w:sz w:val="20"/>
                <w:szCs w:val="20"/>
              </w:rPr>
              <w:t>Operating lease liabilities</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97,133</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639258368"/>
          <w:tblCellSpacing w:w="0" w:type="dxa"/>
        </w:trPr>
        <w:tc>
          <w:tcPr>
            <w:tcW w:w="0" w:type="auto"/>
            <w:shd w:val="clear" w:color="auto" w:fill="CCEEFF"/>
            <w:vAlign w:val="bottom"/>
            <w:hideMark/>
          </w:tcPr>
          <w:p w:rsidR="00000000" w:rsidRDefault="008E203B">
            <w:pPr>
              <w:pStyle w:val="a3"/>
              <w:spacing w:before="0" w:beforeAutospacing="0" w:after="0" w:afterAutospacing="0"/>
              <w:ind w:left="360"/>
              <w:rPr>
                <w:rFonts w:ascii="Times New Roman" w:hAnsi="Times New Roman" w:cs="Times New Roman"/>
                <w:sz w:val="20"/>
                <w:szCs w:val="20"/>
              </w:rPr>
            </w:pPr>
            <w:r>
              <w:rPr>
                <w:rFonts w:ascii="Times New Roman" w:hAnsi="Times New Roman" w:cs="Times New Roman"/>
                <w:sz w:val="20"/>
                <w:szCs w:val="20"/>
              </w:rPr>
              <w:t>Other liabilities</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single" w:sz="6" w:space="0" w:color="000000"/>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tcBorders>
              <w:bottom w:val="single" w:sz="6" w:space="0" w:color="000000"/>
            </w:tcBorders>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553,327</w:t>
            </w:r>
          </w:p>
        </w:tc>
        <w:tc>
          <w:tcPr>
            <w:tcW w:w="50" w:type="pct"/>
            <w:shd w:val="clear" w:color="auto" w:fill="CCEEFF"/>
            <w:noWrap/>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single" w:sz="6" w:space="0" w:color="000000"/>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tcBorders>
              <w:bottom w:val="single" w:sz="6" w:space="0" w:color="000000"/>
            </w:tcBorders>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560,231</w:t>
            </w:r>
          </w:p>
        </w:tc>
        <w:tc>
          <w:tcPr>
            <w:tcW w:w="50" w:type="pct"/>
            <w:shd w:val="clear" w:color="auto" w:fill="CCEEFF"/>
            <w:noWrap/>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639258368"/>
          <w:tblCellSpacing w:w="0" w:type="dxa"/>
        </w:trPr>
        <w:tc>
          <w:tcPr>
            <w:tcW w:w="0" w:type="auto"/>
            <w:shd w:val="clear" w:color="auto" w:fill="FFFFFF"/>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Total liabilities (2)</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single" w:sz="6" w:space="0" w:color="000000"/>
            </w:tcBorders>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tcBorders>
              <w:bottom w:val="single" w:sz="6" w:space="0" w:color="000000"/>
            </w:tcBorders>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5,649,658</w:t>
            </w:r>
          </w:p>
        </w:tc>
        <w:tc>
          <w:tcPr>
            <w:tcW w:w="50" w:type="pct"/>
            <w:shd w:val="clear" w:color="auto" w:fill="FFFFFF"/>
            <w:noWrap/>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single" w:sz="6" w:space="0" w:color="000000"/>
            </w:tcBorders>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tcBorders>
              <w:bottom w:val="single" w:sz="6" w:space="0" w:color="000000"/>
            </w:tcBorders>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5,564,365</w:t>
            </w:r>
          </w:p>
        </w:tc>
        <w:tc>
          <w:tcPr>
            <w:tcW w:w="50" w:type="pct"/>
            <w:shd w:val="clear" w:color="auto" w:fill="FFFFFF"/>
            <w:noWrap/>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639258368"/>
          <w:tblCellSpacing w:w="0" w:type="dxa"/>
        </w:trPr>
        <w:tc>
          <w:tcPr>
            <w:tcW w:w="0" w:type="auto"/>
            <w:shd w:val="clear" w:color="auto" w:fill="CCEEFF"/>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Redeemable noncontrolling interests</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single" w:sz="6" w:space="0" w:color="000000"/>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tcBorders>
              <w:bottom w:val="single" w:sz="6" w:space="0" w:color="000000"/>
            </w:tcBorders>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23,684</w:t>
            </w:r>
          </w:p>
        </w:tc>
        <w:tc>
          <w:tcPr>
            <w:tcW w:w="50" w:type="pct"/>
            <w:shd w:val="clear" w:color="auto" w:fill="CCEEFF"/>
            <w:noWrap/>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single" w:sz="6" w:space="0" w:color="000000"/>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tcBorders>
              <w:bottom w:val="single" w:sz="6" w:space="0" w:color="000000"/>
            </w:tcBorders>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23,682</w:t>
            </w:r>
          </w:p>
        </w:tc>
        <w:tc>
          <w:tcPr>
            <w:tcW w:w="50" w:type="pct"/>
            <w:shd w:val="clear" w:color="auto" w:fill="CCEEFF"/>
            <w:noWrap/>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639258368"/>
          <w:tblCellSpacing w:w="0" w:type="dxa"/>
        </w:trPr>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639258368"/>
          <w:tblCellSpacing w:w="0" w:type="dxa"/>
        </w:trPr>
        <w:tc>
          <w:tcPr>
            <w:tcW w:w="0" w:type="auto"/>
            <w:shd w:val="clear" w:color="auto" w:fill="CCEEFF"/>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Commitments and Contingencies</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639258368"/>
          <w:tblCellSpacing w:w="0" w:type="dxa"/>
        </w:trPr>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639258368"/>
          <w:tblCellSpacing w:w="0" w:type="dxa"/>
        </w:trPr>
        <w:tc>
          <w:tcPr>
            <w:tcW w:w="0" w:type="auto"/>
            <w:shd w:val="clear" w:color="auto" w:fill="CCEEFF"/>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Stockholders' equity:</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639258368"/>
          <w:tblCellSpacing w:w="0" w:type="dxa"/>
        </w:trPr>
        <w:tc>
          <w:tcPr>
            <w:tcW w:w="0" w:type="auto"/>
            <w:shd w:val="clear" w:color="auto" w:fill="FFFFFF"/>
            <w:vAlign w:val="bottom"/>
            <w:hideMark/>
          </w:tcPr>
          <w:p w:rsidR="00000000" w:rsidRDefault="008E203B">
            <w:pPr>
              <w:pStyle w:val="a3"/>
              <w:spacing w:before="0" w:beforeAutospacing="0" w:after="0" w:afterAutospacing="0"/>
              <w:ind w:left="540" w:hanging="180"/>
              <w:rPr>
                <w:rFonts w:ascii="Times New Roman" w:hAnsi="Times New Roman" w:cs="Times New Roman"/>
                <w:sz w:val="20"/>
                <w:szCs w:val="20"/>
              </w:rPr>
            </w:pPr>
            <w:r>
              <w:rPr>
                <w:rFonts w:ascii="Times New Roman" w:hAnsi="Times New Roman" w:cs="Times New Roman"/>
                <w:sz w:val="20"/>
                <w:szCs w:val="20"/>
              </w:rPr>
              <w:t>Pre</w:t>
            </w:r>
            <w:r>
              <w:rPr>
                <w:rFonts w:ascii="Times New Roman" w:hAnsi="Times New Roman" w:cs="Times New Roman"/>
                <w:sz w:val="20"/>
                <w:szCs w:val="20"/>
              </w:rPr>
              <w:t>ferred stock, $1.00 par value, authorized 5,996,240 shares; issued and outstanding (in series) 42,580 shares; Aggregate liquidation preference $1,064,500</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43</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43</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639258368"/>
          <w:tblCellSpacing w:w="0" w:type="dxa"/>
        </w:trPr>
        <w:tc>
          <w:tcPr>
            <w:tcW w:w="0" w:type="auto"/>
            <w:shd w:val="clear" w:color="auto" w:fill="CCEEFF"/>
            <w:vAlign w:val="bottom"/>
            <w:hideMark/>
          </w:tcPr>
          <w:p w:rsidR="00000000" w:rsidRDefault="008E203B">
            <w:pPr>
              <w:pStyle w:val="a3"/>
              <w:spacing w:before="0" w:beforeAutospacing="0" w:after="0" w:afterAutospacing="0"/>
              <w:ind w:left="540" w:hanging="180"/>
              <w:rPr>
                <w:rFonts w:ascii="Times New Roman" w:hAnsi="Times New Roman" w:cs="Times New Roman"/>
                <w:sz w:val="20"/>
                <w:szCs w:val="20"/>
              </w:rPr>
            </w:pPr>
            <w:r>
              <w:rPr>
                <w:rFonts w:ascii="Times New Roman" w:hAnsi="Times New Roman" w:cs="Times New Roman"/>
                <w:sz w:val="20"/>
                <w:szCs w:val="20"/>
              </w:rPr>
              <w:t>Common stock, $.01 par value, authorized 750,000,000 shares; issued and outstanding</w:t>
            </w:r>
            <w:r>
              <w:rPr>
                <w:rFonts w:ascii="Times New Roman" w:hAnsi="Times New Roman" w:cs="Times New Roman"/>
                <w:sz w:val="20"/>
                <w:szCs w:val="20"/>
              </w:rPr>
              <w:t xml:space="preserve"> 422,037,132 and 421,388,879 shares, respectively</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4,220</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4,214</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639258368"/>
          <w:tblCellSpacing w:w="0" w:type="dxa"/>
        </w:trPr>
        <w:tc>
          <w:tcPr>
            <w:tcW w:w="0" w:type="auto"/>
            <w:shd w:val="clear" w:color="auto" w:fill="FFFFFF"/>
            <w:vAlign w:val="bottom"/>
            <w:hideMark/>
          </w:tcPr>
          <w:p w:rsidR="00000000" w:rsidRDefault="008E203B">
            <w:pPr>
              <w:pStyle w:val="a3"/>
              <w:spacing w:before="0" w:beforeAutospacing="0" w:after="0" w:afterAutospacing="0"/>
              <w:ind w:left="360"/>
              <w:rPr>
                <w:rFonts w:ascii="Times New Roman" w:hAnsi="Times New Roman" w:cs="Times New Roman"/>
                <w:sz w:val="20"/>
                <w:szCs w:val="20"/>
              </w:rPr>
            </w:pPr>
            <w:r>
              <w:rPr>
                <w:rFonts w:ascii="Times New Roman" w:hAnsi="Times New Roman" w:cs="Times New Roman"/>
                <w:sz w:val="20"/>
                <w:szCs w:val="20"/>
              </w:rPr>
              <w:t>Paid-in capital</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6,119,855</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6,117,254</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639258368"/>
          <w:tblCellSpacing w:w="0" w:type="dxa"/>
        </w:trPr>
        <w:tc>
          <w:tcPr>
            <w:tcW w:w="0" w:type="auto"/>
            <w:shd w:val="clear" w:color="auto" w:fill="CCEEFF"/>
            <w:vAlign w:val="bottom"/>
            <w:hideMark/>
          </w:tcPr>
          <w:p w:rsidR="00000000" w:rsidRDefault="008E203B">
            <w:pPr>
              <w:pStyle w:val="a3"/>
              <w:spacing w:before="0" w:beforeAutospacing="0" w:after="0" w:afterAutospacing="0"/>
              <w:ind w:left="360"/>
              <w:rPr>
                <w:rFonts w:ascii="Times New Roman" w:hAnsi="Times New Roman" w:cs="Times New Roman"/>
                <w:sz w:val="20"/>
                <w:szCs w:val="20"/>
              </w:rPr>
            </w:pPr>
            <w:r>
              <w:rPr>
                <w:rFonts w:ascii="Times New Roman" w:hAnsi="Times New Roman" w:cs="Times New Roman"/>
                <w:sz w:val="20"/>
                <w:szCs w:val="20"/>
              </w:rPr>
              <w:t>Cumulative distributions in excess of net income</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single" w:sz="6" w:space="0" w:color="000000"/>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tcBorders>
              <w:bottom w:val="single" w:sz="6" w:space="0" w:color="000000"/>
            </w:tcBorders>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(804,241</w:t>
            </w:r>
          </w:p>
        </w:tc>
        <w:tc>
          <w:tcPr>
            <w:tcW w:w="50" w:type="pct"/>
            <w:shd w:val="clear" w:color="auto" w:fill="CCEEFF"/>
            <w:noWrap/>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single" w:sz="6" w:space="0" w:color="000000"/>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tcBorders>
              <w:bottom w:val="single" w:sz="6" w:space="0" w:color="000000"/>
            </w:tcBorders>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(787,707</w:t>
            </w:r>
          </w:p>
        </w:tc>
        <w:tc>
          <w:tcPr>
            <w:tcW w:w="50" w:type="pct"/>
            <w:shd w:val="clear" w:color="auto" w:fill="CCEEFF"/>
            <w:noWrap/>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r>
      <w:tr w:rsidR="00000000">
        <w:trPr>
          <w:divId w:val="1639258368"/>
          <w:tblCellSpacing w:w="0" w:type="dxa"/>
        </w:trPr>
        <w:tc>
          <w:tcPr>
            <w:tcW w:w="0" w:type="auto"/>
            <w:shd w:val="clear" w:color="auto" w:fill="FFFFFF"/>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Total stockholders' equity</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5,319,877</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5,333,804</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639258368"/>
          <w:tblCellSpacing w:w="0" w:type="dxa"/>
        </w:trPr>
        <w:tc>
          <w:tcPr>
            <w:tcW w:w="0" w:type="auto"/>
            <w:shd w:val="clear" w:color="auto" w:fill="CCEEFF"/>
            <w:vAlign w:val="bottom"/>
            <w:hideMark/>
          </w:tcPr>
          <w:p w:rsidR="00000000" w:rsidRDefault="008E203B">
            <w:pPr>
              <w:pStyle w:val="a3"/>
              <w:spacing w:before="0" w:beforeAutospacing="0" w:after="0" w:afterAutospacing="0"/>
              <w:ind w:left="360"/>
              <w:rPr>
                <w:rFonts w:ascii="Times New Roman" w:hAnsi="Times New Roman" w:cs="Times New Roman"/>
                <w:sz w:val="20"/>
                <w:szCs w:val="20"/>
              </w:rPr>
            </w:pPr>
            <w:r>
              <w:rPr>
                <w:rFonts w:ascii="Times New Roman" w:hAnsi="Times New Roman" w:cs="Times New Roman"/>
                <w:sz w:val="20"/>
                <w:szCs w:val="20"/>
              </w:rPr>
              <w:t>Noncontrolling interests</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single" w:sz="6" w:space="0" w:color="000000"/>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tcBorders>
              <w:bottom w:val="single" w:sz="6" w:space="0" w:color="000000"/>
            </w:tcBorders>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76,981</w:t>
            </w:r>
          </w:p>
        </w:tc>
        <w:tc>
          <w:tcPr>
            <w:tcW w:w="50" w:type="pct"/>
            <w:shd w:val="clear" w:color="auto" w:fill="CCEEFF"/>
            <w:noWrap/>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single" w:sz="6" w:space="0" w:color="000000"/>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tcBorders>
              <w:bottom w:val="single" w:sz="6" w:space="0" w:color="000000"/>
            </w:tcBorders>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77,249</w:t>
            </w:r>
          </w:p>
        </w:tc>
        <w:tc>
          <w:tcPr>
            <w:tcW w:w="50" w:type="pct"/>
            <w:shd w:val="clear" w:color="auto" w:fill="CCEEFF"/>
            <w:noWrap/>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639258368"/>
          <w:tblCellSpacing w:w="0" w:type="dxa"/>
        </w:trPr>
        <w:tc>
          <w:tcPr>
            <w:tcW w:w="0" w:type="auto"/>
            <w:shd w:val="clear" w:color="auto" w:fill="FFFFFF"/>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Total equity</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single" w:sz="6" w:space="0" w:color="000000"/>
            </w:tcBorders>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tcBorders>
              <w:bottom w:val="single" w:sz="6" w:space="0" w:color="000000"/>
            </w:tcBorders>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5,396,858</w:t>
            </w:r>
          </w:p>
        </w:tc>
        <w:tc>
          <w:tcPr>
            <w:tcW w:w="50" w:type="pct"/>
            <w:shd w:val="clear" w:color="auto" w:fill="FFFFFF"/>
            <w:noWrap/>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single" w:sz="6" w:space="0" w:color="000000"/>
            </w:tcBorders>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tcBorders>
              <w:bottom w:val="single" w:sz="6" w:space="0" w:color="000000"/>
            </w:tcBorders>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5,411,053</w:t>
            </w:r>
          </w:p>
        </w:tc>
        <w:tc>
          <w:tcPr>
            <w:tcW w:w="50" w:type="pct"/>
            <w:shd w:val="clear" w:color="auto" w:fill="FFFFFF"/>
            <w:noWrap/>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639258368"/>
          <w:tblCellSpacing w:w="0" w:type="dxa"/>
        </w:trPr>
        <w:tc>
          <w:tcPr>
            <w:tcW w:w="0" w:type="auto"/>
            <w:shd w:val="clear" w:color="auto" w:fill="CCEEFF"/>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Total liabilities and equity</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double" w:sz="6" w:space="0" w:color="000000"/>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600" w:type="pct"/>
            <w:tcBorders>
              <w:bottom w:val="double" w:sz="6" w:space="0" w:color="000000"/>
            </w:tcBorders>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11,070,200</w:t>
            </w:r>
          </w:p>
        </w:tc>
        <w:tc>
          <w:tcPr>
            <w:tcW w:w="50" w:type="pct"/>
            <w:shd w:val="clear" w:color="auto" w:fill="CCEEFF"/>
            <w:noWrap/>
            <w:tcMar>
              <w:top w:w="0" w:type="dxa"/>
              <w:left w:w="0" w:type="dxa"/>
              <w:bottom w:w="4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double" w:sz="6" w:space="0" w:color="000000"/>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600" w:type="pct"/>
            <w:tcBorders>
              <w:bottom w:val="double" w:sz="6" w:space="0" w:color="000000"/>
            </w:tcBorders>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10,999,100</w:t>
            </w:r>
          </w:p>
        </w:tc>
        <w:tc>
          <w:tcPr>
            <w:tcW w:w="50" w:type="pct"/>
            <w:shd w:val="clear" w:color="auto" w:fill="CCEEFF"/>
            <w:noWrap/>
            <w:tcMar>
              <w:top w:w="0" w:type="dxa"/>
              <w:left w:w="0" w:type="dxa"/>
              <w:bottom w:w="4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bl>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(1)</w:t>
            </w:r>
          </w:p>
        </w:tc>
        <w:tc>
          <w:tcPr>
            <w:tcW w:w="0" w:type="auto"/>
            <w:hideMark/>
          </w:tcPr>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Includes restricted assets of consolidated variable interest entities (“VIEs”) at March 31, 2019 and December 31, 2018 of $241,538 and $239,012, respectively.  See Footnote 11 of the Notes to Condensed Consolidated Financial Statements.</w:t>
            </w:r>
          </w:p>
        </w:tc>
      </w:tr>
      <w:tr w:rsidR="00000000">
        <w:trPr>
          <w:tblCellSpacing w:w="0" w:type="dxa"/>
        </w:trPr>
        <w:tc>
          <w:tcPr>
            <w:tcW w:w="360" w:type="dxa"/>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(2)</w:t>
            </w:r>
          </w:p>
        </w:tc>
        <w:tc>
          <w:tcPr>
            <w:tcW w:w="0" w:type="auto"/>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Includes non-r</w:t>
            </w:r>
            <w:r>
              <w:rPr>
                <w:rFonts w:ascii="Times New Roman" w:hAnsi="Times New Roman" w:cs="Times New Roman"/>
                <w:sz w:val="20"/>
                <w:szCs w:val="20"/>
              </w:rPr>
              <w:t>ecourse liabilities of consolidated VIEs at March 31, 2019 and December 31, 2018 of $140,769 and $143,186, respectively.  See Footnote 11 of the Notes to Condensed Consolidated Financial Statements.</w:t>
            </w:r>
          </w:p>
        </w:tc>
      </w:tr>
    </w:tbl>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 </w:t>
      </w:r>
    </w:p>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The accompanying notes are an integral part of these condensed consolidated financial statements.</w:t>
      </w:r>
    </w:p>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w:t>
      </w:r>
    </w:p>
    <w:p w:rsidR="00000000" w:rsidRDefault="008E203B">
      <w:pPr>
        <w:jc w:val="center"/>
        <w:divId w:val="1827893205"/>
        <w:rPr>
          <w:rFonts w:ascii="Times New Roman" w:hAnsi="Times New Roman" w:cs="Times New Roman"/>
          <w:sz w:val="20"/>
          <w:szCs w:val="20"/>
        </w:rPr>
      </w:pPr>
      <w:r>
        <w:rPr>
          <w:rFonts w:ascii="Times New Roman" w:hAnsi="Times New Roman" w:cs="Times New Roman"/>
          <w:sz w:val="20"/>
          <w:szCs w:val="20"/>
        </w:rPr>
        <w:t>3</w:t>
      </w:r>
    </w:p>
    <w:p w:rsidR="00000000" w:rsidRDefault="008E203B">
      <w:pPr>
        <w:divId w:val="1827893205"/>
        <w:rPr>
          <w:rFonts w:ascii="Times New Roman" w:hAnsi="Times New Roman" w:cs="Times New Roman"/>
          <w:sz w:val="20"/>
          <w:szCs w:val="20"/>
        </w:rPr>
      </w:pPr>
      <w:r>
        <w:rPr>
          <w:rFonts w:ascii="Times New Roman" w:hAnsi="Times New Roman" w:cs="Times New Roman"/>
          <w:sz w:val="20"/>
          <w:szCs w:val="20"/>
        </w:rPr>
        <w:pict>
          <v:rect id="_x0000_i1031" style="width:415.3pt;height:1.5pt" o:hralign="center" o:hrstd="t" o:hrnoshade="t" o:hr="t" fillcolor="black" stroked="f"/>
        </w:pict>
      </w:r>
    </w:p>
    <w:p w:rsidR="00000000" w:rsidRDefault="008E203B">
      <w:pPr>
        <w:divId w:val="1827893205"/>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p w:rsidR="00000000" w:rsidRDefault="008E203B">
      <w:pPr>
        <w:divId w:val="1780368082"/>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jc w:val="center"/>
        <w:rPr>
          <w:rFonts w:ascii="Times New Roman" w:hAnsi="Times New Roman" w:cs="Times New Roman"/>
          <w:sz w:val="20"/>
          <w:szCs w:val="20"/>
        </w:rPr>
      </w:pPr>
      <w:bookmarkStart w:id="2" w:name="income"/>
      <w:bookmarkEnd w:id="2"/>
      <w:r>
        <w:rPr>
          <w:rFonts w:ascii="Times New Roman" w:hAnsi="Times New Roman" w:cs="Times New Roman"/>
          <w:sz w:val="20"/>
          <w:szCs w:val="20"/>
        </w:rPr>
        <w:t>KIMCO REALTY CORPORATION AND SUBSIDIARIES</w:t>
      </w:r>
    </w:p>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CONDENSED CONSOLIDATED STATEMENTS OF INCOME</w:t>
      </w:r>
    </w:p>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(Unaudited)</w:t>
      </w:r>
    </w:p>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(in thousands, except per share data)</w:t>
      </w:r>
    </w:p>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809"/>
        <w:gridCol w:w="78"/>
        <w:gridCol w:w="100"/>
        <w:gridCol w:w="992"/>
        <w:gridCol w:w="78"/>
        <w:gridCol w:w="78"/>
        <w:gridCol w:w="100"/>
        <w:gridCol w:w="992"/>
        <w:gridCol w:w="79"/>
      </w:tblGrid>
      <w:tr w:rsidR="00000000">
        <w:trPr>
          <w:divId w:val="2126537700"/>
          <w:tblCellSpacing w:w="0" w:type="dxa"/>
        </w:trPr>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gridSpan w:val="6"/>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 xml:space="preserve">Three Months Ended March 31,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2126537700"/>
          <w:tblCellSpacing w:w="0" w:type="dxa"/>
        </w:trPr>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gridSpan w:val="2"/>
            <w:tcBorders>
              <w:bottom w:val="single" w:sz="6" w:space="0" w:color="000000"/>
            </w:tcBorders>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2019</w:t>
            </w:r>
          </w:p>
        </w:tc>
        <w:tc>
          <w:tcPr>
            <w:tcW w:w="0" w:type="auto"/>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gridSpan w:val="2"/>
            <w:tcBorders>
              <w:bottom w:val="single" w:sz="6" w:space="0" w:color="000000"/>
            </w:tcBorders>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2018</w:t>
            </w:r>
          </w:p>
        </w:tc>
        <w:tc>
          <w:tcPr>
            <w:tcW w:w="0" w:type="auto"/>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2126537700"/>
          <w:tblCellSpacing w:w="0" w:type="dxa"/>
        </w:trPr>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2126537700"/>
          <w:tblCellSpacing w:w="0" w:type="dxa"/>
        </w:trPr>
        <w:tc>
          <w:tcPr>
            <w:tcW w:w="0" w:type="auto"/>
            <w:shd w:val="clear" w:color="auto" w:fill="CCEEFF"/>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Revenues</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2126537700"/>
          <w:tblCellSpacing w:w="0" w:type="dxa"/>
        </w:trPr>
        <w:tc>
          <w:tcPr>
            <w:tcW w:w="0" w:type="auto"/>
            <w:shd w:val="clear" w:color="auto" w:fill="FFFFFF"/>
            <w:vAlign w:val="bottom"/>
            <w:hideMark/>
          </w:tcPr>
          <w:p w:rsidR="00000000" w:rsidRDefault="008E203B">
            <w:pPr>
              <w:pStyle w:val="a3"/>
              <w:spacing w:before="0" w:beforeAutospacing="0" w:after="0" w:afterAutospacing="0"/>
              <w:ind w:left="360"/>
              <w:rPr>
                <w:rFonts w:ascii="Times New Roman" w:hAnsi="Times New Roman" w:cs="Times New Roman"/>
                <w:sz w:val="20"/>
                <w:szCs w:val="20"/>
              </w:rPr>
            </w:pPr>
            <w:r>
              <w:rPr>
                <w:rFonts w:ascii="Times New Roman" w:hAnsi="Times New Roman" w:cs="Times New Roman"/>
                <w:sz w:val="20"/>
                <w:szCs w:val="20"/>
              </w:rPr>
              <w:t>Revenues from rental properties, net</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60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290,634</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60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299,717</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2126537700"/>
          <w:tblCellSpacing w:w="0" w:type="dxa"/>
        </w:trPr>
        <w:tc>
          <w:tcPr>
            <w:tcW w:w="0" w:type="auto"/>
            <w:shd w:val="clear" w:color="auto" w:fill="CCEEFF"/>
            <w:vAlign w:val="bottom"/>
            <w:hideMark/>
          </w:tcPr>
          <w:p w:rsidR="00000000" w:rsidRDefault="008E203B">
            <w:pPr>
              <w:pStyle w:val="a3"/>
              <w:spacing w:before="0" w:beforeAutospacing="0" w:after="0" w:afterAutospacing="0"/>
              <w:ind w:left="360"/>
              <w:rPr>
                <w:rFonts w:ascii="Times New Roman" w:hAnsi="Times New Roman" w:cs="Times New Roman"/>
                <w:sz w:val="20"/>
                <w:szCs w:val="20"/>
              </w:rPr>
            </w:pPr>
            <w:r>
              <w:rPr>
                <w:rFonts w:ascii="Times New Roman" w:hAnsi="Times New Roman" w:cs="Times New Roman"/>
                <w:sz w:val="20"/>
                <w:szCs w:val="20"/>
              </w:rPr>
              <w:lastRenderedPageBreak/>
              <w:t>Management and other fee income</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single" w:sz="6" w:space="0" w:color="000000"/>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tcBorders>
              <w:bottom w:val="single" w:sz="6" w:space="0" w:color="000000"/>
            </w:tcBorders>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4,376</w:t>
            </w:r>
          </w:p>
        </w:tc>
        <w:tc>
          <w:tcPr>
            <w:tcW w:w="50" w:type="pct"/>
            <w:shd w:val="clear" w:color="auto" w:fill="CCEEFF"/>
            <w:noWrap/>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single" w:sz="6" w:space="0" w:color="000000"/>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tcBorders>
              <w:bottom w:val="single" w:sz="6" w:space="0" w:color="000000"/>
            </w:tcBorders>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4,361</w:t>
            </w:r>
          </w:p>
        </w:tc>
        <w:tc>
          <w:tcPr>
            <w:tcW w:w="50" w:type="pct"/>
            <w:shd w:val="clear" w:color="auto" w:fill="CCEEFF"/>
            <w:noWrap/>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2126537700"/>
          <w:tblCellSpacing w:w="0" w:type="dxa"/>
        </w:trPr>
        <w:tc>
          <w:tcPr>
            <w:tcW w:w="0" w:type="auto"/>
            <w:shd w:val="clear" w:color="auto" w:fill="FFFFFF"/>
            <w:vAlign w:val="bottom"/>
            <w:hideMark/>
          </w:tcPr>
          <w:p w:rsidR="00000000" w:rsidRDefault="008E203B">
            <w:pPr>
              <w:pStyle w:val="a3"/>
              <w:spacing w:before="0" w:beforeAutospacing="0" w:after="0" w:afterAutospacing="0"/>
              <w:ind w:left="720"/>
              <w:rPr>
                <w:rFonts w:ascii="Times New Roman" w:hAnsi="Times New Roman" w:cs="Times New Roman"/>
                <w:sz w:val="20"/>
                <w:szCs w:val="20"/>
              </w:rPr>
            </w:pPr>
            <w:r>
              <w:rPr>
                <w:rFonts w:ascii="Times New Roman" w:hAnsi="Times New Roman" w:cs="Times New Roman"/>
                <w:sz w:val="20"/>
                <w:szCs w:val="20"/>
              </w:rPr>
              <w:t>Total revenues</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single" w:sz="6" w:space="0" w:color="000000"/>
            </w:tcBorders>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tcBorders>
              <w:bottom w:val="single" w:sz="6" w:space="0" w:color="000000"/>
            </w:tcBorders>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295,010</w:t>
            </w:r>
          </w:p>
        </w:tc>
        <w:tc>
          <w:tcPr>
            <w:tcW w:w="50" w:type="pct"/>
            <w:shd w:val="clear" w:color="auto" w:fill="FFFFFF"/>
            <w:noWrap/>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single" w:sz="6" w:space="0" w:color="000000"/>
            </w:tcBorders>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tcBorders>
              <w:bottom w:val="single" w:sz="6" w:space="0" w:color="000000"/>
            </w:tcBorders>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304,078</w:t>
            </w:r>
          </w:p>
        </w:tc>
        <w:tc>
          <w:tcPr>
            <w:tcW w:w="50" w:type="pct"/>
            <w:shd w:val="clear" w:color="auto" w:fill="FFFFFF"/>
            <w:noWrap/>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2126537700"/>
          <w:tblCellSpacing w:w="0" w:type="dxa"/>
        </w:trPr>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2126537700"/>
          <w:tblCellSpacing w:w="0" w:type="dxa"/>
        </w:trPr>
        <w:tc>
          <w:tcPr>
            <w:tcW w:w="0" w:type="auto"/>
            <w:shd w:val="clear" w:color="auto" w:fill="FFFFFF"/>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Operating expenses</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2126537700"/>
          <w:tblCellSpacing w:w="0" w:type="dxa"/>
        </w:trPr>
        <w:tc>
          <w:tcPr>
            <w:tcW w:w="0" w:type="auto"/>
            <w:shd w:val="clear" w:color="auto" w:fill="CCEEFF"/>
            <w:vAlign w:val="bottom"/>
            <w:hideMark/>
          </w:tcPr>
          <w:p w:rsidR="00000000" w:rsidRDefault="008E203B">
            <w:pPr>
              <w:pStyle w:val="a3"/>
              <w:spacing w:before="0" w:beforeAutospacing="0" w:after="0" w:afterAutospacing="0"/>
              <w:ind w:left="360"/>
              <w:rPr>
                <w:rFonts w:ascii="Times New Roman" w:hAnsi="Times New Roman" w:cs="Times New Roman"/>
                <w:sz w:val="20"/>
                <w:szCs w:val="20"/>
              </w:rPr>
            </w:pPr>
            <w:r>
              <w:rPr>
                <w:rFonts w:ascii="Times New Roman" w:hAnsi="Times New Roman" w:cs="Times New Roman"/>
                <w:sz w:val="20"/>
                <w:szCs w:val="20"/>
              </w:rPr>
              <w:t>Rent</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(2,692</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(2,818</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r>
      <w:tr w:rsidR="00000000">
        <w:trPr>
          <w:divId w:val="2126537700"/>
          <w:tblCellSpacing w:w="0" w:type="dxa"/>
        </w:trPr>
        <w:tc>
          <w:tcPr>
            <w:tcW w:w="0" w:type="auto"/>
            <w:shd w:val="clear" w:color="auto" w:fill="FFFFFF"/>
            <w:vAlign w:val="bottom"/>
            <w:hideMark/>
          </w:tcPr>
          <w:p w:rsidR="00000000" w:rsidRDefault="008E203B">
            <w:pPr>
              <w:pStyle w:val="a3"/>
              <w:spacing w:before="0" w:beforeAutospacing="0" w:after="0" w:afterAutospacing="0"/>
              <w:ind w:left="360"/>
              <w:rPr>
                <w:rFonts w:ascii="Times New Roman" w:hAnsi="Times New Roman" w:cs="Times New Roman"/>
                <w:sz w:val="20"/>
                <w:szCs w:val="20"/>
              </w:rPr>
            </w:pPr>
            <w:r>
              <w:rPr>
                <w:rFonts w:ascii="Times New Roman" w:hAnsi="Times New Roman" w:cs="Times New Roman"/>
                <w:sz w:val="20"/>
                <w:szCs w:val="20"/>
              </w:rPr>
              <w:t>Real estate taxes</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(39,347</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(40,434</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r>
      <w:tr w:rsidR="00000000">
        <w:trPr>
          <w:divId w:val="2126537700"/>
          <w:tblCellSpacing w:w="0" w:type="dxa"/>
        </w:trPr>
        <w:tc>
          <w:tcPr>
            <w:tcW w:w="0" w:type="auto"/>
            <w:shd w:val="clear" w:color="auto" w:fill="CCEEFF"/>
            <w:vAlign w:val="bottom"/>
            <w:hideMark/>
          </w:tcPr>
          <w:p w:rsidR="00000000" w:rsidRDefault="008E203B">
            <w:pPr>
              <w:pStyle w:val="a3"/>
              <w:spacing w:before="0" w:beforeAutospacing="0" w:after="0" w:afterAutospacing="0"/>
              <w:ind w:left="360"/>
              <w:rPr>
                <w:rFonts w:ascii="Times New Roman" w:hAnsi="Times New Roman" w:cs="Times New Roman"/>
                <w:sz w:val="20"/>
                <w:szCs w:val="20"/>
              </w:rPr>
            </w:pPr>
            <w:r>
              <w:rPr>
                <w:rFonts w:ascii="Times New Roman" w:hAnsi="Times New Roman" w:cs="Times New Roman"/>
                <w:sz w:val="20"/>
                <w:szCs w:val="20"/>
              </w:rPr>
              <w:t>Operating and maintenance</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(40,896</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(43,331</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r>
      <w:tr w:rsidR="00000000">
        <w:trPr>
          <w:divId w:val="2126537700"/>
          <w:tblCellSpacing w:w="0" w:type="dxa"/>
        </w:trPr>
        <w:tc>
          <w:tcPr>
            <w:tcW w:w="0" w:type="auto"/>
            <w:shd w:val="clear" w:color="auto" w:fill="FFFFFF"/>
            <w:vAlign w:val="bottom"/>
            <w:hideMark/>
          </w:tcPr>
          <w:p w:rsidR="00000000" w:rsidRDefault="008E203B">
            <w:pPr>
              <w:pStyle w:val="a3"/>
              <w:spacing w:before="0" w:beforeAutospacing="0" w:after="0" w:afterAutospacing="0"/>
              <w:ind w:left="360"/>
              <w:rPr>
                <w:rFonts w:ascii="Times New Roman" w:hAnsi="Times New Roman" w:cs="Times New Roman"/>
                <w:sz w:val="20"/>
                <w:szCs w:val="20"/>
              </w:rPr>
            </w:pPr>
            <w:r>
              <w:rPr>
                <w:rFonts w:ascii="Times New Roman" w:hAnsi="Times New Roman" w:cs="Times New Roman"/>
                <w:sz w:val="20"/>
                <w:szCs w:val="20"/>
              </w:rPr>
              <w:t>General and administrative</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(25,831</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(22,398</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r>
      <w:tr w:rsidR="00000000">
        <w:trPr>
          <w:divId w:val="2126537700"/>
          <w:tblCellSpacing w:w="0" w:type="dxa"/>
        </w:trPr>
        <w:tc>
          <w:tcPr>
            <w:tcW w:w="0" w:type="auto"/>
            <w:shd w:val="clear" w:color="auto" w:fill="CCEEFF"/>
            <w:vAlign w:val="bottom"/>
            <w:hideMark/>
          </w:tcPr>
          <w:p w:rsidR="00000000" w:rsidRDefault="008E203B">
            <w:pPr>
              <w:pStyle w:val="a3"/>
              <w:spacing w:before="0" w:beforeAutospacing="0" w:after="0" w:afterAutospacing="0"/>
              <w:ind w:left="360"/>
              <w:rPr>
                <w:rFonts w:ascii="Times New Roman" w:hAnsi="Times New Roman" w:cs="Times New Roman"/>
                <w:sz w:val="20"/>
                <w:szCs w:val="20"/>
              </w:rPr>
            </w:pPr>
            <w:r>
              <w:rPr>
                <w:rFonts w:ascii="Times New Roman" w:hAnsi="Times New Roman" w:cs="Times New Roman"/>
                <w:sz w:val="20"/>
                <w:szCs w:val="20"/>
              </w:rPr>
              <w:t>Provision for doubtful accounts</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(2,131</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r>
      <w:tr w:rsidR="00000000">
        <w:trPr>
          <w:divId w:val="2126537700"/>
          <w:tblCellSpacing w:w="0" w:type="dxa"/>
        </w:trPr>
        <w:tc>
          <w:tcPr>
            <w:tcW w:w="0" w:type="auto"/>
            <w:shd w:val="clear" w:color="auto" w:fill="FFFFFF"/>
            <w:vAlign w:val="bottom"/>
            <w:hideMark/>
          </w:tcPr>
          <w:p w:rsidR="00000000" w:rsidRDefault="008E203B">
            <w:pPr>
              <w:pStyle w:val="a3"/>
              <w:spacing w:before="0" w:beforeAutospacing="0" w:after="0" w:afterAutospacing="0"/>
              <w:ind w:left="360"/>
              <w:rPr>
                <w:rFonts w:ascii="Times New Roman" w:hAnsi="Times New Roman" w:cs="Times New Roman"/>
                <w:sz w:val="20"/>
                <w:szCs w:val="20"/>
              </w:rPr>
            </w:pPr>
            <w:r>
              <w:rPr>
                <w:rFonts w:ascii="Times New Roman" w:hAnsi="Times New Roman" w:cs="Times New Roman"/>
                <w:sz w:val="20"/>
                <w:szCs w:val="20"/>
              </w:rPr>
              <w:t>Impairment charges</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(4,175</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(7,646</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r>
      <w:tr w:rsidR="00000000">
        <w:trPr>
          <w:divId w:val="2126537700"/>
          <w:tblCellSpacing w:w="0" w:type="dxa"/>
        </w:trPr>
        <w:tc>
          <w:tcPr>
            <w:tcW w:w="0" w:type="auto"/>
            <w:shd w:val="clear" w:color="auto" w:fill="CCEEFF"/>
            <w:vAlign w:val="bottom"/>
            <w:hideMark/>
          </w:tcPr>
          <w:p w:rsidR="00000000" w:rsidRDefault="008E203B">
            <w:pPr>
              <w:pStyle w:val="a3"/>
              <w:spacing w:before="0" w:beforeAutospacing="0" w:after="0" w:afterAutospacing="0"/>
              <w:ind w:left="360"/>
              <w:rPr>
                <w:rFonts w:ascii="Times New Roman" w:hAnsi="Times New Roman" w:cs="Times New Roman"/>
                <w:sz w:val="20"/>
                <w:szCs w:val="20"/>
              </w:rPr>
            </w:pPr>
            <w:r>
              <w:rPr>
                <w:rFonts w:ascii="Times New Roman" w:hAnsi="Times New Roman" w:cs="Times New Roman"/>
                <w:sz w:val="20"/>
                <w:szCs w:val="20"/>
              </w:rPr>
              <w:t>Depreciation and amortization</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single" w:sz="6" w:space="0" w:color="000000"/>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tcBorders>
              <w:bottom w:val="single" w:sz="6" w:space="0" w:color="000000"/>
            </w:tcBorders>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(71,561</w:t>
            </w:r>
          </w:p>
        </w:tc>
        <w:tc>
          <w:tcPr>
            <w:tcW w:w="50" w:type="pct"/>
            <w:shd w:val="clear" w:color="auto" w:fill="CCEEFF"/>
            <w:noWrap/>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single" w:sz="6" w:space="0" w:color="000000"/>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tcBorders>
              <w:bottom w:val="single" w:sz="6" w:space="0" w:color="000000"/>
            </w:tcBorders>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(81,382</w:t>
            </w:r>
          </w:p>
        </w:tc>
        <w:tc>
          <w:tcPr>
            <w:tcW w:w="50" w:type="pct"/>
            <w:shd w:val="clear" w:color="auto" w:fill="CCEEFF"/>
            <w:noWrap/>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r>
      <w:tr w:rsidR="00000000">
        <w:trPr>
          <w:divId w:val="2126537700"/>
          <w:tblCellSpacing w:w="0" w:type="dxa"/>
        </w:trPr>
        <w:tc>
          <w:tcPr>
            <w:tcW w:w="0" w:type="auto"/>
            <w:shd w:val="clear" w:color="auto" w:fill="FFFFFF"/>
            <w:vAlign w:val="bottom"/>
            <w:hideMark/>
          </w:tcPr>
          <w:p w:rsidR="00000000" w:rsidRDefault="008E203B">
            <w:pPr>
              <w:pStyle w:val="a3"/>
              <w:spacing w:before="0" w:beforeAutospacing="0" w:after="0" w:afterAutospacing="0"/>
              <w:ind w:left="900"/>
              <w:rPr>
                <w:rFonts w:ascii="Times New Roman" w:hAnsi="Times New Roman" w:cs="Times New Roman"/>
                <w:sz w:val="20"/>
                <w:szCs w:val="20"/>
              </w:rPr>
            </w:pPr>
            <w:r>
              <w:rPr>
                <w:rFonts w:ascii="Times New Roman" w:hAnsi="Times New Roman" w:cs="Times New Roman"/>
                <w:sz w:val="20"/>
                <w:szCs w:val="20"/>
              </w:rPr>
              <w:t>Total operating expenses</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single" w:sz="6" w:space="0" w:color="000000"/>
            </w:tcBorders>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tcBorders>
              <w:bottom w:val="single" w:sz="6" w:space="0" w:color="000000"/>
            </w:tcBorders>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(184,502</w:t>
            </w:r>
          </w:p>
        </w:tc>
        <w:tc>
          <w:tcPr>
            <w:tcW w:w="50" w:type="pct"/>
            <w:shd w:val="clear" w:color="auto" w:fill="FFFFFF"/>
            <w:noWrap/>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single" w:sz="6" w:space="0" w:color="000000"/>
            </w:tcBorders>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tcBorders>
              <w:bottom w:val="single" w:sz="6" w:space="0" w:color="000000"/>
            </w:tcBorders>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(200,140</w:t>
            </w:r>
          </w:p>
        </w:tc>
        <w:tc>
          <w:tcPr>
            <w:tcW w:w="50" w:type="pct"/>
            <w:shd w:val="clear" w:color="auto" w:fill="FFFFFF"/>
            <w:noWrap/>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r>
      <w:tr w:rsidR="00000000">
        <w:trPr>
          <w:divId w:val="2126537700"/>
          <w:tblCellSpacing w:w="0" w:type="dxa"/>
        </w:trPr>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2126537700"/>
          <w:tblCellSpacing w:w="0" w:type="dxa"/>
        </w:trPr>
        <w:tc>
          <w:tcPr>
            <w:tcW w:w="0" w:type="auto"/>
            <w:shd w:val="clear" w:color="auto" w:fill="FFFFFF"/>
            <w:vAlign w:val="bottom"/>
            <w:hideMark/>
          </w:tcPr>
          <w:p w:rsidR="00000000" w:rsidRDefault="008E203B">
            <w:pPr>
              <w:pStyle w:val="a3"/>
              <w:spacing w:before="0" w:beforeAutospacing="0" w:after="0" w:afterAutospacing="0"/>
              <w:ind w:left="360"/>
              <w:rPr>
                <w:rFonts w:ascii="Times New Roman" w:hAnsi="Times New Roman" w:cs="Times New Roman"/>
                <w:sz w:val="20"/>
                <w:szCs w:val="20"/>
              </w:rPr>
            </w:pPr>
            <w:r>
              <w:rPr>
                <w:rFonts w:ascii="Times New Roman" w:hAnsi="Times New Roman" w:cs="Times New Roman"/>
                <w:sz w:val="20"/>
                <w:szCs w:val="20"/>
              </w:rPr>
              <w:t>Gain on sale of properties/change in control of interests</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single" w:sz="6" w:space="0" w:color="000000"/>
            </w:tcBorders>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tcBorders>
              <w:bottom w:val="single" w:sz="6" w:space="0" w:color="000000"/>
            </w:tcBorders>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23,595</w:t>
            </w:r>
          </w:p>
        </w:tc>
        <w:tc>
          <w:tcPr>
            <w:tcW w:w="50" w:type="pct"/>
            <w:shd w:val="clear" w:color="auto" w:fill="FFFFFF"/>
            <w:noWrap/>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single" w:sz="6" w:space="0" w:color="000000"/>
            </w:tcBorders>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tcBorders>
              <w:bottom w:val="single" w:sz="6" w:space="0" w:color="000000"/>
            </w:tcBorders>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56,971</w:t>
            </w:r>
          </w:p>
        </w:tc>
        <w:tc>
          <w:tcPr>
            <w:tcW w:w="50" w:type="pct"/>
            <w:shd w:val="clear" w:color="auto" w:fill="FFFFFF"/>
            <w:noWrap/>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2126537700"/>
          <w:tblCellSpacing w:w="0" w:type="dxa"/>
        </w:trPr>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2126537700"/>
          <w:tblCellSpacing w:w="0" w:type="dxa"/>
        </w:trPr>
        <w:tc>
          <w:tcPr>
            <w:tcW w:w="0" w:type="auto"/>
            <w:shd w:val="clear" w:color="auto" w:fill="FFFFFF"/>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Operating income</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134,103</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160,909</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2126537700"/>
          <w:tblCellSpacing w:w="0" w:type="dxa"/>
        </w:trPr>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2126537700"/>
          <w:tblCellSpacing w:w="0" w:type="dxa"/>
        </w:trPr>
        <w:tc>
          <w:tcPr>
            <w:tcW w:w="0" w:type="auto"/>
            <w:shd w:val="clear" w:color="auto" w:fill="FFFFFF"/>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Other income/(expense)</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2126537700"/>
          <w:tblCellSpacing w:w="0" w:type="dxa"/>
        </w:trPr>
        <w:tc>
          <w:tcPr>
            <w:tcW w:w="0" w:type="auto"/>
            <w:shd w:val="clear" w:color="auto" w:fill="CCEEFF"/>
            <w:vAlign w:val="bottom"/>
            <w:hideMark/>
          </w:tcPr>
          <w:p w:rsidR="00000000" w:rsidRDefault="008E203B">
            <w:pPr>
              <w:pStyle w:val="a3"/>
              <w:spacing w:before="0" w:beforeAutospacing="0" w:after="0" w:afterAutospacing="0"/>
              <w:ind w:left="360"/>
              <w:rPr>
                <w:rFonts w:ascii="Times New Roman" w:hAnsi="Times New Roman" w:cs="Times New Roman"/>
                <w:sz w:val="20"/>
                <w:szCs w:val="20"/>
              </w:rPr>
            </w:pPr>
            <w:r>
              <w:rPr>
                <w:rFonts w:ascii="Times New Roman" w:hAnsi="Times New Roman" w:cs="Times New Roman"/>
                <w:sz w:val="20"/>
                <w:szCs w:val="20"/>
              </w:rPr>
              <w:t>Other income, net</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2,622</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6,179</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2126537700"/>
          <w:tblCellSpacing w:w="0" w:type="dxa"/>
        </w:trPr>
        <w:tc>
          <w:tcPr>
            <w:tcW w:w="0" w:type="auto"/>
            <w:shd w:val="clear" w:color="auto" w:fill="FFFFFF"/>
            <w:vAlign w:val="bottom"/>
            <w:hideMark/>
          </w:tcPr>
          <w:p w:rsidR="00000000" w:rsidRDefault="008E203B">
            <w:pPr>
              <w:pStyle w:val="a3"/>
              <w:spacing w:before="0" w:beforeAutospacing="0" w:after="0" w:afterAutospacing="0"/>
              <w:ind w:left="360"/>
              <w:rPr>
                <w:rFonts w:ascii="Times New Roman" w:hAnsi="Times New Roman" w:cs="Times New Roman"/>
                <w:sz w:val="20"/>
                <w:szCs w:val="20"/>
              </w:rPr>
            </w:pPr>
            <w:r>
              <w:rPr>
                <w:rFonts w:ascii="Times New Roman" w:hAnsi="Times New Roman" w:cs="Times New Roman"/>
                <w:sz w:val="20"/>
                <w:szCs w:val="20"/>
              </w:rPr>
              <w:t>Interest expense</w:t>
            </w:r>
          </w:p>
        </w:tc>
        <w:tc>
          <w:tcPr>
            <w:tcW w:w="50" w:type="pct"/>
            <w:shd w:val="clear" w:color="auto" w:fill="FFFFFF"/>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single" w:sz="6" w:space="0" w:color="000000"/>
            </w:tcBorders>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tcBorders>
              <w:bottom w:val="single" w:sz="6" w:space="0" w:color="000000"/>
            </w:tcBorders>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(44,395</w:t>
            </w:r>
          </w:p>
        </w:tc>
        <w:tc>
          <w:tcPr>
            <w:tcW w:w="50" w:type="pct"/>
            <w:shd w:val="clear" w:color="auto" w:fill="FFFFFF"/>
            <w:noWrap/>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single" w:sz="6" w:space="0" w:color="000000"/>
            </w:tcBorders>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tcBorders>
              <w:bottom w:val="single" w:sz="6" w:space="0" w:color="000000"/>
            </w:tcBorders>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(49,943</w:t>
            </w:r>
          </w:p>
        </w:tc>
        <w:tc>
          <w:tcPr>
            <w:tcW w:w="50" w:type="pct"/>
            <w:shd w:val="clear" w:color="auto" w:fill="FFFFFF"/>
            <w:noWrap/>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r>
      <w:tr w:rsidR="00000000">
        <w:trPr>
          <w:divId w:val="2126537700"/>
          <w:tblCellSpacing w:w="0" w:type="dxa"/>
        </w:trPr>
        <w:tc>
          <w:tcPr>
            <w:tcW w:w="0" w:type="auto"/>
            <w:shd w:val="clear" w:color="auto" w:fill="CCEEFF"/>
            <w:vAlign w:val="bottom"/>
            <w:hideMark/>
          </w:tcPr>
          <w:p w:rsidR="00000000" w:rsidRDefault="008E203B">
            <w:pPr>
              <w:pStyle w:val="a3"/>
              <w:spacing w:before="0" w:beforeAutospacing="0" w:after="0" w:afterAutospacing="0"/>
              <w:ind w:left="180" w:hanging="180"/>
              <w:rPr>
                <w:rFonts w:ascii="Times New Roman" w:hAnsi="Times New Roman" w:cs="Times New Roman"/>
                <w:sz w:val="20"/>
                <w:szCs w:val="20"/>
              </w:rPr>
            </w:pPr>
            <w:r>
              <w:rPr>
                <w:rFonts w:ascii="Times New Roman" w:hAnsi="Times New Roman" w:cs="Times New Roman"/>
                <w:sz w:val="20"/>
                <w:szCs w:val="20"/>
              </w:rPr>
              <w:t>Income before income taxes, net, equity in income of joint ventures, net, and equity in income from other real estate investments, net</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92,330</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117,145</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2126537700"/>
          <w:tblCellSpacing w:w="0" w:type="dxa"/>
        </w:trPr>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2126537700"/>
          <w:tblCellSpacing w:w="0" w:type="dxa"/>
        </w:trPr>
        <w:tc>
          <w:tcPr>
            <w:tcW w:w="0" w:type="auto"/>
            <w:shd w:val="clear" w:color="auto" w:fill="CCEEFF"/>
            <w:vAlign w:val="bottom"/>
            <w:hideMark/>
          </w:tcPr>
          <w:p w:rsidR="00000000" w:rsidRDefault="008E203B">
            <w:pPr>
              <w:pStyle w:val="a3"/>
              <w:spacing w:before="0" w:beforeAutospacing="0" w:after="0" w:afterAutospacing="0"/>
              <w:ind w:left="360"/>
              <w:rPr>
                <w:rFonts w:ascii="Times New Roman" w:hAnsi="Times New Roman" w:cs="Times New Roman"/>
                <w:sz w:val="20"/>
                <w:szCs w:val="20"/>
              </w:rPr>
            </w:pPr>
            <w:r>
              <w:rPr>
                <w:rFonts w:ascii="Times New Roman" w:hAnsi="Times New Roman" w:cs="Times New Roman"/>
                <w:sz w:val="20"/>
                <w:szCs w:val="20"/>
              </w:rPr>
              <w:t>Provision for income taxes, net</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(630</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(52</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r>
      <w:tr w:rsidR="00000000">
        <w:trPr>
          <w:divId w:val="2126537700"/>
          <w:tblCellSpacing w:w="0" w:type="dxa"/>
        </w:trPr>
        <w:tc>
          <w:tcPr>
            <w:tcW w:w="0" w:type="auto"/>
            <w:shd w:val="clear" w:color="auto" w:fill="FFFFFF"/>
            <w:vAlign w:val="bottom"/>
            <w:hideMark/>
          </w:tcPr>
          <w:p w:rsidR="00000000" w:rsidRDefault="008E203B">
            <w:pPr>
              <w:pStyle w:val="a3"/>
              <w:spacing w:before="0" w:beforeAutospacing="0" w:after="0" w:afterAutospacing="0"/>
              <w:ind w:left="360"/>
              <w:rPr>
                <w:rFonts w:ascii="Times New Roman" w:hAnsi="Times New Roman" w:cs="Times New Roman"/>
                <w:sz w:val="20"/>
                <w:szCs w:val="20"/>
              </w:rPr>
            </w:pPr>
            <w:r>
              <w:rPr>
                <w:rFonts w:ascii="Times New Roman" w:hAnsi="Times New Roman" w:cs="Times New Roman"/>
                <w:sz w:val="20"/>
                <w:szCs w:val="20"/>
              </w:rPr>
              <w:t>Equity in income of joint ventures, net</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18,754</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16,913</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2126537700"/>
          <w:tblCellSpacing w:w="0" w:type="dxa"/>
        </w:trPr>
        <w:tc>
          <w:tcPr>
            <w:tcW w:w="0" w:type="auto"/>
            <w:shd w:val="clear" w:color="auto" w:fill="CCEEFF"/>
            <w:vAlign w:val="bottom"/>
            <w:hideMark/>
          </w:tcPr>
          <w:p w:rsidR="00000000" w:rsidRDefault="008E203B">
            <w:pPr>
              <w:pStyle w:val="a3"/>
              <w:spacing w:before="0" w:beforeAutospacing="0" w:after="0" w:afterAutospacing="0"/>
              <w:ind w:left="360"/>
              <w:rPr>
                <w:rFonts w:ascii="Times New Roman" w:hAnsi="Times New Roman" w:cs="Times New Roman"/>
                <w:sz w:val="20"/>
                <w:szCs w:val="20"/>
              </w:rPr>
            </w:pPr>
            <w:r>
              <w:rPr>
                <w:rFonts w:ascii="Times New Roman" w:hAnsi="Times New Roman" w:cs="Times New Roman"/>
                <w:sz w:val="20"/>
                <w:szCs w:val="20"/>
              </w:rPr>
              <w:t>Equity in income of other real estate investments, net</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6,224</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9,976</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2126537700"/>
          <w:tblCellSpacing w:w="0" w:type="dxa"/>
        </w:trPr>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tcBorders>
              <w:bottom w:val="single" w:sz="6" w:space="0" w:color="000000"/>
            </w:tcBorders>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tcBorders>
              <w:bottom w:val="single" w:sz="6" w:space="0" w:color="000000"/>
            </w:tcBorders>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tcBorders>
              <w:bottom w:val="single" w:sz="6" w:space="0" w:color="000000"/>
            </w:tcBorders>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tcBorders>
              <w:bottom w:val="single" w:sz="6" w:space="0" w:color="000000"/>
            </w:tcBorders>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2126537700"/>
          <w:tblCellSpacing w:w="0" w:type="dxa"/>
        </w:trPr>
        <w:tc>
          <w:tcPr>
            <w:tcW w:w="0" w:type="auto"/>
            <w:shd w:val="clear" w:color="auto" w:fill="CCEEFF"/>
            <w:vAlign w:val="bottom"/>
            <w:hideMark/>
          </w:tcPr>
          <w:p w:rsidR="00000000" w:rsidRDefault="008E203B">
            <w:pPr>
              <w:pStyle w:val="a3"/>
              <w:spacing w:before="0" w:beforeAutospacing="0" w:after="0" w:afterAutospacing="0"/>
              <w:ind w:left="540"/>
              <w:rPr>
                <w:rFonts w:ascii="Times New Roman" w:hAnsi="Times New Roman" w:cs="Times New Roman"/>
                <w:sz w:val="20"/>
                <w:szCs w:val="20"/>
              </w:rPr>
            </w:pPr>
            <w:r>
              <w:rPr>
                <w:rFonts w:ascii="Times New Roman" w:hAnsi="Times New Roman" w:cs="Times New Roman"/>
                <w:sz w:val="20"/>
                <w:szCs w:val="20"/>
              </w:rPr>
              <w:t>Net income</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116,678</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143,982</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2126537700"/>
          <w:tblCellSpacing w:w="0" w:type="dxa"/>
        </w:trPr>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2126537700"/>
          <w:tblCellSpacing w:w="0" w:type="dxa"/>
        </w:trPr>
        <w:tc>
          <w:tcPr>
            <w:tcW w:w="0" w:type="auto"/>
            <w:shd w:val="clear" w:color="auto" w:fill="CCEEFF"/>
            <w:vAlign w:val="bottom"/>
            <w:hideMark/>
          </w:tcPr>
          <w:p w:rsidR="00000000" w:rsidRDefault="008E203B">
            <w:pPr>
              <w:pStyle w:val="a3"/>
              <w:spacing w:before="0" w:beforeAutospacing="0" w:after="0" w:afterAutospacing="0"/>
              <w:ind w:left="360"/>
              <w:rPr>
                <w:rFonts w:ascii="Times New Roman" w:hAnsi="Times New Roman" w:cs="Times New Roman"/>
                <w:sz w:val="20"/>
                <w:szCs w:val="20"/>
              </w:rPr>
            </w:pPr>
            <w:r>
              <w:rPr>
                <w:rFonts w:ascii="Times New Roman" w:hAnsi="Times New Roman" w:cs="Times New Roman"/>
                <w:sz w:val="20"/>
                <w:szCs w:val="20"/>
              </w:rPr>
              <w:t>Net (income)/loss attributable to noncontrolling interests</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(509</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108</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2126537700"/>
          <w:tblCellSpacing w:w="0" w:type="dxa"/>
        </w:trPr>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tcBorders>
              <w:bottom w:val="single" w:sz="6" w:space="0" w:color="000000"/>
            </w:tcBorders>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tcBorders>
              <w:bottom w:val="single" w:sz="6" w:space="0" w:color="000000"/>
            </w:tcBorders>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tcBorders>
              <w:bottom w:val="single" w:sz="6" w:space="0" w:color="000000"/>
            </w:tcBorders>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tcBorders>
              <w:bottom w:val="single" w:sz="6" w:space="0" w:color="000000"/>
            </w:tcBorders>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2126537700"/>
          <w:tblCellSpacing w:w="0" w:type="dxa"/>
        </w:trPr>
        <w:tc>
          <w:tcPr>
            <w:tcW w:w="0" w:type="auto"/>
            <w:shd w:val="clear" w:color="auto" w:fill="CCEEFF"/>
            <w:vAlign w:val="bottom"/>
            <w:hideMark/>
          </w:tcPr>
          <w:p w:rsidR="00000000" w:rsidRDefault="008E203B">
            <w:pPr>
              <w:pStyle w:val="a3"/>
              <w:spacing w:before="0" w:beforeAutospacing="0" w:after="0" w:afterAutospacing="0"/>
              <w:ind w:left="540"/>
              <w:rPr>
                <w:rFonts w:ascii="Times New Roman" w:hAnsi="Times New Roman" w:cs="Times New Roman"/>
                <w:sz w:val="20"/>
                <w:szCs w:val="20"/>
              </w:rPr>
            </w:pPr>
            <w:r>
              <w:rPr>
                <w:rFonts w:ascii="Times New Roman" w:hAnsi="Times New Roman" w:cs="Times New Roman"/>
                <w:sz w:val="20"/>
                <w:szCs w:val="20"/>
              </w:rPr>
              <w:t>Net income attributable to the Company</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116,169</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144,090</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2126537700"/>
          <w:tblCellSpacing w:w="0" w:type="dxa"/>
        </w:trPr>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2126537700"/>
          <w:tblCellSpacing w:w="0" w:type="dxa"/>
        </w:trPr>
        <w:tc>
          <w:tcPr>
            <w:tcW w:w="0" w:type="auto"/>
            <w:shd w:val="clear" w:color="auto" w:fill="CCEEFF"/>
            <w:vAlign w:val="bottom"/>
            <w:hideMark/>
          </w:tcPr>
          <w:p w:rsidR="00000000" w:rsidRDefault="008E203B">
            <w:pPr>
              <w:pStyle w:val="a3"/>
              <w:spacing w:before="0" w:beforeAutospacing="0" w:after="0" w:afterAutospacing="0"/>
              <w:ind w:left="360"/>
              <w:rPr>
                <w:rFonts w:ascii="Times New Roman" w:hAnsi="Times New Roman" w:cs="Times New Roman"/>
                <w:sz w:val="20"/>
                <w:szCs w:val="20"/>
              </w:rPr>
            </w:pPr>
            <w:r>
              <w:rPr>
                <w:rFonts w:ascii="Times New Roman" w:hAnsi="Times New Roman" w:cs="Times New Roman"/>
                <w:sz w:val="20"/>
                <w:szCs w:val="20"/>
              </w:rPr>
              <w:t>Preferred dividends</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single" w:sz="6" w:space="0" w:color="000000"/>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tcBorders>
              <w:bottom w:val="single" w:sz="6" w:space="0" w:color="000000"/>
            </w:tcBorders>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(14,534</w:t>
            </w:r>
          </w:p>
        </w:tc>
        <w:tc>
          <w:tcPr>
            <w:tcW w:w="50" w:type="pct"/>
            <w:shd w:val="clear" w:color="auto" w:fill="CCEEFF"/>
            <w:noWrap/>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single" w:sz="6" w:space="0" w:color="000000"/>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tcBorders>
              <w:bottom w:val="single" w:sz="6" w:space="0" w:color="000000"/>
            </w:tcBorders>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(14,589</w:t>
            </w:r>
          </w:p>
        </w:tc>
        <w:tc>
          <w:tcPr>
            <w:tcW w:w="50" w:type="pct"/>
            <w:shd w:val="clear" w:color="auto" w:fill="CCEEFF"/>
            <w:noWrap/>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r>
      <w:tr w:rsidR="00000000">
        <w:trPr>
          <w:divId w:val="2126537700"/>
          <w:tblCellSpacing w:w="0" w:type="dxa"/>
        </w:trPr>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2126537700"/>
          <w:tblCellSpacing w:w="0" w:type="dxa"/>
        </w:trPr>
        <w:tc>
          <w:tcPr>
            <w:tcW w:w="0" w:type="auto"/>
            <w:shd w:val="clear" w:color="auto" w:fill="CCEEFF"/>
            <w:vAlign w:val="bottom"/>
            <w:hideMark/>
          </w:tcPr>
          <w:p w:rsidR="00000000" w:rsidRDefault="008E203B">
            <w:pPr>
              <w:pStyle w:val="a3"/>
              <w:spacing w:before="0" w:beforeAutospacing="0" w:after="0" w:afterAutospacing="0"/>
              <w:ind w:left="540"/>
              <w:rPr>
                <w:rFonts w:ascii="Times New Roman" w:hAnsi="Times New Roman" w:cs="Times New Roman"/>
                <w:sz w:val="20"/>
                <w:szCs w:val="20"/>
              </w:rPr>
            </w:pPr>
            <w:r>
              <w:rPr>
                <w:rFonts w:ascii="Times New Roman" w:hAnsi="Times New Roman" w:cs="Times New Roman"/>
                <w:sz w:val="20"/>
                <w:szCs w:val="20"/>
              </w:rPr>
              <w:t>Net income available to the Company's common shareholders</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double" w:sz="6" w:space="0" w:color="000000"/>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600" w:type="pct"/>
            <w:tcBorders>
              <w:bottom w:val="double" w:sz="6" w:space="0" w:color="000000"/>
            </w:tcBorders>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101,635</w:t>
            </w:r>
          </w:p>
        </w:tc>
        <w:tc>
          <w:tcPr>
            <w:tcW w:w="50" w:type="pct"/>
            <w:shd w:val="clear" w:color="auto" w:fill="CCEEFF"/>
            <w:noWrap/>
            <w:tcMar>
              <w:top w:w="0" w:type="dxa"/>
              <w:left w:w="0" w:type="dxa"/>
              <w:bottom w:w="4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double" w:sz="6" w:space="0" w:color="000000"/>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600" w:type="pct"/>
            <w:tcBorders>
              <w:bottom w:val="double" w:sz="6" w:space="0" w:color="000000"/>
            </w:tcBorders>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129,501</w:t>
            </w:r>
          </w:p>
        </w:tc>
        <w:tc>
          <w:tcPr>
            <w:tcW w:w="50" w:type="pct"/>
            <w:shd w:val="clear" w:color="auto" w:fill="CCEEFF"/>
            <w:noWrap/>
            <w:tcMar>
              <w:top w:w="0" w:type="dxa"/>
              <w:left w:w="0" w:type="dxa"/>
              <w:bottom w:w="4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2126537700"/>
          <w:tblCellSpacing w:w="0" w:type="dxa"/>
        </w:trPr>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2126537700"/>
          <w:tblCellSpacing w:w="0" w:type="dxa"/>
        </w:trPr>
        <w:tc>
          <w:tcPr>
            <w:tcW w:w="0" w:type="auto"/>
            <w:shd w:val="clear" w:color="auto" w:fill="CCEEFF"/>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Per common share:</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2126537700"/>
          <w:tblCellSpacing w:w="0" w:type="dxa"/>
        </w:trPr>
        <w:tc>
          <w:tcPr>
            <w:tcW w:w="0" w:type="auto"/>
            <w:shd w:val="clear" w:color="auto" w:fill="FFFFFF"/>
            <w:vAlign w:val="bottom"/>
            <w:hideMark/>
          </w:tcPr>
          <w:p w:rsidR="00000000" w:rsidRDefault="008E203B">
            <w:pPr>
              <w:pStyle w:val="a3"/>
              <w:spacing w:before="0" w:beforeAutospacing="0" w:after="0" w:afterAutospacing="0"/>
              <w:ind w:left="360"/>
              <w:rPr>
                <w:rFonts w:ascii="Times New Roman" w:hAnsi="Times New Roman" w:cs="Times New Roman"/>
                <w:sz w:val="20"/>
                <w:szCs w:val="20"/>
              </w:rPr>
            </w:pPr>
            <w:r>
              <w:rPr>
                <w:rFonts w:ascii="Times New Roman" w:hAnsi="Times New Roman" w:cs="Times New Roman"/>
                <w:sz w:val="20"/>
                <w:szCs w:val="20"/>
              </w:rPr>
              <w:t>Net income available to the Company:</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2126537700"/>
          <w:tblCellSpacing w:w="0" w:type="dxa"/>
        </w:trPr>
        <w:tc>
          <w:tcPr>
            <w:tcW w:w="0" w:type="auto"/>
            <w:shd w:val="clear" w:color="auto" w:fill="CCEEFF"/>
            <w:vAlign w:val="bottom"/>
            <w:hideMark/>
          </w:tcPr>
          <w:p w:rsidR="00000000" w:rsidRDefault="008E203B">
            <w:pPr>
              <w:pStyle w:val="a3"/>
              <w:spacing w:before="0" w:beforeAutospacing="0" w:after="0" w:afterAutospacing="0"/>
              <w:ind w:left="540"/>
              <w:rPr>
                <w:rFonts w:ascii="Times New Roman" w:hAnsi="Times New Roman" w:cs="Times New Roman"/>
                <w:sz w:val="20"/>
                <w:szCs w:val="20"/>
              </w:rPr>
            </w:pPr>
            <w:r>
              <w:rPr>
                <w:rFonts w:ascii="Times New Roman" w:hAnsi="Times New Roman" w:cs="Times New Roman"/>
                <w:sz w:val="20"/>
                <w:szCs w:val="20"/>
              </w:rPr>
              <w:t>-Basic</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double" w:sz="6" w:space="0" w:color="000000"/>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600" w:type="pct"/>
            <w:tcBorders>
              <w:bottom w:val="double" w:sz="6" w:space="0" w:color="000000"/>
            </w:tcBorders>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0.24</w:t>
            </w:r>
          </w:p>
        </w:tc>
        <w:tc>
          <w:tcPr>
            <w:tcW w:w="50" w:type="pct"/>
            <w:shd w:val="clear" w:color="auto" w:fill="CCEEFF"/>
            <w:noWrap/>
            <w:tcMar>
              <w:top w:w="0" w:type="dxa"/>
              <w:left w:w="0" w:type="dxa"/>
              <w:bottom w:w="4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double" w:sz="6" w:space="0" w:color="000000"/>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600" w:type="pct"/>
            <w:tcBorders>
              <w:bottom w:val="double" w:sz="6" w:space="0" w:color="000000"/>
            </w:tcBorders>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0.30</w:t>
            </w:r>
          </w:p>
        </w:tc>
        <w:tc>
          <w:tcPr>
            <w:tcW w:w="50" w:type="pct"/>
            <w:shd w:val="clear" w:color="auto" w:fill="CCEEFF"/>
            <w:noWrap/>
            <w:tcMar>
              <w:top w:w="0" w:type="dxa"/>
              <w:left w:w="0" w:type="dxa"/>
              <w:bottom w:w="4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2126537700"/>
          <w:tblCellSpacing w:w="0" w:type="dxa"/>
        </w:trPr>
        <w:tc>
          <w:tcPr>
            <w:tcW w:w="0" w:type="auto"/>
            <w:shd w:val="clear" w:color="auto" w:fill="FFFFFF"/>
            <w:vAlign w:val="bottom"/>
            <w:hideMark/>
          </w:tcPr>
          <w:p w:rsidR="00000000" w:rsidRDefault="008E203B">
            <w:pPr>
              <w:pStyle w:val="a3"/>
              <w:spacing w:before="0" w:beforeAutospacing="0" w:after="0" w:afterAutospacing="0"/>
              <w:ind w:left="540"/>
              <w:rPr>
                <w:rFonts w:ascii="Times New Roman" w:hAnsi="Times New Roman" w:cs="Times New Roman"/>
                <w:sz w:val="20"/>
                <w:szCs w:val="20"/>
              </w:rPr>
            </w:pPr>
            <w:r>
              <w:rPr>
                <w:rFonts w:ascii="Times New Roman" w:hAnsi="Times New Roman" w:cs="Times New Roman"/>
                <w:sz w:val="20"/>
                <w:szCs w:val="20"/>
              </w:rPr>
              <w:t>-Diluted</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double" w:sz="6" w:space="0" w:color="000000"/>
            </w:tcBorders>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600" w:type="pct"/>
            <w:tcBorders>
              <w:bottom w:val="double" w:sz="6" w:space="0" w:color="000000"/>
            </w:tcBorders>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0.24</w:t>
            </w:r>
          </w:p>
        </w:tc>
        <w:tc>
          <w:tcPr>
            <w:tcW w:w="50" w:type="pct"/>
            <w:shd w:val="clear" w:color="auto" w:fill="FFFFFF"/>
            <w:noWrap/>
            <w:tcMar>
              <w:top w:w="0" w:type="dxa"/>
              <w:left w:w="0" w:type="dxa"/>
              <w:bottom w:w="4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double" w:sz="6" w:space="0" w:color="000000"/>
            </w:tcBorders>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600" w:type="pct"/>
            <w:tcBorders>
              <w:bottom w:val="double" w:sz="6" w:space="0" w:color="000000"/>
            </w:tcBorders>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0.30</w:t>
            </w:r>
          </w:p>
        </w:tc>
        <w:tc>
          <w:tcPr>
            <w:tcW w:w="50" w:type="pct"/>
            <w:shd w:val="clear" w:color="auto" w:fill="FFFFFF"/>
            <w:noWrap/>
            <w:tcMar>
              <w:top w:w="0" w:type="dxa"/>
              <w:left w:w="0" w:type="dxa"/>
              <w:bottom w:w="4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2126537700"/>
          <w:tblCellSpacing w:w="0" w:type="dxa"/>
        </w:trPr>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2126537700"/>
          <w:tblCellSpacing w:w="0" w:type="dxa"/>
        </w:trPr>
        <w:tc>
          <w:tcPr>
            <w:tcW w:w="0" w:type="auto"/>
            <w:shd w:val="clear" w:color="auto" w:fill="FFFFFF"/>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Weighted average shares:</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2126537700"/>
          <w:tblCellSpacing w:w="0" w:type="dxa"/>
        </w:trPr>
        <w:tc>
          <w:tcPr>
            <w:tcW w:w="0" w:type="auto"/>
            <w:shd w:val="clear" w:color="auto" w:fill="CCEEFF"/>
            <w:vAlign w:val="bottom"/>
            <w:hideMark/>
          </w:tcPr>
          <w:p w:rsidR="00000000" w:rsidRDefault="008E203B">
            <w:pPr>
              <w:pStyle w:val="a3"/>
              <w:spacing w:before="0" w:beforeAutospacing="0" w:after="0" w:afterAutospacing="0"/>
              <w:ind w:left="540"/>
              <w:rPr>
                <w:rFonts w:ascii="Times New Roman" w:hAnsi="Times New Roman" w:cs="Times New Roman"/>
                <w:sz w:val="20"/>
                <w:szCs w:val="20"/>
              </w:rPr>
            </w:pPr>
            <w:r>
              <w:rPr>
                <w:rFonts w:ascii="Times New Roman" w:hAnsi="Times New Roman" w:cs="Times New Roman"/>
                <w:sz w:val="20"/>
                <w:szCs w:val="20"/>
              </w:rPr>
              <w:t>-Basic</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double" w:sz="6" w:space="0" w:color="000000"/>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tcBorders>
              <w:bottom w:val="double" w:sz="6" w:space="0" w:color="000000"/>
            </w:tcBorders>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419,464</w:t>
            </w:r>
          </w:p>
        </w:tc>
        <w:tc>
          <w:tcPr>
            <w:tcW w:w="50" w:type="pct"/>
            <w:shd w:val="clear" w:color="auto" w:fill="CCEEFF"/>
            <w:noWrap/>
            <w:tcMar>
              <w:top w:w="0" w:type="dxa"/>
              <w:left w:w="0" w:type="dxa"/>
              <w:bottom w:w="4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double" w:sz="6" w:space="0" w:color="000000"/>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tcBorders>
              <w:bottom w:val="double" w:sz="6" w:space="0" w:color="000000"/>
            </w:tcBorders>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423,404</w:t>
            </w:r>
          </w:p>
        </w:tc>
        <w:tc>
          <w:tcPr>
            <w:tcW w:w="50" w:type="pct"/>
            <w:shd w:val="clear" w:color="auto" w:fill="CCEEFF"/>
            <w:noWrap/>
            <w:tcMar>
              <w:top w:w="0" w:type="dxa"/>
              <w:left w:w="0" w:type="dxa"/>
              <w:bottom w:w="4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2126537700"/>
          <w:tblCellSpacing w:w="0" w:type="dxa"/>
        </w:trPr>
        <w:tc>
          <w:tcPr>
            <w:tcW w:w="0" w:type="auto"/>
            <w:shd w:val="clear" w:color="auto" w:fill="FFFFFF"/>
            <w:vAlign w:val="bottom"/>
            <w:hideMark/>
          </w:tcPr>
          <w:p w:rsidR="00000000" w:rsidRDefault="008E203B">
            <w:pPr>
              <w:pStyle w:val="a3"/>
              <w:spacing w:before="0" w:beforeAutospacing="0" w:after="0" w:afterAutospacing="0"/>
              <w:ind w:left="540"/>
              <w:rPr>
                <w:rFonts w:ascii="Times New Roman" w:hAnsi="Times New Roman" w:cs="Times New Roman"/>
                <w:sz w:val="20"/>
                <w:szCs w:val="20"/>
              </w:rPr>
            </w:pPr>
            <w:r>
              <w:rPr>
                <w:rFonts w:ascii="Times New Roman" w:hAnsi="Times New Roman" w:cs="Times New Roman"/>
                <w:sz w:val="20"/>
                <w:szCs w:val="20"/>
              </w:rPr>
              <w:t>-Diluted</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double" w:sz="6" w:space="0" w:color="000000"/>
            </w:tcBorders>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tcBorders>
              <w:bottom w:val="double" w:sz="6" w:space="0" w:color="000000"/>
            </w:tcBorders>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420,763</w:t>
            </w:r>
          </w:p>
        </w:tc>
        <w:tc>
          <w:tcPr>
            <w:tcW w:w="50" w:type="pct"/>
            <w:shd w:val="clear" w:color="auto" w:fill="FFFFFF"/>
            <w:noWrap/>
            <w:tcMar>
              <w:top w:w="0" w:type="dxa"/>
              <w:left w:w="0" w:type="dxa"/>
              <w:bottom w:w="4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double" w:sz="6" w:space="0" w:color="000000"/>
            </w:tcBorders>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tcBorders>
              <w:bottom w:val="double" w:sz="6" w:space="0" w:color="000000"/>
            </w:tcBorders>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424,521</w:t>
            </w:r>
          </w:p>
        </w:tc>
        <w:tc>
          <w:tcPr>
            <w:tcW w:w="50" w:type="pct"/>
            <w:shd w:val="clear" w:color="auto" w:fill="FFFFFF"/>
            <w:noWrap/>
            <w:tcMar>
              <w:top w:w="0" w:type="dxa"/>
              <w:left w:w="0" w:type="dxa"/>
              <w:bottom w:w="4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bl>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  </w:t>
      </w:r>
    </w:p>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The accompanying notes are an integral part of these condensed consolidated financial statements.</w:t>
      </w:r>
    </w:p>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w:t>
      </w:r>
    </w:p>
    <w:p w:rsidR="00000000" w:rsidRDefault="008E203B">
      <w:pPr>
        <w:jc w:val="center"/>
        <w:divId w:val="1175799300"/>
        <w:rPr>
          <w:rFonts w:ascii="Times New Roman" w:hAnsi="Times New Roman" w:cs="Times New Roman"/>
          <w:sz w:val="20"/>
          <w:szCs w:val="20"/>
        </w:rPr>
      </w:pPr>
      <w:r>
        <w:rPr>
          <w:rFonts w:ascii="Times New Roman" w:hAnsi="Times New Roman" w:cs="Times New Roman"/>
          <w:sz w:val="20"/>
          <w:szCs w:val="20"/>
        </w:rPr>
        <w:t>4</w:t>
      </w:r>
    </w:p>
    <w:p w:rsidR="00000000" w:rsidRDefault="008E203B">
      <w:pPr>
        <w:divId w:val="1175799300"/>
        <w:rPr>
          <w:rFonts w:ascii="Times New Roman" w:hAnsi="Times New Roman" w:cs="Times New Roman"/>
          <w:sz w:val="20"/>
          <w:szCs w:val="20"/>
        </w:rPr>
      </w:pPr>
      <w:r>
        <w:rPr>
          <w:rFonts w:ascii="Times New Roman" w:hAnsi="Times New Roman" w:cs="Times New Roman"/>
          <w:sz w:val="20"/>
          <w:szCs w:val="20"/>
        </w:rPr>
        <w:pict>
          <v:rect id="_x0000_i1032" style="width:415.3pt;height:1.5pt" o:hralign="center" o:hrstd="t" o:hrnoshade="t" o:hr="t" fillcolor="black" stroked="f"/>
        </w:pict>
      </w:r>
    </w:p>
    <w:p w:rsidR="00000000" w:rsidRDefault="008E203B">
      <w:pPr>
        <w:divId w:val="1175799300"/>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p w:rsidR="00000000" w:rsidRDefault="008E203B">
      <w:pPr>
        <w:divId w:val="493885361"/>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jc w:val="center"/>
        <w:rPr>
          <w:rFonts w:ascii="Times New Roman" w:hAnsi="Times New Roman" w:cs="Times New Roman"/>
          <w:sz w:val="20"/>
          <w:szCs w:val="20"/>
        </w:rPr>
      </w:pPr>
      <w:bookmarkStart w:id="3" w:name="compincome"/>
      <w:bookmarkEnd w:id="3"/>
      <w:r>
        <w:rPr>
          <w:rFonts w:ascii="Times New Roman" w:hAnsi="Times New Roman" w:cs="Times New Roman"/>
          <w:sz w:val="20"/>
          <w:szCs w:val="20"/>
        </w:rPr>
        <w:t>KIMCO REALTY CORPORATION AND SUBSIDIARIES</w:t>
      </w:r>
    </w:p>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CONDENSED CONSOLIDATED STATEMENTS OF COMPREHENSIVE INCOME</w:t>
      </w:r>
    </w:p>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(Unaudited)</w:t>
      </w:r>
    </w:p>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(in thousands)</w:t>
      </w:r>
    </w:p>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809"/>
        <w:gridCol w:w="78"/>
        <w:gridCol w:w="100"/>
        <w:gridCol w:w="992"/>
        <w:gridCol w:w="78"/>
        <w:gridCol w:w="78"/>
        <w:gridCol w:w="100"/>
        <w:gridCol w:w="992"/>
        <w:gridCol w:w="79"/>
      </w:tblGrid>
      <w:tr w:rsidR="00000000">
        <w:trPr>
          <w:divId w:val="233509071"/>
          <w:tblCellSpacing w:w="0" w:type="dxa"/>
        </w:trPr>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lastRenderedPageBreak/>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gridSpan w:val="6"/>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 xml:space="preserve">Three Months Ended March 31,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233509071"/>
          <w:tblCellSpacing w:w="0" w:type="dxa"/>
        </w:trPr>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gridSpan w:val="2"/>
            <w:tcBorders>
              <w:bottom w:val="single" w:sz="6" w:space="0" w:color="000000"/>
            </w:tcBorders>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2019</w:t>
            </w:r>
          </w:p>
        </w:tc>
        <w:tc>
          <w:tcPr>
            <w:tcW w:w="0" w:type="auto"/>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gridSpan w:val="2"/>
            <w:tcBorders>
              <w:bottom w:val="single" w:sz="6" w:space="0" w:color="000000"/>
            </w:tcBorders>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2018</w:t>
            </w:r>
          </w:p>
        </w:tc>
        <w:tc>
          <w:tcPr>
            <w:tcW w:w="0" w:type="auto"/>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233509071"/>
          <w:tblCellSpacing w:w="0" w:type="dxa"/>
        </w:trPr>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233509071"/>
          <w:tblCellSpacing w:w="0" w:type="dxa"/>
        </w:trPr>
        <w:tc>
          <w:tcPr>
            <w:tcW w:w="3500" w:type="pct"/>
            <w:shd w:val="clear" w:color="auto" w:fill="CCEEFF"/>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Net income</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60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116,678</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60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143,982</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233509071"/>
          <w:tblCellSpacing w:w="0" w:type="dxa"/>
        </w:trPr>
        <w:tc>
          <w:tcPr>
            <w:tcW w:w="0" w:type="auto"/>
            <w:shd w:val="clear" w:color="auto" w:fill="FFFFFF"/>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Other comprehensive income:</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233509071"/>
          <w:tblCellSpacing w:w="0" w:type="dxa"/>
        </w:trPr>
        <w:tc>
          <w:tcPr>
            <w:tcW w:w="0" w:type="auto"/>
            <w:shd w:val="clear" w:color="auto" w:fill="CCEEFF"/>
            <w:vAlign w:val="bottom"/>
            <w:hideMark/>
          </w:tcPr>
          <w:p w:rsidR="00000000" w:rsidRDefault="008E203B">
            <w:pPr>
              <w:pStyle w:val="a3"/>
              <w:spacing w:before="0" w:beforeAutospacing="0" w:after="0" w:afterAutospacing="0"/>
              <w:ind w:left="180"/>
              <w:rPr>
                <w:rFonts w:ascii="Times New Roman" w:hAnsi="Times New Roman" w:cs="Times New Roman"/>
                <w:sz w:val="20"/>
                <w:szCs w:val="20"/>
              </w:rPr>
            </w:pPr>
            <w:r>
              <w:rPr>
                <w:rFonts w:ascii="Times New Roman" w:hAnsi="Times New Roman" w:cs="Times New Roman"/>
                <w:sz w:val="20"/>
                <w:szCs w:val="20"/>
              </w:rPr>
              <w:t>Change in unrealized value on interest rate swap</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single" w:sz="6" w:space="0" w:color="000000"/>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tcBorders>
              <w:bottom w:val="single" w:sz="6" w:space="0" w:color="000000"/>
            </w:tcBorders>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CCEEFF"/>
            <w:noWrap/>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single" w:sz="6" w:space="0" w:color="000000"/>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tcBorders>
              <w:bottom w:val="single" w:sz="6" w:space="0" w:color="000000"/>
            </w:tcBorders>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278</w:t>
            </w:r>
          </w:p>
        </w:tc>
        <w:tc>
          <w:tcPr>
            <w:tcW w:w="50" w:type="pct"/>
            <w:shd w:val="clear" w:color="auto" w:fill="CCEEFF"/>
            <w:noWrap/>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233509071"/>
          <w:tblCellSpacing w:w="0" w:type="dxa"/>
        </w:trPr>
        <w:tc>
          <w:tcPr>
            <w:tcW w:w="0" w:type="auto"/>
            <w:shd w:val="clear" w:color="auto" w:fill="FFFFFF"/>
            <w:vAlign w:val="bottom"/>
            <w:hideMark/>
          </w:tcPr>
          <w:p w:rsidR="00000000" w:rsidRDefault="008E203B">
            <w:pPr>
              <w:pStyle w:val="a3"/>
              <w:spacing w:before="0" w:beforeAutospacing="0" w:after="0" w:afterAutospacing="0"/>
              <w:ind w:left="360"/>
              <w:rPr>
                <w:rFonts w:ascii="Times New Roman" w:hAnsi="Times New Roman" w:cs="Times New Roman"/>
                <w:sz w:val="20"/>
                <w:szCs w:val="20"/>
              </w:rPr>
            </w:pPr>
            <w:r>
              <w:rPr>
                <w:rFonts w:ascii="Times New Roman" w:hAnsi="Times New Roman" w:cs="Times New Roman"/>
                <w:sz w:val="20"/>
                <w:szCs w:val="20"/>
              </w:rPr>
              <w:t>Other comprehensive income</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single" w:sz="6" w:space="0" w:color="000000"/>
            </w:tcBorders>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tcBorders>
              <w:bottom w:val="single" w:sz="6" w:space="0" w:color="000000"/>
            </w:tcBorders>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FFFFFF"/>
            <w:noWrap/>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single" w:sz="6" w:space="0" w:color="000000"/>
            </w:tcBorders>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tcBorders>
              <w:bottom w:val="single" w:sz="6" w:space="0" w:color="000000"/>
            </w:tcBorders>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278</w:t>
            </w:r>
          </w:p>
        </w:tc>
        <w:tc>
          <w:tcPr>
            <w:tcW w:w="50" w:type="pct"/>
            <w:shd w:val="clear" w:color="auto" w:fill="FFFFFF"/>
            <w:noWrap/>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233509071"/>
          <w:tblCellSpacing w:w="0" w:type="dxa"/>
        </w:trPr>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tcBorders>
              <w:bottom w:val="single" w:sz="6" w:space="0" w:color="000000"/>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tcBorders>
              <w:bottom w:val="single" w:sz="6" w:space="0" w:color="000000"/>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tcBorders>
              <w:bottom w:val="single" w:sz="6" w:space="0" w:color="000000"/>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tcBorders>
              <w:bottom w:val="single" w:sz="6" w:space="0" w:color="000000"/>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233509071"/>
          <w:tblCellSpacing w:w="0" w:type="dxa"/>
        </w:trPr>
        <w:tc>
          <w:tcPr>
            <w:tcW w:w="0" w:type="auto"/>
            <w:shd w:val="clear" w:color="auto" w:fill="FFFFFF"/>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Comprehensive income</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single" w:sz="6" w:space="0" w:color="000000"/>
            </w:tcBorders>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tcBorders>
              <w:bottom w:val="single" w:sz="6" w:space="0" w:color="000000"/>
            </w:tcBorders>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116,678</w:t>
            </w:r>
          </w:p>
        </w:tc>
        <w:tc>
          <w:tcPr>
            <w:tcW w:w="50" w:type="pct"/>
            <w:shd w:val="clear" w:color="auto" w:fill="FFFFFF"/>
            <w:noWrap/>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single" w:sz="6" w:space="0" w:color="000000"/>
            </w:tcBorders>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tcBorders>
              <w:bottom w:val="single" w:sz="6" w:space="0" w:color="000000"/>
            </w:tcBorders>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144,260</w:t>
            </w:r>
          </w:p>
        </w:tc>
        <w:tc>
          <w:tcPr>
            <w:tcW w:w="50" w:type="pct"/>
            <w:shd w:val="clear" w:color="auto" w:fill="FFFFFF"/>
            <w:noWrap/>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233509071"/>
          <w:tblCellSpacing w:w="0" w:type="dxa"/>
        </w:trPr>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tcBorders>
              <w:bottom w:val="single" w:sz="6" w:space="0" w:color="000000"/>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tcBorders>
              <w:bottom w:val="single" w:sz="6" w:space="0" w:color="000000"/>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tcBorders>
              <w:bottom w:val="single" w:sz="6" w:space="0" w:color="000000"/>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tcBorders>
              <w:bottom w:val="single" w:sz="6" w:space="0" w:color="000000"/>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233509071"/>
          <w:tblCellSpacing w:w="0" w:type="dxa"/>
        </w:trPr>
        <w:tc>
          <w:tcPr>
            <w:tcW w:w="0" w:type="auto"/>
            <w:shd w:val="clear" w:color="auto" w:fill="FFFFFF"/>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Comprehensive (income)/loss attributable to noncontrolling interests</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single" w:sz="6" w:space="0" w:color="000000"/>
            </w:tcBorders>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tcBorders>
              <w:bottom w:val="single" w:sz="6" w:space="0" w:color="000000"/>
            </w:tcBorders>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(509</w:t>
            </w:r>
          </w:p>
        </w:tc>
        <w:tc>
          <w:tcPr>
            <w:tcW w:w="50" w:type="pct"/>
            <w:shd w:val="clear" w:color="auto" w:fill="FFFFFF"/>
            <w:noWrap/>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single" w:sz="6" w:space="0" w:color="000000"/>
            </w:tcBorders>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tcBorders>
              <w:bottom w:val="single" w:sz="6" w:space="0" w:color="000000"/>
            </w:tcBorders>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108</w:t>
            </w:r>
          </w:p>
        </w:tc>
        <w:tc>
          <w:tcPr>
            <w:tcW w:w="50" w:type="pct"/>
            <w:shd w:val="clear" w:color="auto" w:fill="FFFFFF"/>
            <w:noWrap/>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233509071"/>
          <w:tblCellSpacing w:w="0" w:type="dxa"/>
        </w:trPr>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233509071"/>
          <w:tblCellSpacing w:w="0" w:type="dxa"/>
        </w:trPr>
        <w:tc>
          <w:tcPr>
            <w:tcW w:w="0" w:type="auto"/>
            <w:shd w:val="clear" w:color="auto" w:fill="FFFFFF"/>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Comprehensive income attributable to the Company</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double" w:sz="6" w:space="0" w:color="000000"/>
            </w:tcBorders>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600" w:type="pct"/>
            <w:tcBorders>
              <w:bottom w:val="double" w:sz="6" w:space="0" w:color="000000"/>
            </w:tcBorders>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116,169</w:t>
            </w:r>
          </w:p>
        </w:tc>
        <w:tc>
          <w:tcPr>
            <w:tcW w:w="50" w:type="pct"/>
            <w:shd w:val="clear" w:color="auto" w:fill="FFFFFF"/>
            <w:noWrap/>
            <w:tcMar>
              <w:top w:w="0" w:type="dxa"/>
              <w:left w:w="0" w:type="dxa"/>
              <w:bottom w:w="4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double" w:sz="6" w:space="0" w:color="000000"/>
            </w:tcBorders>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600" w:type="pct"/>
            <w:tcBorders>
              <w:bottom w:val="double" w:sz="6" w:space="0" w:color="000000"/>
            </w:tcBorders>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144,368</w:t>
            </w:r>
          </w:p>
        </w:tc>
        <w:tc>
          <w:tcPr>
            <w:tcW w:w="50" w:type="pct"/>
            <w:shd w:val="clear" w:color="auto" w:fill="FFFFFF"/>
            <w:noWrap/>
            <w:tcMar>
              <w:top w:w="0" w:type="dxa"/>
              <w:left w:w="0" w:type="dxa"/>
              <w:bottom w:w="4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bl>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The accompanying notes are an integral part of these condensed consolidated financial statements.</w:t>
      </w:r>
    </w:p>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w:t>
      </w:r>
    </w:p>
    <w:p w:rsidR="00000000" w:rsidRDefault="008E203B">
      <w:pPr>
        <w:jc w:val="center"/>
        <w:divId w:val="1588339851"/>
        <w:rPr>
          <w:rFonts w:ascii="Times New Roman" w:hAnsi="Times New Roman" w:cs="Times New Roman"/>
          <w:sz w:val="20"/>
          <w:szCs w:val="20"/>
        </w:rPr>
      </w:pPr>
      <w:r>
        <w:rPr>
          <w:rFonts w:ascii="Times New Roman" w:hAnsi="Times New Roman" w:cs="Times New Roman"/>
          <w:sz w:val="20"/>
          <w:szCs w:val="20"/>
        </w:rPr>
        <w:t>5</w:t>
      </w:r>
    </w:p>
    <w:p w:rsidR="00000000" w:rsidRDefault="008E203B">
      <w:pPr>
        <w:divId w:val="1588339851"/>
        <w:rPr>
          <w:rFonts w:ascii="Times New Roman" w:hAnsi="Times New Roman" w:cs="Times New Roman"/>
          <w:sz w:val="20"/>
          <w:szCs w:val="20"/>
        </w:rPr>
      </w:pPr>
      <w:r>
        <w:rPr>
          <w:rFonts w:ascii="Times New Roman" w:hAnsi="Times New Roman" w:cs="Times New Roman"/>
          <w:sz w:val="20"/>
          <w:szCs w:val="20"/>
        </w:rPr>
        <w:pict>
          <v:rect id="_x0000_i1033" style="width:415.3pt;height:1.5pt" o:hralign="center" o:hrstd="t" o:hrnoshade="t" o:hr="t" fillcolor="black" stroked="f"/>
        </w:pict>
      </w:r>
    </w:p>
    <w:p w:rsidR="00000000" w:rsidRDefault="008E203B">
      <w:pPr>
        <w:divId w:val="1588339851"/>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p w:rsidR="00000000" w:rsidRDefault="008E203B">
      <w:pPr>
        <w:divId w:val="1828326571"/>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jc w:val="center"/>
        <w:rPr>
          <w:rFonts w:ascii="Times New Roman" w:hAnsi="Times New Roman" w:cs="Times New Roman"/>
          <w:sz w:val="20"/>
          <w:szCs w:val="20"/>
        </w:rPr>
      </w:pPr>
      <w:bookmarkStart w:id="4" w:name="equity"/>
      <w:bookmarkEnd w:id="4"/>
      <w:r>
        <w:rPr>
          <w:rFonts w:ascii="Times New Roman" w:hAnsi="Times New Roman" w:cs="Times New Roman"/>
          <w:sz w:val="20"/>
          <w:szCs w:val="20"/>
        </w:rPr>
        <w:t>KIMCO REALTY CORPORATION AND SUBSIDIARIES</w:t>
      </w:r>
    </w:p>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CONDENSED CONSOLIDATED</w:t>
      </w:r>
      <w:r>
        <w:rPr>
          <w:rFonts w:ascii="Times New Roman" w:hAnsi="Times New Roman" w:cs="Times New Roman"/>
          <w:sz w:val="20"/>
          <w:szCs w:val="20"/>
        </w:rPr>
        <w:t xml:space="preserve"> STATEMENTS OF CHANGES IN EQUITY</w:t>
      </w:r>
    </w:p>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For the Three Months Ended March 31, 2019 and 2018</w:t>
      </w:r>
    </w:p>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(Unaudited)</w:t>
      </w:r>
    </w:p>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(in thousands)</w:t>
      </w:r>
    </w:p>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80"/>
        <w:gridCol w:w="100"/>
        <w:gridCol w:w="268"/>
        <w:gridCol w:w="1215"/>
        <w:gridCol w:w="114"/>
        <w:gridCol w:w="100"/>
        <w:gridCol w:w="208"/>
        <w:gridCol w:w="919"/>
        <w:gridCol w:w="114"/>
        <w:gridCol w:w="100"/>
        <w:gridCol w:w="103"/>
        <w:gridCol w:w="393"/>
        <w:gridCol w:w="100"/>
        <w:gridCol w:w="100"/>
        <w:gridCol w:w="141"/>
        <w:gridCol w:w="497"/>
        <w:gridCol w:w="100"/>
        <w:gridCol w:w="100"/>
        <w:gridCol w:w="100"/>
        <w:gridCol w:w="580"/>
        <w:gridCol w:w="114"/>
        <w:gridCol w:w="100"/>
        <w:gridCol w:w="141"/>
        <w:gridCol w:w="497"/>
        <w:gridCol w:w="114"/>
        <w:gridCol w:w="100"/>
        <w:gridCol w:w="140"/>
        <w:gridCol w:w="700"/>
        <w:gridCol w:w="114"/>
        <w:gridCol w:w="100"/>
        <w:gridCol w:w="186"/>
        <w:gridCol w:w="808"/>
        <w:gridCol w:w="114"/>
        <w:gridCol w:w="100"/>
        <w:gridCol w:w="202"/>
        <w:gridCol w:w="890"/>
        <w:gridCol w:w="114"/>
        <w:gridCol w:w="100"/>
        <w:gridCol w:w="140"/>
        <w:gridCol w:w="700"/>
        <w:gridCol w:w="129"/>
      </w:tblGrid>
      <w:tr w:rsidR="00000000">
        <w:trPr>
          <w:divId w:val="1593584240"/>
          <w:tblCellSpacing w:w="15" w:type="dxa"/>
        </w:trPr>
        <w:tc>
          <w:tcPr>
            <w:tcW w:w="1000" w:type="pct"/>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vAlign w:val="bottom"/>
            <w:hideMark/>
          </w:tcPr>
          <w:p w:rsidR="00000000" w:rsidRDefault="008E203B">
            <w:pPr>
              <w:rPr>
                <w:rFonts w:ascii="Times New Roman" w:hAnsi="Times New Roman" w:cs="Times New Roman"/>
                <w:sz w:val="16"/>
                <w:szCs w:val="16"/>
              </w:rPr>
            </w:pPr>
            <w:r>
              <w:rPr>
                <w:rFonts w:ascii="Times New Roman" w:hAnsi="Times New Roman" w:cs="Times New Roman"/>
                <w:b/>
                <w:bCs/>
                <w:sz w:val="16"/>
                <w:szCs w:val="16"/>
              </w:rPr>
              <w:t> </w:t>
            </w:r>
          </w:p>
        </w:tc>
        <w:tc>
          <w:tcPr>
            <w:tcW w:w="250" w:type="pct"/>
            <w:vAlign w:val="bottom"/>
            <w:hideMark/>
          </w:tcPr>
          <w:p w:rsidR="00000000" w:rsidRDefault="008E203B">
            <w:pPr>
              <w:jc w:val="center"/>
              <w:rPr>
                <w:rFonts w:ascii="Times New Roman" w:hAnsi="Times New Roman" w:cs="Times New Roman"/>
                <w:sz w:val="16"/>
                <w:szCs w:val="16"/>
              </w:rPr>
            </w:pPr>
            <w:r>
              <w:rPr>
                <w:rFonts w:ascii="Times New Roman" w:hAnsi="Times New Roman" w:cs="Times New Roman"/>
                <w:b/>
                <w:bCs/>
                <w:sz w:val="16"/>
                <w:szCs w:val="16"/>
              </w:rPr>
              <w:t> </w:t>
            </w:r>
          </w:p>
        </w:tc>
        <w:tc>
          <w:tcPr>
            <w:tcW w:w="50" w:type="pct"/>
            <w:vAlign w:val="bottom"/>
            <w:hideMark/>
          </w:tcPr>
          <w:p w:rsidR="00000000" w:rsidRDefault="008E203B">
            <w:pPr>
              <w:rPr>
                <w:rFonts w:ascii="Times New Roman" w:hAnsi="Times New Roman" w:cs="Times New Roman"/>
                <w:sz w:val="16"/>
                <w:szCs w:val="16"/>
              </w:rPr>
            </w:pPr>
            <w:r>
              <w:rPr>
                <w:rFonts w:ascii="Times New Roman" w:hAnsi="Times New Roman" w:cs="Times New Roman"/>
                <w:b/>
                <w:bCs/>
                <w:sz w:val="16"/>
                <w:szCs w:val="16"/>
              </w:rPr>
              <w:t> </w:t>
            </w:r>
          </w:p>
        </w:tc>
        <w:tc>
          <w:tcPr>
            <w:tcW w:w="50" w:type="pct"/>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gridSpan w:val="2"/>
            <w:vAlign w:val="bottom"/>
            <w:hideMark/>
          </w:tcPr>
          <w:p w:rsidR="00000000" w:rsidRDefault="008E203B">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Accumulated</w:t>
            </w:r>
          </w:p>
        </w:tc>
        <w:tc>
          <w:tcPr>
            <w:tcW w:w="50" w:type="pct"/>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vAlign w:val="bottom"/>
            <w:hideMark/>
          </w:tcPr>
          <w:p w:rsidR="00000000" w:rsidRDefault="008E203B">
            <w:pPr>
              <w:rPr>
                <w:rFonts w:ascii="Times New Roman" w:hAnsi="Times New Roman" w:cs="Times New Roman"/>
                <w:sz w:val="16"/>
                <w:szCs w:val="16"/>
              </w:rPr>
            </w:pPr>
            <w:r>
              <w:rPr>
                <w:rFonts w:ascii="Times New Roman" w:hAnsi="Times New Roman" w:cs="Times New Roman"/>
                <w:b/>
                <w:bCs/>
                <w:sz w:val="16"/>
                <w:szCs w:val="16"/>
              </w:rPr>
              <w:t> </w:t>
            </w:r>
          </w:p>
        </w:tc>
        <w:tc>
          <w:tcPr>
            <w:tcW w:w="250" w:type="pct"/>
            <w:vAlign w:val="bottom"/>
            <w:hideMark/>
          </w:tcPr>
          <w:p w:rsidR="00000000" w:rsidRDefault="008E203B">
            <w:pPr>
              <w:jc w:val="center"/>
              <w:rPr>
                <w:rFonts w:ascii="Times New Roman" w:hAnsi="Times New Roman" w:cs="Times New Roman"/>
                <w:sz w:val="16"/>
                <w:szCs w:val="16"/>
              </w:rPr>
            </w:pPr>
            <w:r>
              <w:rPr>
                <w:rFonts w:ascii="Times New Roman" w:hAnsi="Times New Roman" w:cs="Times New Roman"/>
                <w:b/>
                <w:bCs/>
                <w:sz w:val="16"/>
                <w:szCs w:val="16"/>
              </w:rPr>
              <w:t> </w:t>
            </w:r>
          </w:p>
        </w:tc>
        <w:tc>
          <w:tcPr>
            <w:tcW w:w="50" w:type="pct"/>
            <w:vAlign w:val="bottom"/>
            <w:hideMark/>
          </w:tcPr>
          <w:p w:rsidR="00000000" w:rsidRDefault="008E203B">
            <w:pPr>
              <w:rPr>
                <w:rFonts w:ascii="Times New Roman" w:hAnsi="Times New Roman" w:cs="Times New Roman"/>
                <w:sz w:val="16"/>
                <w:szCs w:val="16"/>
              </w:rPr>
            </w:pPr>
            <w:r>
              <w:rPr>
                <w:rFonts w:ascii="Times New Roman" w:hAnsi="Times New Roman" w:cs="Times New Roman"/>
                <w:b/>
                <w:bCs/>
                <w:sz w:val="16"/>
                <w:szCs w:val="16"/>
              </w:rPr>
              <w:t> </w:t>
            </w:r>
          </w:p>
        </w:tc>
        <w:tc>
          <w:tcPr>
            <w:tcW w:w="50" w:type="pct"/>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vAlign w:val="bottom"/>
            <w:hideMark/>
          </w:tcPr>
          <w:p w:rsidR="00000000" w:rsidRDefault="008E203B">
            <w:pPr>
              <w:rPr>
                <w:rFonts w:ascii="Times New Roman" w:hAnsi="Times New Roman" w:cs="Times New Roman"/>
                <w:sz w:val="16"/>
                <w:szCs w:val="16"/>
              </w:rPr>
            </w:pPr>
            <w:r>
              <w:rPr>
                <w:rFonts w:ascii="Times New Roman" w:hAnsi="Times New Roman" w:cs="Times New Roman"/>
                <w:b/>
                <w:bCs/>
                <w:sz w:val="16"/>
                <w:szCs w:val="16"/>
              </w:rPr>
              <w:t> </w:t>
            </w:r>
          </w:p>
        </w:tc>
        <w:tc>
          <w:tcPr>
            <w:tcW w:w="250" w:type="pct"/>
            <w:vAlign w:val="bottom"/>
            <w:hideMark/>
          </w:tcPr>
          <w:p w:rsidR="00000000" w:rsidRDefault="008E203B">
            <w:pPr>
              <w:jc w:val="center"/>
              <w:rPr>
                <w:rFonts w:ascii="Times New Roman" w:hAnsi="Times New Roman" w:cs="Times New Roman"/>
                <w:sz w:val="16"/>
                <w:szCs w:val="16"/>
              </w:rPr>
            </w:pPr>
            <w:r>
              <w:rPr>
                <w:rFonts w:ascii="Times New Roman" w:hAnsi="Times New Roman" w:cs="Times New Roman"/>
                <w:b/>
                <w:bCs/>
                <w:sz w:val="16"/>
                <w:szCs w:val="16"/>
              </w:rPr>
              <w:t> </w:t>
            </w:r>
          </w:p>
        </w:tc>
        <w:tc>
          <w:tcPr>
            <w:tcW w:w="50" w:type="pct"/>
            <w:vAlign w:val="bottom"/>
            <w:hideMark/>
          </w:tcPr>
          <w:p w:rsidR="00000000" w:rsidRDefault="008E203B">
            <w:pPr>
              <w:rPr>
                <w:rFonts w:ascii="Times New Roman" w:hAnsi="Times New Roman" w:cs="Times New Roman"/>
                <w:sz w:val="16"/>
                <w:szCs w:val="16"/>
              </w:rPr>
            </w:pPr>
            <w:r>
              <w:rPr>
                <w:rFonts w:ascii="Times New Roman" w:hAnsi="Times New Roman" w:cs="Times New Roman"/>
                <w:b/>
                <w:bCs/>
                <w:sz w:val="16"/>
                <w:szCs w:val="16"/>
              </w:rPr>
              <w:t> </w:t>
            </w:r>
          </w:p>
        </w:tc>
        <w:tc>
          <w:tcPr>
            <w:tcW w:w="50" w:type="pct"/>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vAlign w:val="bottom"/>
            <w:hideMark/>
          </w:tcPr>
          <w:p w:rsidR="00000000" w:rsidRDefault="008E203B">
            <w:pPr>
              <w:rPr>
                <w:rFonts w:ascii="Times New Roman" w:hAnsi="Times New Roman" w:cs="Times New Roman"/>
                <w:sz w:val="16"/>
                <w:szCs w:val="16"/>
              </w:rPr>
            </w:pPr>
            <w:r>
              <w:rPr>
                <w:rFonts w:ascii="Times New Roman" w:hAnsi="Times New Roman" w:cs="Times New Roman"/>
                <w:b/>
                <w:bCs/>
                <w:sz w:val="16"/>
                <w:szCs w:val="16"/>
              </w:rPr>
              <w:t> </w:t>
            </w:r>
          </w:p>
        </w:tc>
        <w:tc>
          <w:tcPr>
            <w:tcW w:w="250" w:type="pct"/>
            <w:vAlign w:val="bottom"/>
            <w:hideMark/>
          </w:tcPr>
          <w:p w:rsidR="00000000" w:rsidRDefault="008E203B">
            <w:pPr>
              <w:jc w:val="center"/>
              <w:rPr>
                <w:rFonts w:ascii="Times New Roman" w:hAnsi="Times New Roman" w:cs="Times New Roman"/>
                <w:sz w:val="16"/>
                <w:szCs w:val="16"/>
              </w:rPr>
            </w:pPr>
            <w:r>
              <w:rPr>
                <w:rFonts w:ascii="Times New Roman" w:hAnsi="Times New Roman" w:cs="Times New Roman"/>
                <w:b/>
                <w:bCs/>
                <w:sz w:val="16"/>
                <w:szCs w:val="16"/>
              </w:rPr>
              <w:t> </w:t>
            </w:r>
          </w:p>
        </w:tc>
        <w:tc>
          <w:tcPr>
            <w:tcW w:w="50" w:type="pct"/>
            <w:vAlign w:val="bottom"/>
            <w:hideMark/>
          </w:tcPr>
          <w:p w:rsidR="00000000" w:rsidRDefault="008E203B">
            <w:pPr>
              <w:rPr>
                <w:rFonts w:ascii="Times New Roman" w:hAnsi="Times New Roman" w:cs="Times New Roman"/>
                <w:sz w:val="16"/>
                <w:szCs w:val="16"/>
              </w:rPr>
            </w:pPr>
            <w:r>
              <w:rPr>
                <w:rFonts w:ascii="Times New Roman" w:hAnsi="Times New Roman" w:cs="Times New Roman"/>
                <w:b/>
                <w:bCs/>
                <w:sz w:val="16"/>
                <w:szCs w:val="16"/>
              </w:rPr>
              <w:t> </w:t>
            </w:r>
          </w:p>
        </w:tc>
        <w:tc>
          <w:tcPr>
            <w:tcW w:w="50" w:type="pct"/>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vAlign w:val="bottom"/>
            <w:hideMark/>
          </w:tcPr>
          <w:p w:rsidR="00000000" w:rsidRDefault="008E203B">
            <w:pPr>
              <w:rPr>
                <w:rFonts w:ascii="Times New Roman" w:hAnsi="Times New Roman" w:cs="Times New Roman"/>
                <w:sz w:val="16"/>
                <w:szCs w:val="16"/>
              </w:rPr>
            </w:pPr>
            <w:r>
              <w:rPr>
                <w:rFonts w:ascii="Times New Roman" w:hAnsi="Times New Roman" w:cs="Times New Roman"/>
                <w:b/>
                <w:bCs/>
                <w:sz w:val="16"/>
                <w:szCs w:val="16"/>
              </w:rPr>
              <w:t> </w:t>
            </w:r>
          </w:p>
        </w:tc>
        <w:tc>
          <w:tcPr>
            <w:tcW w:w="250" w:type="pct"/>
            <w:vAlign w:val="bottom"/>
            <w:hideMark/>
          </w:tcPr>
          <w:p w:rsidR="00000000" w:rsidRDefault="008E203B">
            <w:pPr>
              <w:jc w:val="center"/>
              <w:rPr>
                <w:rFonts w:ascii="Times New Roman" w:hAnsi="Times New Roman" w:cs="Times New Roman"/>
                <w:sz w:val="16"/>
                <w:szCs w:val="16"/>
              </w:rPr>
            </w:pPr>
            <w:r>
              <w:rPr>
                <w:rFonts w:ascii="Times New Roman" w:hAnsi="Times New Roman" w:cs="Times New Roman"/>
                <w:b/>
                <w:bCs/>
                <w:sz w:val="16"/>
                <w:szCs w:val="16"/>
              </w:rPr>
              <w:t> </w:t>
            </w:r>
          </w:p>
        </w:tc>
        <w:tc>
          <w:tcPr>
            <w:tcW w:w="50" w:type="pct"/>
            <w:vAlign w:val="bottom"/>
            <w:hideMark/>
          </w:tcPr>
          <w:p w:rsidR="00000000" w:rsidRDefault="008E203B">
            <w:pPr>
              <w:rPr>
                <w:rFonts w:ascii="Times New Roman" w:hAnsi="Times New Roman" w:cs="Times New Roman"/>
                <w:sz w:val="16"/>
                <w:szCs w:val="16"/>
              </w:rPr>
            </w:pPr>
            <w:r>
              <w:rPr>
                <w:rFonts w:ascii="Times New Roman" w:hAnsi="Times New Roman" w:cs="Times New Roman"/>
                <w:b/>
                <w:bCs/>
                <w:sz w:val="16"/>
                <w:szCs w:val="16"/>
              </w:rPr>
              <w:t> </w:t>
            </w:r>
          </w:p>
        </w:tc>
        <w:tc>
          <w:tcPr>
            <w:tcW w:w="50" w:type="pct"/>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vAlign w:val="bottom"/>
            <w:hideMark/>
          </w:tcPr>
          <w:p w:rsidR="00000000" w:rsidRDefault="008E203B">
            <w:pPr>
              <w:rPr>
                <w:rFonts w:ascii="Times New Roman" w:hAnsi="Times New Roman" w:cs="Times New Roman"/>
                <w:sz w:val="16"/>
                <w:szCs w:val="16"/>
              </w:rPr>
            </w:pPr>
            <w:r>
              <w:rPr>
                <w:rFonts w:ascii="Times New Roman" w:hAnsi="Times New Roman" w:cs="Times New Roman"/>
                <w:b/>
                <w:bCs/>
                <w:sz w:val="16"/>
                <w:szCs w:val="16"/>
              </w:rPr>
              <w:t> </w:t>
            </w:r>
          </w:p>
        </w:tc>
        <w:tc>
          <w:tcPr>
            <w:tcW w:w="250" w:type="pct"/>
            <w:vAlign w:val="bottom"/>
            <w:hideMark/>
          </w:tcPr>
          <w:p w:rsidR="00000000" w:rsidRDefault="008E203B">
            <w:pPr>
              <w:jc w:val="center"/>
              <w:rPr>
                <w:rFonts w:ascii="Times New Roman" w:hAnsi="Times New Roman" w:cs="Times New Roman"/>
                <w:sz w:val="16"/>
                <w:szCs w:val="16"/>
              </w:rPr>
            </w:pPr>
            <w:r>
              <w:rPr>
                <w:rFonts w:ascii="Times New Roman" w:hAnsi="Times New Roman" w:cs="Times New Roman"/>
                <w:b/>
                <w:bCs/>
                <w:sz w:val="16"/>
                <w:szCs w:val="16"/>
              </w:rPr>
              <w:t> </w:t>
            </w:r>
          </w:p>
        </w:tc>
        <w:tc>
          <w:tcPr>
            <w:tcW w:w="50" w:type="pct"/>
            <w:vAlign w:val="bottom"/>
            <w:hideMark/>
          </w:tcPr>
          <w:p w:rsidR="00000000" w:rsidRDefault="008E203B">
            <w:pPr>
              <w:rPr>
                <w:rFonts w:ascii="Times New Roman" w:hAnsi="Times New Roman" w:cs="Times New Roman"/>
                <w:sz w:val="16"/>
                <w:szCs w:val="16"/>
              </w:rPr>
            </w:pPr>
            <w:r>
              <w:rPr>
                <w:rFonts w:ascii="Times New Roman" w:hAnsi="Times New Roman" w:cs="Times New Roman"/>
                <w:b/>
                <w:bCs/>
                <w:sz w:val="16"/>
                <w:szCs w:val="16"/>
              </w:rPr>
              <w:t> </w:t>
            </w:r>
          </w:p>
        </w:tc>
        <w:tc>
          <w:tcPr>
            <w:tcW w:w="50" w:type="pct"/>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vAlign w:val="bottom"/>
            <w:hideMark/>
          </w:tcPr>
          <w:p w:rsidR="00000000" w:rsidRDefault="008E203B">
            <w:pPr>
              <w:rPr>
                <w:rFonts w:ascii="Times New Roman" w:hAnsi="Times New Roman" w:cs="Times New Roman"/>
                <w:sz w:val="16"/>
                <w:szCs w:val="16"/>
              </w:rPr>
            </w:pPr>
            <w:r>
              <w:rPr>
                <w:rFonts w:ascii="Times New Roman" w:hAnsi="Times New Roman" w:cs="Times New Roman"/>
                <w:b/>
                <w:bCs/>
                <w:sz w:val="16"/>
                <w:szCs w:val="16"/>
              </w:rPr>
              <w:t> </w:t>
            </w:r>
          </w:p>
        </w:tc>
        <w:tc>
          <w:tcPr>
            <w:tcW w:w="250" w:type="pct"/>
            <w:vAlign w:val="bottom"/>
            <w:hideMark/>
          </w:tcPr>
          <w:p w:rsidR="00000000" w:rsidRDefault="008E203B">
            <w:pPr>
              <w:jc w:val="center"/>
              <w:rPr>
                <w:rFonts w:ascii="Times New Roman" w:hAnsi="Times New Roman" w:cs="Times New Roman"/>
                <w:sz w:val="16"/>
                <w:szCs w:val="16"/>
              </w:rPr>
            </w:pPr>
            <w:r>
              <w:rPr>
                <w:rFonts w:ascii="Times New Roman" w:hAnsi="Times New Roman" w:cs="Times New Roman"/>
                <w:b/>
                <w:bCs/>
                <w:sz w:val="16"/>
                <w:szCs w:val="16"/>
              </w:rPr>
              <w:t> </w:t>
            </w:r>
          </w:p>
        </w:tc>
        <w:tc>
          <w:tcPr>
            <w:tcW w:w="50" w:type="pct"/>
            <w:vAlign w:val="bottom"/>
            <w:hideMark/>
          </w:tcPr>
          <w:p w:rsidR="00000000" w:rsidRDefault="008E203B">
            <w:pPr>
              <w:rPr>
                <w:rFonts w:ascii="Times New Roman" w:hAnsi="Times New Roman" w:cs="Times New Roman"/>
                <w:sz w:val="16"/>
                <w:szCs w:val="16"/>
              </w:rPr>
            </w:pPr>
            <w:r>
              <w:rPr>
                <w:rFonts w:ascii="Times New Roman" w:hAnsi="Times New Roman" w:cs="Times New Roman"/>
                <w:b/>
                <w:bCs/>
                <w:sz w:val="16"/>
                <w:szCs w:val="16"/>
              </w:rPr>
              <w:t> </w:t>
            </w:r>
          </w:p>
        </w:tc>
        <w:tc>
          <w:tcPr>
            <w:tcW w:w="50" w:type="pct"/>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vAlign w:val="bottom"/>
            <w:hideMark/>
          </w:tcPr>
          <w:p w:rsidR="00000000" w:rsidRDefault="008E203B">
            <w:pPr>
              <w:rPr>
                <w:rFonts w:ascii="Times New Roman" w:hAnsi="Times New Roman" w:cs="Times New Roman"/>
                <w:sz w:val="16"/>
                <w:szCs w:val="16"/>
              </w:rPr>
            </w:pPr>
            <w:r>
              <w:rPr>
                <w:rFonts w:ascii="Times New Roman" w:hAnsi="Times New Roman" w:cs="Times New Roman"/>
                <w:b/>
                <w:bCs/>
                <w:sz w:val="16"/>
                <w:szCs w:val="16"/>
              </w:rPr>
              <w:t> </w:t>
            </w:r>
          </w:p>
        </w:tc>
        <w:tc>
          <w:tcPr>
            <w:tcW w:w="250" w:type="pct"/>
            <w:vAlign w:val="bottom"/>
            <w:hideMark/>
          </w:tcPr>
          <w:p w:rsidR="00000000" w:rsidRDefault="008E203B">
            <w:pPr>
              <w:jc w:val="center"/>
              <w:rPr>
                <w:rFonts w:ascii="Times New Roman" w:hAnsi="Times New Roman" w:cs="Times New Roman"/>
                <w:sz w:val="16"/>
                <w:szCs w:val="16"/>
              </w:rPr>
            </w:pPr>
            <w:r>
              <w:rPr>
                <w:rFonts w:ascii="Times New Roman" w:hAnsi="Times New Roman" w:cs="Times New Roman"/>
                <w:b/>
                <w:bCs/>
                <w:sz w:val="16"/>
                <w:szCs w:val="16"/>
              </w:rPr>
              <w:t> </w:t>
            </w:r>
          </w:p>
        </w:tc>
        <w:tc>
          <w:tcPr>
            <w:tcW w:w="50" w:type="pct"/>
            <w:vAlign w:val="bottom"/>
            <w:hideMark/>
          </w:tcPr>
          <w:p w:rsidR="00000000" w:rsidRDefault="008E203B">
            <w:pPr>
              <w:rPr>
                <w:rFonts w:ascii="Times New Roman" w:hAnsi="Times New Roman" w:cs="Times New Roman"/>
                <w:sz w:val="16"/>
                <w:szCs w:val="16"/>
              </w:rPr>
            </w:pPr>
            <w:r>
              <w:rPr>
                <w:rFonts w:ascii="Times New Roman" w:hAnsi="Times New Roman" w:cs="Times New Roman"/>
                <w:b/>
                <w:bCs/>
                <w:sz w:val="16"/>
                <w:szCs w:val="16"/>
              </w:rPr>
              <w:t> </w:t>
            </w:r>
          </w:p>
        </w:tc>
        <w:tc>
          <w:tcPr>
            <w:tcW w:w="50" w:type="pct"/>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vAlign w:val="bottom"/>
            <w:hideMark/>
          </w:tcPr>
          <w:p w:rsidR="00000000" w:rsidRDefault="008E203B">
            <w:pPr>
              <w:rPr>
                <w:rFonts w:ascii="Times New Roman" w:hAnsi="Times New Roman" w:cs="Times New Roman"/>
                <w:sz w:val="16"/>
                <w:szCs w:val="16"/>
              </w:rPr>
            </w:pPr>
            <w:r>
              <w:rPr>
                <w:rFonts w:ascii="Times New Roman" w:hAnsi="Times New Roman" w:cs="Times New Roman"/>
                <w:b/>
                <w:bCs/>
                <w:sz w:val="16"/>
                <w:szCs w:val="16"/>
              </w:rPr>
              <w:t> </w:t>
            </w:r>
          </w:p>
        </w:tc>
        <w:tc>
          <w:tcPr>
            <w:tcW w:w="250" w:type="pct"/>
            <w:vAlign w:val="bottom"/>
            <w:hideMark/>
          </w:tcPr>
          <w:p w:rsidR="00000000" w:rsidRDefault="008E203B">
            <w:pPr>
              <w:jc w:val="center"/>
              <w:rPr>
                <w:rFonts w:ascii="Times New Roman" w:hAnsi="Times New Roman" w:cs="Times New Roman"/>
                <w:sz w:val="16"/>
                <w:szCs w:val="16"/>
              </w:rPr>
            </w:pPr>
            <w:r>
              <w:rPr>
                <w:rFonts w:ascii="Times New Roman" w:hAnsi="Times New Roman" w:cs="Times New Roman"/>
                <w:b/>
                <w:bCs/>
                <w:sz w:val="16"/>
                <w:szCs w:val="16"/>
              </w:rPr>
              <w:t> </w:t>
            </w:r>
          </w:p>
        </w:tc>
        <w:tc>
          <w:tcPr>
            <w:tcW w:w="50" w:type="pct"/>
            <w:vAlign w:val="bottom"/>
            <w:hideMark/>
          </w:tcPr>
          <w:p w:rsidR="00000000" w:rsidRDefault="008E203B">
            <w:pPr>
              <w:rPr>
                <w:rFonts w:ascii="Times New Roman" w:hAnsi="Times New Roman" w:cs="Times New Roman"/>
                <w:sz w:val="16"/>
                <w:szCs w:val="16"/>
              </w:rPr>
            </w:pPr>
            <w:r>
              <w:rPr>
                <w:rFonts w:ascii="Times New Roman" w:hAnsi="Times New Roman" w:cs="Times New Roman"/>
                <w:b/>
                <w:bCs/>
                <w:sz w:val="16"/>
                <w:szCs w:val="16"/>
              </w:rPr>
              <w:t> </w:t>
            </w:r>
          </w:p>
        </w:tc>
      </w:tr>
      <w:tr w:rsidR="00000000">
        <w:trPr>
          <w:divId w:val="1593584240"/>
          <w:tblCellSpacing w:w="15" w:type="dxa"/>
        </w:trPr>
        <w:tc>
          <w:tcPr>
            <w:tcW w:w="1000" w:type="pct"/>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gridSpan w:val="2"/>
            <w:vAlign w:val="bottom"/>
            <w:hideMark/>
          </w:tcPr>
          <w:p w:rsidR="00000000" w:rsidRDefault="008E203B">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 xml:space="preserve">Cumulative </w:t>
            </w:r>
          </w:p>
        </w:tc>
        <w:tc>
          <w:tcPr>
            <w:tcW w:w="50" w:type="pct"/>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gridSpan w:val="2"/>
            <w:vAlign w:val="bottom"/>
            <w:hideMark/>
          </w:tcPr>
          <w:p w:rsidR="00000000" w:rsidRDefault="008E203B">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Other</w:t>
            </w:r>
          </w:p>
        </w:tc>
        <w:tc>
          <w:tcPr>
            <w:tcW w:w="50" w:type="pct"/>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vAlign w:val="bottom"/>
            <w:hideMark/>
          </w:tcPr>
          <w:p w:rsidR="00000000" w:rsidRDefault="008E203B">
            <w:pPr>
              <w:rPr>
                <w:rFonts w:ascii="Times New Roman" w:hAnsi="Times New Roman" w:cs="Times New Roman"/>
                <w:sz w:val="16"/>
                <w:szCs w:val="16"/>
              </w:rPr>
            </w:pPr>
            <w:r>
              <w:rPr>
                <w:rFonts w:ascii="Times New Roman" w:hAnsi="Times New Roman" w:cs="Times New Roman"/>
                <w:b/>
                <w:bCs/>
                <w:sz w:val="16"/>
                <w:szCs w:val="16"/>
              </w:rPr>
              <w:t> </w:t>
            </w:r>
          </w:p>
        </w:tc>
        <w:tc>
          <w:tcPr>
            <w:tcW w:w="250" w:type="pct"/>
            <w:vAlign w:val="bottom"/>
            <w:hideMark/>
          </w:tcPr>
          <w:p w:rsidR="00000000" w:rsidRDefault="008E203B">
            <w:pPr>
              <w:jc w:val="center"/>
              <w:rPr>
                <w:rFonts w:ascii="Times New Roman" w:hAnsi="Times New Roman" w:cs="Times New Roman"/>
                <w:sz w:val="16"/>
                <w:szCs w:val="16"/>
              </w:rPr>
            </w:pPr>
            <w:r>
              <w:rPr>
                <w:rFonts w:ascii="Times New Roman" w:hAnsi="Times New Roman" w:cs="Times New Roman"/>
                <w:b/>
                <w:bCs/>
                <w:sz w:val="16"/>
                <w:szCs w:val="16"/>
              </w:rPr>
              <w:t> </w:t>
            </w:r>
          </w:p>
        </w:tc>
        <w:tc>
          <w:tcPr>
            <w:tcW w:w="50" w:type="pct"/>
            <w:vAlign w:val="bottom"/>
            <w:hideMark/>
          </w:tcPr>
          <w:p w:rsidR="00000000" w:rsidRDefault="008E203B">
            <w:pPr>
              <w:rPr>
                <w:rFonts w:ascii="Times New Roman" w:hAnsi="Times New Roman" w:cs="Times New Roman"/>
                <w:sz w:val="16"/>
                <w:szCs w:val="16"/>
              </w:rPr>
            </w:pPr>
            <w:r>
              <w:rPr>
                <w:rFonts w:ascii="Times New Roman" w:hAnsi="Times New Roman" w:cs="Times New Roman"/>
                <w:b/>
                <w:bCs/>
                <w:sz w:val="16"/>
                <w:szCs w:val="16"/>
              </w:rPr>
              <w:t> </w:t>
            </w:r>
          </w:p>
        </w:tc>
        <w:tc>
          <w:tcPr>
            <w:tcW w:w="50" w:type="pct"/>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vAlign w:val="bottom"/>
            <w:hideMark/>
          </w:tcPr>
          <w:p w:rsidR="00000000" w:rsidRDefault="008E203B">
            <w:pPr>
              <w:rPr>
                <w:rFonts w:ascii="Times New Roman" w:hAnsi="Times New Roman" w:cs="Times New Roman"/>
                <w:sz w:val="16"/>
                <w:szCs w:val="16"/>
              </w:rPr>
            </w:pPr>
            <w:r>
              <w:rPr>
                <w:rFonts w:ascii="Times New Roman" w:hAnsi="Times New Roman" w:cs="Times New Roman"/>
                <w:b/>
                <w:bCs/>
                <w:sz w:val="16"/>
                <w:szCs w:val="16"/>
              </w:rPr>
              <w:t> </w:t>
            </w:r>
          </w:p>
        </w:tc>
        <w:tc>
          <w:tcPr>
            <w:tcW w:w="250" w:type="pct"/>
            <w:vAlign w:val="bottom"/>
            <w:hideMark/>
          </w:tcPr>
          <w:p w:rsidR="00000000" w:rsidRDefault="008E203B">
            <w:pPr>
              <w:jc w:val="center"/>
              <w:rPr>
                <w:rFonts w:ascii="Times New Roman" w:hAnsi="Times New Roman" w:cs="Times New Roman"/>
                <w:sz w:val="16"/>
                <w:szCs w:val="16"/>
              </w:rPr>
            </w:pPr>
            <w:r>
              <w:rPr>
                <w:rFonts w:ascii="Times New Roman" w:hAnsi="Times New Roman" w:cs="Times New Roman"/>
                <w:b/>
                <w:bCs/>
                <w:sz w:val="16"/>
                <w:szCs w:val="16"/>
              </w:rPr>
              <w:t> </w:t>
            </w:r>
          </w:p>
        </w:tc>
        <w:tc>
          <w:tcPr>
            <w:tcW w:w="50" w:type="pct"/>
            <w:vAlign w:val="bottom"/>
            <w:hideMark/>
          </w:tcPr>
          <w:p w:rsidR="00000000" w:rsidRDefault="008E203B">
            <w:pPr>
              <w:rPr>
                <w:rFonts w:ascii="Times New Roman" w:hAnsi="Times New Roman" w:cs="Times New Roman"/>
                <w:sz w:val="16"/>
                <w:szCs w:val="16"/>
              </w:rPr>
            </w:pPr>
            <w:r>
              <w:rPr>
                <w:rFonts w:ascii="Times New Roman" w:hAnsi="Times New Roman" w:cs="Times New Roman"/>
                <w:b/>
                <w:bCs/>
                <w:sz w:val="16"/>
                <w:szCs w:val="16"/>
              </w:rPr>
              <w:t> </w:t>
            </w:r>
          </w:p>
        </w:tc>
        <w:tc>
          <w:tcPr>
            <w:tcW w:w="50" w:type="pct"/>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vAlign w:val="bottom"/>
            <w:hideMark/>
          </w:tcPr>
          <w:p w:rsidR="00000000" w:rsidRDefault="008E203B">
            <w:pPr>
              <w:rPr>
                <w:rFonts w:ascii="Times New Roman" w:hAnsi="Times New Roman" w:cs="Times New Roman"/>
                <w:sz w:val="16"/>
                <w:szCs w:val="16"/>
              </w:rPr>
            </w:pPr>
            <w:r>
              <w:rPr>
                <w:rFonts w:ascii="Times New Roman" w:hAnsi="Times New Roman" w:cs="Times New Roman"/>
                <w:b/>
                <w:bCs/>
                <w:sz w:val="16"/>
                <w:szCs w:val="16"/>
              </w:rPr>
              <w:t> </w:t>
            </w:r>
          </w:p>
        </w:tc>
        <w:tc>
          <w:tcPr>
            <w:tcW w:w="250" w:type="pct"/>
            <w:vAlign w:val="bottom"/>
            <w:hideMark/>
          </w:tcPr>
          <w:p w:rsidR="00000000" w:rsidRDefault="008E203B">
            <w:pPr>
              <w:jc w:val="center"/>
              <w:rPr>
                <w:rFonts w:ascii="Times New Roman" w:hAnsi="Times New Roman" w:cs="Times New Roman"/>
                <w:sz w:val="16"/>
                <w:szCs w:val="16"/>
              </w:rPr>
            </w:pPr>
            <w:r>
              <w:rPr>
                <w:rFonts w:ascii="Times New Roman" w:hAnsi="Times New Roman" w:cs="Times New Roman"/>
                <w:b/>
                <w:bCs/>
                <w:sz w:val="16"/>
                <w:szCs w:val="16"/>
              </w:rPr>
              <w:t> </w:t>
            </w:r>
          </w:p>
        </w:tc>
        <w:tc>
          <w:tcPr>
            <w:tcW w:w="50" w:type="pct"/>
            <w:vAlign w:val="bottom"/>
            <w:hideMark/>
          </w:tcPr>
          <w:p w:rsidR="00000000" w:rsidRDefault="008E203B">
            <w:pPr>
              <w:rPr>
                <w:rFonts w:ascii="Times New Roman" w:hAnsi="Times New Roman" w:cs="Times New Roman"/>
                <w:sz w:val="16"/>
                <w:szCs w:val="16"/>
              </w:rPr>
            </w:pPr>
            <w:r>
              <w:rPr>
                <w:rFonts w:ascii="Times New Roman" w:hAnsi="Times New Roman" w:cs="Times New Roman"/>
                <w:b/>
                <w:bCs/>
                <w:sz w:val="16"/>
                <w:szCs w:val="16"/>
              </w:rPr>
              <w:t> </w:t>
            </w:r>
          </w:p>
        </w:tc>
        <w:tc>
          <w:tcPr>
            <w:tcW w:w="50" w:type="pct"/>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vAlign w:val="bottom"/>
            <w:hideMark/>
          </w:tcPr>
          <w:p w:rsidR="00000000" w:rsidRDefault="008E203B">
            <w:pPr>
              <w:rPr>
                <w:rFonts w:ascii="Times New Roman" w:hAnsi="Times New Roman" w:cs="Times New Roman"/>
                <w:sz w:val="16"/>
                <w:szCs w:val="16"/>
              </w:rPr>
            </w:pPr>
            <w:r>
              <w:rPr>
                <w:rFonts w:ascii="Times New Roman" w:hAnsi="Times New Roman" w:cs="Times New Roman"/>
                <w:b/>
                <w:bCs/>
                <w:sz w:val="16"/>
                <w:szCs w:val="16"/>
              </w:rPr>
              <w:t> </w:t>
            </w:r>
          </w:p>
        </w:tc>
        <w:tc>
          <w:tcPr>
            <w:tcW w:w="250" w:type="pct"/>
            <w:vAlign w:val="bottom"/>
            <w:hideMark/>
          </w:tcPr>
          <w:p w:rsidR="00000000" w:rsidRDefault="008E203B">
            <w:pPr>
              <w:jc w:val="center"/>
              <w:rPr>
                <w:rFonts w:ascii="Times New Roman" w:hAnsi="Times New Roman" w:cs="Times New Roman"/>
                <w:sz w:val="16"/>
                <w:szCs w:val="16"/>
              </w:rPr>
            </w:pPr>
            <w:r>
              <w:rPr>
                <w:rFonts w:ascii="Times New Roman" w:hAnsi="Times New Roman" w:cs="Times New Roman"/>
                <w:b/>
                <w:bCs/>
                <w:sz w:val="16"/>
                <w:szCs w:val="16"/>
              </w:rPr>
              <w:t> </w:t>
            </w:r>
          </w:p>
        </w:tc>
        <w:tc>
          <w:tcPr>
            <w:tcW w:w="50" w:type="pct"/>
            <w:vAlign w:val="bottom"/>
            <w:hideMark/>
          </w:tcPr>
          <w:p w:rsidR="00000000" w:rsidRDefault="008E203B">
            <w:pPr>
              <w:rPr>
                <w:rFonts w:ascii="Times New Roman" w:hAnsi="Times New Roman" w:cs="Times New Roman"/>
                <w:sz w:val="16"/>
                <w:szCs w:val="16"/>
              </w:rPr>
            </w:pPr>
            <w:r>
              <w:rPr>
                <w:rFonts w:ascii="Times New Roman" w:hAnsi="Times New Roman" w:cs="Times New Roman"/>
                <w:b/>
                <w:bCs/>
                <w:sz w:val="16"/>
                <w:szCs w:val="16"/>
              </w:rPr>
              <w:t> </w:t>
            </w:r>
          </w:p>
        </w:tc>
        <w:tc>
          <w:tcPr>
            <w:tcW w:w="50" w:type="pct"/>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vAlign w:val="bottom"/>
            <w:hideMark/>
          </w:tcPr>
          <w:p w:rsidR="00000000" w:rsidRDefault="008E203B">
            <w:pPr>
              <w:rPr>
                <w:rFonts w:ascii="Times New Roman" w:hAnsi="Times New Roman" w:cs="Times New Roman"/>
                <w:sz w:val="16"/>
                <w:szCs w:val="16"/>
              </w:rPr>
            </w:pPr>
            <w:r>
              <w:rPr>
                <w:rFonts w:ascii="Times New Roman" w:hAnsi="Times New Roman" w:cs="Times New Roman"/>
                <w:b/>
                <w:bCs/>
                <w:sz w:val="16"/>
                <w:szCs w:val="16"/>
              </w:rPr>
              <w:t> </w:t>
            </w:r>
          </w:p>
        </w:tc>
        <w:tc>
          <w:tcPr>
            <w:tcW w:w="250" w:type="pct"/>
            <w:vAlign w:val="bottom"/>
            <w:hideMark/>
          </w:tcPr>
          <w:p w:rsidR="00000000" w:rsidRDefault="008E203B">
            <w:pPr>
              <w:jc w:val="center"/>
              <w:rPr>
                <w:rFonts w:ascii="Times New Roman" w:hAnsi="Times New Roman" w:cs="Times New Roman"/>
                <w:sz w:val="16"/>
                <w:szCs w:val="16"/>
              </w:rPr>
            </w:pPr>
            <w:r>
              <w:rPr>
                <w:rFonts w:ascii="Times New Roman" w:hAnsi="Times New Roman" w:cs="Times New Roman"/>
                <w:b/>
                <w:bCs/>
                <w:sz w:val="16"/>
                <w:szCs w:val="16"/>
              </w:rPr>
              <w:t> </w:t>
            </w:r>
          </w:p>
        </w:tc>
        <w:tc>
          <w:tcPr>
            <w:tcW w:w="50" w:type="pct"/>
            <w:vAlign w:val="bottom"/>
            <w:hideMark/>
          </w:tcPr>
          <w:p w:rsidR="00000000" w:rsidRDefault="008E203B">
            <w:pPr>
              <w:rPr>
                <w:rFonts w:ascii="Times New Roman" w:hAnsi="Times New Roman" w:cs="Times New Roman"/>
                <w:sz w:val="16"/>
                <w:szCs w:val="16"/>
              </w:rPr>
            </w:pPr>
            <w:r>
              <w:rPr>
                <w:rFonts w:ascii="Times New Roman" w:hAnsi="Times New Roman" w:cs="Times New Roman"/>
                <w:b/>
                <w:bCs/>
                <w:sz w:val="16"/>
                <w:szCs w:val="16"/>
              </w:rPr>
              <w:t> </w:t>
            </w:r>
          </w:p>
        </w:tc>
        <w:tc>
          <w:tcPr>
            <w:tcW w:w="50" w:type="pct"/>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gridSpan w:val="2"/>
            <w:vAlign w:val="bottom"/>
            <w:hideMark/>
          </w:tcPr>
          <w:p w:rsidR="00000000" w:rsidRDefault="008E203B">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Total</w:t>
            </w:r>
          </w:p>
        </w:tc>
        <w:tc>
          <w:tcPr>
            <w:tcW w:w="50" w:type="pct"/>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vAlign w:val="bottom"/>
            <w:hideMark/>
          </w:tcPr>
          <w:p w:rsidR="00000000" w:rsidRDefault="008E203B">
            <w:pPr>
              <w:rPr>
                <w:rFonts w:ascii="Times New Roman" w:hAnsi="Times New Roman" w:cs="Times New Roman"/>
                <w:sz w:val="16"/>
                <w:szCs w:val="16"/>
              </w:rPr>
            </w:pPr>
            <w:r>
              <w:rPr>
                <w:rFonts w:ascii="Times New Roman" w:hAnsi="Times New Roman" w:cs="Times New Roman"/>
                <w:b/>
                <w:bCs/>
                <w:sz w:val="16"/>
                <w:szCs w:val="16"/>
              </w:rPr>
              <w:t> </w:t>
            </w:r>
          </w:p>
        </w:tc>
        <w:tc>
          <w:tcPr>
            <w:tcW w:w="250" w:type="pct"/>
            <w:vAlign w:val="bottom"/>
            <w:hideMark/>
          </w:tcPr>
          <w:p w:rsidR="00000000" w:rsidRDefault="008E203B">
            <w:pPr>
              <w:jc w:val="center"/>
              <w:rPr>
                <w:rFonts w:ascii="Times New Roman" w:hAnsi="Times New Roman" w:cs="Times New Roman"/>
                <w:sz w:val="16"/>
                <w:szCs w:val="16"/>
              </w:rPr>
            </w:pPr>
            <w:r>
              <w:rPr>
                <w:rFonts w:ascii="Times New Roman" w:hAnsi="Times New Roman" w:cs="Times New Roman"/>
                <w:b/>
                <w:bCs/>
                <w:sz w:val="16"/>
                <w:szCs w:val="16"/>
              </w:rPr>
              <w:t> </w:t>
            </w:r>
          </w:p>
        </w:tc>
        <w:tc>
          <w:tcPr>
            <w:tcW w:w="50" w:type="pct"/>
            <w:vAlign w:val="bottom"/>
            <w:hideMark/>
          </w:tcPr>
          <w:p w:rsidR="00000000" w:rsidRDefault="008E203B">
            <w:pPr>
              <w:rPr>
                <w:rFonts w:ascii="Times New Roman" w:hAnsi="Times New Roman" w:cs="Times New Roman"/>
                <w:sz w:val="16"/>
                <w:szCs w:val="16"/>
              </w:rPr>
            </w:pPr>
            <w:r>
              <w:rPr>
                <w:rFonts w:ascii="Times New Roman" w:hAnsi="Times New Roman" w:cs="Times New Roman"/>
                <w:b/>
                <w:bCs/>
                <w:sz w:val="16"/>
                <w:szCs w:val="16"/>
              </w:rPr>
              <w:t> </w:t>
            </w:r>
          </w:p>
        </w:tc>
        <w:tc>
          <w:tcPr>
            <w:tcW w:w="50" w:type="pct"/>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vAlign w:val="bottom"/>
            <w:hideMark/>
          </w:tcPr>
          <w:p w:rsidR="00000000" w:rsidRDefault="008E203B">
            <w:pPr>
              <w:rPr>
                <w:rFonts w:ascii="Times New Roman" w:hAnsi="Times New Roman" w:cs="Times New Roman"/>
                <w:sz w:val="16"/>
                <w:szCs w:val="16"/>
              </w:rPr>
            </w:pPr>
            <w:r>
              <w:rPr>
                <w:rFonts w:ascii="Times New Roman" w:hAnsi="Times New Roman" w:cs="Times New Roman"/>
                <w:b/>
                <w:bCs/>
                <w:sz w:val="16"/>
                <w:szCs w:val="16"/>
              </w:rPr>
              <w:t> </w:t>
            </w:r>
          </w:p>
        </w:tc>
        <w:tc>
          <w:tcPr>
            <w:tcW w:w="250" w:type="pct"/>
            <w:vAlign w:val="bottom"/>
            <w:hideMark/>
          </w:tcPr>
          <w:p w:rsidR="00000000" w:rsidRDefault="008E203B">
            <w:pPr>
              <w:jc w:val="center"/>
              <w:rPr>
                <w:rFonts w:ascii="Times New Roman" w:hAnsi="Times New Roman" w:cs="Times New Roman"/>
                <w:sz w:val="16"/>
                <w:szCs w:val="16"/>
              </w:rPr>
            </w:pPr>
            <w:r>
              <w:rPr>
                <w:rFonts w:ascii="Times New Roman" w:hAnsi="Times New Roman" w:cs="Times New Roman"/>
                <w:b/>
                <w:bCs/>
                <w:sz w:val="16"/>
                <w:szCs w:val="16"/>
              </w:rPr>
              <w:t> </w:t>
            </w:r>
          </w:p>
        </w:tc>
        <w:tc>
          <w:tcPr>
            <w:tcW w:w="50" w:type="pct"/>
            <w:vAlign w:val="bottom"/>
            <w:hideMark/>
          </w:tcPr>
          <w:p w:rsidR="00000000" w:rsidRDefault="008E203B">
            <w:pPr>
              <w:rPr>
                <w:rFonts w:ascii="Times New Roman" w:hAnsi="Times New Roman" w:cs="Times New Roman"/>
                <w:sz w:val="16"/>
                <w:szCs w:val="16"/>
              </w:rPr>
            </w:pPr>
            <w:r>
              <w:rPr>
                <w:rFonts w:ascii="Times New Roman" w:hAnsi="Times New Roman" w:cs="Times New Roman"/>
                <w:b/>
                <w:bCs/>
                <w:sz w:val="16"/>
                <w:szCs w:val="16"/>
              </w:rPr>
              <w:t> </w:t>
            </w:r>
          </w:p>
        </w:tc>
      </w:tr>
      <w:tr w:rsidR="00000000">
        <w:trPr>
          <w:divId w:val="1593584240"/>
          <w:tblCellSpacing w:w="15" w:type="dxa"/>
        </w:trPr>
        <w:tc>
          <w:tcPr>
            <w:tcW w:w="1000" w:type="pct"/>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gridSpan w:val="2"/>
            <w:vAlign w:val="bottom"/>
            <w:hideMark/>
          </w:tcPr>
          <w:p w:rsidR="00000000" w:rsidRDefault="008E203B">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Distributions in</w:t>
            </w:r>
          </w:p>
        </w:tc>
        <w:tc>
          <w:tcPr>
            <w:tcW w:w="50" w:type="pct"/>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gridSpan w:val="2"/>
            <w:vAlign w:val="bottom"/>
            <w:hideMark/>
          </w:tcPr>
          <w:p w:rsidR="00000000" w:rsidRDefault="008E203B">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Comprehensive</w:t>
            </w:r>
          </w:p>
        </w:tc>
        <w:tc>
          <w:tcPr>
            <w:tcW w:w="50" w:type="pct"/>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450" w:type="pct"/>
            <w:gridSpan w:val="6"/>
            <w:tcBorders>
              <w:bottom w:val="single" w:sz="6" w:space="0" w:color="000000"/>
            </w:tcBorders>
            <w:vAlign w:val="bottom"/>
            <w:hideMark/>
          </w:tcPr>
          <w:p w:rsidR="00000000" w:rsidRDefault="008E203B">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Preferred Stock</w:t>
            </w:r>
          </w:p>
        </w:tc>
        <w:tc>
          <w:tcPr>
            <w:tcW w:w="50" w:type="pct"/>
            <w:tcBorders>
              <w:bottom w:val="single" w:sz="6" w:space="0" w:color="000000"/>
            </w:tcBorders>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tcBorders>
              <w:bottom w:val="single" w:sz="6" w:space="0" w:color="000000"/>
            </w:tcBorders>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450" w:type="pct"/>
            <w:gridSpan w:val="6"/>
            <w:tcBorders>
              <w:bottom w:val="single" w:sz="6" w:space="0" w:color="000000"/>
            </w:tcBorders>
            <w:vAlign w:val="bottom"/>
            <w:hideMark/>
          </w:tcPr>
          <w:p w:rsidR="00000000" w:rsidRDefault="008E203B">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Common Stock</w:t>
            </w:r>
          </w:p>
        </w:tc>
        <w:tc>
          <w:tcPr>
            <w:tcW w:w="50" w:type="pct"/>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gridSpan w:val="2"/>
            <w:vAlign w:val="bottom"/>
            <w:hideMark/>
          </w:tcPr>
          <w:p w:rsidR="00000000" w:rsidRDefault="008E203B">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Paid-in</w:t>
            </w:r>
          </w:p>
        </w:tc>
        <w:tc>
          <w:tcPr>
            <w:tcW w:w="50" w:type="pct"/>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gridSpan w:val="2"/>
            <w:vAlign w:val="bottom"/>
            <w:hideMark/>
          </w:tcPr>
          <w:p w:rsidR="00000000" w:rsidRDefault="008E203B">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Stockholders'</w:t>
            </w:r>
          </w:p>
        </w:tc>
        <w:tc>
          <w:tcPr>
            <w:tcW w:w="50" w:type="pct"/>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gridSpan w:val="2"/>
            <w:vAlign w:val="bottom"/>
            <w:hideMark/>
          </w:tcPr>
          <w:p w:rsidR="00000000" w:rsidRDefault="008E203B">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Noncontrolling</w:t>
            </w:r>
          </w:p>
        </w:tc>
        <w:tc>
          <w:tcPr>
            <w:tcW w:w="50" w:type="pct"/>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gridSpan w:val="2"/>
            <w:vAlign w:val="bottom"/>
            <w:hideMark/>
          </w:tcPr>
          <w:p w:rsidR="00000000" w:rsidRDefault="008E203B">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Total</w:t>
            </w:r>
          </w:p>
        </w:tc>
        <w:tc>
          <w:tcPr>
            <w:tcW w:w="50" w:type="pct"/>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r>
      <w:tr w:rsidR="00000000">
        <w:trPr>
          <w:divId w:val="1593584240"/>
          <w:tblCellSpacing w:w="15" w:type="dxa"/>
        </w:trPr>
        <w:tc>
          <w:tcPr>
            <w:tcW w:w="1000" w:type="pct"/>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gridSpan w:val="2"/>
            <w:tcBorders>
              <w:bottom w:val="single" w:sz="6" w:space="0" w:color="000000"/>
            </w:tcBorders>
            <w:noWrap/>
            <w:tcMar>
              <w:top w:w="0" w:type="dxa"/>
              <w:left w:w="0" w:type="dxa"/>
              <w:bottom w:w="0" w:type="dxa"/>
              <w:right w:w="0" w:type="dxa"/>
            </w:tcMar>
            <w:vAlign w:val="bottom"/>
            <w:hideMark/>
          </w:tcPr>
          <w:p w:rsidR="00000000" w:rsidRDefault="008E203B">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Excess of Net Income</w:t>
            </w:r>
          </w:p>
        </w:tc>
        <w:tc>
          <w:tcPr>
            <w:tcW w:w="50" w:type="pct"/>
            <w:tcBorders>
              <w:bottom w:val="single" w:sz="6" w:space="0" w:color="000000"/>
            </w:tcBorders>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tcBorders>
              <w:bottom w:val="single" w:sz="6" w:space="0" w:color="000000"/>
            </w:tcBorders>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gridSpan w:val="2"/>
            <w:tcBorders>
              <w:bottom w:val="single" w:sz="6" w:space="0" w:color="000000"/>
            </w:tcBorders>
            <w:noWrap/>
            <w:tcMar>
              <w:top w:w="0" w:type="dxa"/>
              <w:left w:w="0" w:type="dxa"/>
              <w:bottom w:w="0" w:type="dxa"/>
              <w:right w:w="0" w:type="dxa"/>
            </w:tcMar>
            <w:vAlign w:val="bottom"/>
            <w:hideMark/>
          </w:tcPr>
          <w:p w:rsidR="00000000" w:rsidRDefault="008E203B">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Income/(Loss)</w:t>
            </w:r>
          </w:p>
        </w:tc>
        <w:tc>
          <w:tcPr>
            <w:tcW w:w="50" w:type="pct"/>
            <w:tcBorders>
              <w:bottom w:val="single" w:sz="6" w:space="0" w:color="000000"/>
            </w:tcBorders>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tcBorders>
              <w:bottom w:val="single" w:sz="6" w:space="0" w:color="000000"/>
            </w:tcBorders>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gridSpan w:val="2"/>
            <w:tcBorders>
              <w:bottom w:val="single" w:sz="6" w:space="0" w:color="000000"/>
            </w:tcBorders>
            <w:vAlign w:val="bottom"/>
            <w:hideMark/>
          </w:tcPr>
          <w:p w:rsidR="00000000" w:rsidRDefault="008E203B">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Issued</w:t>
            </w:r>
          </w:p>
        </w:tc>
        <w:tc>
          <w:tcPr>
            <w:tcW w:w="50" w:type="pct"/>
            <w:tcBorders>
              <w:bottom w:val="single" w:sz="6" w:space="0" w:color="000000"/>
            </w:tcBorders>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tcBorders>
              <w:bottom w:val="single" w:sz="6" w:space="0" w:color="000000"/>
            </w:tcBorders>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gridSpan w:val="2"/>
            <w:tcBorders>
              <w:bottom w:val="single" w:sz="6" w:space="0" w:color="000000"/>
            </w:tcBorders>
            <w:vAlign w:val="bottom"/>
            <w:hideMark/>
          </w:tcPr>
          <w:p w:rsidR="00000000" w:rsidRDefault="008E203B">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Amount</w:t>
            </w:r>
          </w:p>
        </w:tc>
        <w:tc>
          <w:tcPr>
            <w:tcW w:w="50" w:type="pct"/>
            <w:tcBorders>
              <w:bottom w:val="single" w:sz="6" w:space="0" w:color="000000"/>
            </w:tcBorders>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tcBorders>
              <w:bottom w:val="single" w:sz="6" w:space="0" w:color="000000"/>
            </w:tcBorders>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gridSpan w:val="2"/>
            <w:tcBorders>
              <w:bottom w:val="single" w:sz="6" w:space="0" w:color="000000"/>
            </w:tcBorders>
            <w:vAlign w:val="bottom"/>
            <w:hideMark/>
          </w:tcPr>
          <w:p w:rsidR="00000000" w:rsidRDefault="008E203B">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Issued</w:t>
            </w:r>
          </w:p>
        </w:tc>
        <w:tc>
          <w:tcPr>
            <w:tcW w:w="50" w:type="pct"/>
            <w:tcBorders>
              <w:bottom w:val="single" w:sz="6" w:space="0" w:color="000000"/>
            </w:tcBorders>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tcBorders>
              <w:bottom w:val="single" w:sz="6" w:space="0" w:color="000000"/>
            </w:tcBorders>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gridSpan w:val="2"/>
            <w:tcBorders>
              <w:bottom w:val="single" w:sz="6" w:space="0" w:color="000000"/>
            </w:tcBorders>
            <w:vAlign w:val="bottom"/>
            <w:hideMark/>
          </w:tcPr>
          <w:p w:rsidR="00000000" w:rsidRDefault="008E203B">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Amount</w:t>
            </w:r>
          </w:p>
        </w:tc>
        <w:tc>
          <w:tcPr>
            <w:tcW w:w="50" w:type="pct"/>
            <w:tcBorders>
              <w:bottom w:val="single" w:sz="6" w:space="0" w:color="000000"/>
            </w:tcBorders>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tcBorders>
              <w:bottom w:val="single" w:sz="6" w:space="0" w:color="000000"/>
            </w:tcBorders>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gridSpan w:val="2"/>
            <w:tcBorders>
              <w:bottom w:val="single" w:sz="6" w:space="0" w:color="000000"/>
            </w:tcBorders>
            <w:vAlign w:val="bottom"/>
            <w:hideMark/>
          </w:tcPr>
          <w:p w:rsidR="00000000" w:rsidRDefault="008E203B">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Capital</w:t>
            </w:r>
          </w:p>
        </w:tc>
        <w:tc>
          <w:tcPr>
            <w:tcW w:w="50" w:type="pct"/>
            <w:tcBorders>
              <w:bottom w:val="single" w:sz="6" w:space="0" w:color="000000"/>
            </w:tcBorders>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tcBorders>
              <w:bottom w:val="single" w:sz="6" w:space="0" w:color="000000"/>
            </w:tcBorders>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gridSpan w:val="2"/>
            <w:tcBorders>
              <w:bottom w:val="single" w:sz="6" w:space="0" w:color="000000"/>
            </w:tcBorders>
            <w:vAlign w:val="bottom"/>
            <w:hideMark/>
          </w:tcPr>
          <w:p w:rsidR="00000000" w:rsidRDefault="008E203B">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Equity</w:t>
            </w:r>
          </w:p>
        </w:tc>
        <w:tc>
          <w:tcPr>
            <w:tcW w:w="50" w:type="pct"/>
            <w:tcBorders>
              <w:bottom w:val="single" w:sz="6" w:space="0" w:color="000000"/>
            </w:tcBorders>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tcBorders>
              <w:bottom w:val="single" w:sz="6" w:space="0" w:color="000000"/>
            </w:tcBorders>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gridSpan w:val="2"/>
            <w:tcBorders>
              <w:bottom w:val="single" w:sz="6" w:space="0" w:color="000000"/>
            </w:tcBorders>
            <w:vAlign w:val="bottom"/>
            <w:hideMark/>
          </w:tcPr>
          <w:p w:rsidR="00000000" w:rsidRDefault="008E203B">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Interests</w:t>
            </w:r>
          </w:p>
        </w:tc>
        <w:tc>
          <w:tcPr>
            <w:tcW w:w="50" w:type="pct"/>
            <w:tcBorders>
              <w:bottom w:val="single" w:sz="6" w:space="0" w:color="000000"/>
            </w:tcBorders>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tcBorders>
              <w:bottom w:val="single" w:sz="6" w:space="0" w:color="000000"/>
            </w:tcBorders>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gridSpan w:val="2"/>
            <w:tcBorders>
              <w:bottom w:val="single" w:sz="6" w:space="0" w:color="000000"/>
            </w:tcBorders>
            <w:vAlign w:val="bottom"/>
            <w:hideMark/>
          </w:tcPr>
          <w:p w:rsidR="00000000" w:rsidRDefault="008E203B">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Equity</w:t>
            </w:r>
          </w:p>
        </w:tc>
        <w:tc>
          <w:tcPr>
            <w:tcW w:w="50" w:type="pct"/>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r>
      <w:tr w:rsidR="008E203B">
        <w:trPr>
          <w:divId w:val="1593584240"/>
          <w:tblCellSpacing w:w="15" w:type="dxa"/>
        </w:trPr>
        <w:tc>
          <w:tcPr>
            <w:tcW w:w="1000" w:type="pct"/>
            <w:shd w:val="clear" w:color="auto" w:fill="CCEEFF"/>
            <w:vAlign w:val="bottom"/>
            <w:hideMark/>
          </w:tcPr>
          <w:p w:rsidR="00000000" w:rsidRDefault="008E203B">
            <w:pPr>
              <w:pStyle w:val="a3"/>
              <w:spacing w:before="0" w:beforeAutospacing="0" w:after="0" w:afterAutospacing="0"/>
              <w:ind w:left="180" w:hanging="180"/>
              <w:rPr>
                <w:rFonts w:ascii="Times New Roman" w:hAnsi="Times New Roman" w:cs="Times New Roman"/>
                <w:sz w:val="16"/>
                <w:szCs w:val="16"/>
              </w:rPr>
            </w:pPr>
            <w:r>
              <w:rPr>
                <w:rFonts w:ascii="Times New Roman" w:hAnsi="Times New Roman" w:cs="Times New Roman"/>
                <w:sz w:val="16"/>
                <w:szCs w:val="16"/>
              </w:rPr>
              <w:t>Balance at January 1, 2018</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w:t>
            </w:r>
          </w:p>
        </w:tc>
        <w:tc>
          <w:tcPr>
            <w:tcW w:w="250" w:type="pct"/>
            <w:shd w:val="clear" w:color="auto" w:fill="CCEE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(754,375</w:t>
            </w:r>
          </w:p>
        </w:tc>
        <w:tc>
          <w:tcPr>
            <w:tcW w:w="50" w:type="pct"/>
            <w:shd w:val="clear" w:color="auto" w:fill="CCEE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w:t>
            </w:r>
          </w:p>
        </w:tc>
        <w:tc>
          <w:tcPr>
            <w:tcW w:w="250" w:type="pct"/>
            <w:shd w:val="clear" w:color="auto" w:fill="CCEE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(344</w:t>
            </w:r>
          </w:p>
        </w:tc>
        <w:tc>
          <w:tcPr>
            <w:tcW w:w="50" w:type="pct"/>
            <w:shd w:val="clear" w:color="auto" w:fill="CCEE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CCEE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41</w:t>
            </w:r>
          </w:p>
        </w:tc>
        <w:tc>
          <w:tcPr>
            <w:tcW w:w="50" w:type="pct"/>
            <w:shd w:val="clear" w:color="auto" w:fill="CCEE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w:t>
            </w:r>
          </w:p>
        </w:tc>
        <w:tc>
          <w:tcPr>
            <w:tcW w:w="250" w:type="pct"/>
            <w:shd w:val="clear" w:color="auto" w:fill="CCEE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41</w:t>
            </w:r>
          </w:p>
        </w:tc>
        <w:tc>
          <w:tcPr>
            <w:tcW w:w="50" w:type="pct"/>
            <w:shd w:val="clear" w:color="auto" w:fill="CCEE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CCEE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425,646</w:t>
            </w:r>
          </w:p>
        </w:tc>
        <w:tc>
          <w:tcPr>
            <w:tcW w:w="50" w:type="pct"/>
            <w:shd w:val="clear" w:color="auto" w:fill="CCEE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w:t>
            </w:r>
          </w:p>
        </w:tc>
        <w:tc>
          <w:tcPr>
            <w:tcW w:w="250" w:type="pct"/>
            <w:shd w:val="clear" w:color="auto" w:fill="CCEE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4,256</w:t>
            </w:r>
          </w:p>
        </w:tc>
        <w:tc>
          <w:tcPr>
            <w:tcW w:w="50" w:type="pct"/>
            <w:shd w:val="clear" w:color="auto" w:fill="CCEE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w:t>
            </w:r>
          </w:p>
        </w:tc>
        <w:tc>
          <w:tcPr>
            <w:tcW w:w="250" w:type="pct"/>
            <w:shd w:val="clear" w:color="auto" w:fill="CCEE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6,152,764</w:t>
            </w:r>
          </w:p>
        </w:tc>
        <w:tc>
          <w:tcPr>
            <w:tcW w:w="50" w:type="pct"/>
            <w:shd w:val="clear" w:color="auto" w:fill="CCEE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w:t>
            </w:r>
          </w:p>
        </w:tc>
        <w:tc>
          <w:tcPr>
            <w:tcW w:w="250" w:type="pct"/>
            <w:shd w:val="clear" w:color="auto" w:fill="CCEE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5,402,342</w:t>
            </w:r>
          </w:p>
        </w:tc>
        <w:tc>
          <w:tcPr>
            <w:tcW w:w="50" w:type="pct"/>
            <w:shd w:val="clear" w:color="auto" w:fill="CCEE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w:t>
            </w:r>
          </w:p>
        </w:tc>
        <w:tc>
          <w:tcPr>
            <w:tcW w:w="250" w:type="pct"/>
            <w:shd w:val="clear" w:color="auto" w:fill="CCEE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127,903</w:t>
            </w:r>
          </w:p>
        </w:tc>
        <w:tc>
          <w:tcPr>
            <w:tcW w:w="50" w:type="pct"/>
            <w:shd w:val="clear" w:color="auto" w:fill="CCEE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w:t>
            </w:r>
          </w:p>
        </w:tc>
        <w:tc>
          <w:tcPr>
            <w:tcW w:w="250" w:type="pct"/>
            <w:shd w:val="clear" w:color="auto" w:fill="CCEE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5,530,245</w:t>
            </w:r>
          </w:p>
        </w:tc>
        <w:tc>
          <w:tcPr>
            <w:tcW w:w="50" w:type="pct"/>
            <w:shd w:val="clear" w:color="auto" w:fill="CCEE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r>
      <w:tr w:rsidR="008E203B">
        <w:trPr>
          <w:divId w:val="1593584240"/>
          <w:tblCellSpacing w:w="15" w:type="dxa"/>
        </w:trPr>
        <w:tc>
          <w:tcPr>
            <w:tcW w:w="1000" w:type="pct"/>
            <w:shd w:val="clear" w:color="auto" w:fill="FFFFFF"/>
            <w:vAlign w:val="bottom"/>
            <w:hideMark/>
          </w:tcPr>
          <w:p w:rsidR="00000000" w:rsidRDefault="008E203B">
            <w:pPr>
              <w:pStyle w:val="a3"/>
              <w:spacing w:before="0" w:beforeAutospacing="0" w:after="0" w:afterAutospacing="0"/>
              <w:ind w:left="180" w:hanging="180"/>
              <w:rPr>
                <w:rFonts w:ascii="Times New Roman" w:hAnsi="Times New Roman" w:cs="Times New Roman"/>
                <w:sz w:val="16"/>
                <w:szCs w:val="16"/>
              </w:rPr>
            </w:pPr>
            <w:r>
              <w:rPr>
                <w:rFonts w:ascii="Times New Roman" w:hAnsi="Times New Roman" w:cs="Times New Roman"/>
                <w:sz w:val="16"/>
                <w:szCs w:val="16"/>
              </w:rPr>
              <w:t>Comprehensive income:</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r>
      <w:tr w:rsidR="008E203B">
        <w:trPr>
          <w:divId w:val="1593584240"/>
          <w:tblCellSpacing w:w="15" w:type="dxa"/>
        </w:trPr>
        <w:tc>
          <w:tcPr>
            <w:tcW w:w="1000" w:type="pct"/>
            <w:shd w:val="clear" w:color="auto" w:fill="CCEEFF"/>
            <w:vAlign w:val="bottom"/>
            <w:hideMark/>
          </w:tcPr>
          <w:p w:rsidR="00000000" w:rsidRDefault="008E203B">
            <w:pPr>
              <w:pStyle w:val="a3"/>
              <w:spacing w:before="0" w:beforeAutospacing="0" w:after="0" w:afterAutospacing="0"/>
              <w:ind w:left="180"/>
              <w:rPr>
                <w:rFonts w:ascii="Times New Roman" w:hAnsi="Times New Roman" w:cs="Times New Roman"/>
                <w:sz w:val="16"/>
                <w:szCs w:val="16"/>
              </w:rPr>
            </w:pPr>
            <w:r>
              <w:rPr>
                <w:rFonts w:ascii="Times New Roman" w:hAnsi="Times New Roman" w:cs="Times New Roman"/>
                <w:sz w:val="16"/>
                <w:szCs w:val="16"/>
              </w:rPr>
              <w:t>Net income</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CCEE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144,090</w:t>
            </w:r>
          </w:p>
        </w:tc>
        <w:tc>
          <w:tcPr>
            <w:tcW w:w="50" w:type="pct"/>
            <w:shd w:val="clear" w:color="auto" w:fill="CCEE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CCEE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w:t>
            </w:r>
          </w:p>
        </w:tc>
        <w:tc>
          <w:tcPr>
            <w:tcW w:w="50" w:type="pct"/>
            <w:shd w:val="clear" w:color="auto" w:fill="CCEE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CCEE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w:t>
            </w:r>
          </w:p>
        </w:tc>
        <w:tc>
          <w:tcPr>
            <w:tcW w:w="50" w:type="pct"/>
            <w:shd w:val="clear" w:color="auto" w:fill="CCEE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CCEE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w:t>
            </w:r>
          </w:p>
        </w:tc>
        <w:tc>
          <w:tcPr>
            <w:tcW w:w="50" w:type="pct"/>
            <w:shd w:val="clear" w:color="auto" w:fill="CCEE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CCEE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w:t>
            </w:r>
          </w:p>
        </w:tc>
        <w:tc>
          <w:tcPr>
            <w:tcW w:w="50" w:type="pct"/>
            <w:shd w:val="clear" w:color="auto" w:fill="CCEE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CCEE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w:t>
            </w:r>
          </w:p>
        </w:tc>
        <w:tc>
          <w:tcPr>
            <w:tcW w:w="50" w:type="pct"/>
            <w:shd w:val="clear" w:color="auto" w:fill="CCEE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CCEE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w:t>
            </w:r>
          </w:p>
        </w:tc>
        <w:tc>
          <w:tcPr>
            <w:tcW w:w="50" w:type="pct"/>
            <w:shd w:val="clear" w:color="auto" w:fill="CCEE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CCEE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144,090</w:t>
            </w:r>
          </w:p>
        </w:tc>
        <w:tc>
          <w:tcPr>
            <w:tcW w:w="50" w:type="pct"/>
            <w:shd w:val="clear" w:color="auto" w:fill="CCEE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CCEE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(108</w:t>
            </w:r>
          </w:p>
        </w:tc>
        <w:tc>
          <w:tcPr>
            <w:tcW w:w="50" w:type="pct"/>
            <w:shd w:val="clear" w:color="auto" w:fill="CCEE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CCEE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143,982</w:t>
            </w:r>
          </w:p>
        </w:tc>
        <w:tc>
          <w:tcPr>
            <w:tcW w:w="50" w:type="pct"/>
            <w:shd w:val="clear" w:color="auto" w:fill="CCEE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r>
      <w:tr w:rsidR="008E203B">
        <w:trPr>
          <w:divId w:val="1593584240"/>
          <w:tblCellSpacing w:w="15" w:type="dxa"/>
        </w:trPr>
        <w:tc>
          <w:tcPr>
            <w:tcW w:w="1000" w:type="pct"/>
            <w:shd w:val="clear" w:color="auto" w:fill="FFFFFF"/>
            <w:vAlign w:val="bottom"/>
            <w:hideMark/>
          </w:tcPr>
          <w:p w:rsidR="00000000" w:rsidRDefault="008E203B">
            <w:pPr>
              <w:pStyle w:val="a3"/>
              <w:spacing w:before="0" w:beforeAutospacing="0" w:after="0" w:afterAutospacing="0"/>
              <w:ind w:left="360" w:hanging="180"/>
              <w:rPr>
                <w:rFonts w:ascii="Times New Roman" w:hAnsi="Times New Roman" w:cs="Times New Roman"/>
                <w:sz w:val="16"/>
                <w:szCs w:val="16"/>
              </w:rPr>
            </w:pPr>
            <w:r>
              <w:rPr>
                <w:rFonts w:ascii="Times New Roman" w:hAnsi="Times New Roman" w:cs="Times New Roman"/>
                <w:sz w:val="16"/>
                <w:szCs w:val="16"/>
              </w:rPr>
              <w:t>Other comprehensive income:</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FFFF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FFFF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FFFF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FFFF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FFFF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FFFF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FFFF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FFFF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w:t>
            </w:r>
          </w:p>
        </w:tc>
        <w:tc>
          <w:tcPr>
            <w:tcW w:w="50" w:type="pct"/>
            <w:shd w:val="clear" w:color="auto" w:fill="FFFF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FFFF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FFFF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w:t>
            </w:r>
          </w:p>
        </w:tc>
        <w:tc>
          <w:tcPr>
            <w:tcW w:w="50" w:type="pct"/>
            <w:shd w:val="clear" w:color="auto" w:fill="FFFF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r>
      <w:tr w:rsidR="008E203B">
        <w:trPr>
          <w:divId w:val="1593584240"/>
          <w:tblCellSpacing w:w="15" w:type="dxa"/>
        </w:trPr>
        <w:tc>
          <w:tcPr>
            <w:tcW w:w="1000" w:type="pct"/>
            <w:shd w:val="clear" w:color="auto" w:fill="CCEEFF"/>
            <w:vAlign w:val="bottom"/>
            <w:hideMark/>
          </w:tcPr>
          <w:p w:rsidR="00000000" w:rsidRDefault="008E203B">
            <w:pPr>
              <w:pStyle w:val="a3"/>
              <w:spacing w:before="0" w:beforeAutospacing="0" w:after="0" w:afterAutospacing="0"/>
              <w:ind w:left="540" w:hanging="180"/>
              <w:rPr>
                <w:rFonts w:ascii="Times New Roman" w:hAnsi="Times New Roman" w:cs="Times New Roman"/>
                <w:sz w:val="16"/>
                <w:szCs w:val="16"/>
              </w:rPr>
            </w:pPr>
            <w:r>
              <w:rPr>
                <w:rFonts w:ascii="Times New Roman" w:hAnsi="Times New Roman" w:cs="Times New Roman"/>
                <w:sz w:val="16"/>
                <w:szCs w:val="16"/>
              </w:rPr>
              <w:t>Change in unrealized loss on interest rate swap</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CCEE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w:t>
            </w:r>
          </w:p>
        </w:tc>
        <w:tc>
          <w:tcPr>
            <w:tcW w:w="50" w:type="pct"/>
            <w:shd w:val="clear" w:color="auto" w:fill="CCEE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CCEE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278</w:t>
            </w:r>
          </w:p>
        </w:tc>
        <w:tc>
          <w:tcPr>
            <w:tcW w:w="50" w:type="pct"/>
            <w:shd w:val="clear" w:color="auto" w:fill="CCEE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CCEE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w:t>
            </w:r>
          </w:p>
        </w:tc>
        <w:tc>
          <w:tcPr>
            <w:tcW w:w="50" w:type="pct"/>
            <w:shd w:val="clear" w:color="auto" w:fill="CCEE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CCEE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w:t>
            </w:r>
          </w:p>
        </w:tc>
        <w:tc>
          <w:tcPr>
            <w:tcW w:w="50" w:type="pct"/>
            <w:shd w:val="clear" w:color="auto" w:fill="CCEE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CCEE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w:t>
            </w:r>
          </w:p>
        </w:tc>
        <w:tc>
          <w:tcPr>
            <w:tcW w:w="50" w:type="pct"/>
            <w:shd w:val="clear" w:color="auto" w:fill="CCEE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CCEE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w:t>
            </w:r>
          </w:p>
        </w:tc>
        <w:tc>
          <w:tcPr>
            <w:tcW w:w="50" w:type="pct"/>
            <w:shd w:val="clear" w:color="auto" w:fill="CCEE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CCEE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w:t>
            </w:r>
          </w:p>
        </w:tc>
        <w:tc>
          <w:tcPr>
            <w:tcW w:w="50" w:type="pct"/>
            <w:shd w:val="clear" w:color="auto" w:fill="CCEE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CCEE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278</w:t>
            </w:r>
          </w:p>
        </w:tc>
        <w:tc>
          <w:tcPr>
            <w:tcW w:w="50" w:type="pct"/>
            <w:shd w:val="clear" w:color="auto" w:fill="CCEE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CCEE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w:t>
            </w:r>
          </w:p>
        </w:tc>
        <w:tc>
          <w:tcPr>
            <w:tcW w:w="50" w:type="pct"/>
            <w:shd w:val="clear" w:color="auto" w:fill="CCEE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CCEE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278</w:t>
            </w:r>
          </w:p>
        </w:tc>
        <w:tc>
          <w:tcPr>
            <w:tcW w:w="50" w:type="pct"/>
            <w:shd w:val="clear" w:color="auto" w:fill="CCEE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r>
      <w:tr w:rsidR="008E203B">
        <w:trPr>
          <w:divId w:val="1593584240"/>
          <w:tblCellSpacing w:w="15" w:type="dxa"/>
        </w:trPr>
        <w:tc>
          <w:tcPr>
            <w:tcW w:w="1000" w:type="pct"/>
            <w:shd w:val="clear" w:color="auto" w:fill="FFFFFF"/>
            <w:vAlign w:val="bottom"/>
            <w:hideMark/>
          </w:tcPr>
          <w:p w:rsidR="00000000" w:rsidRDefault="008E203B">
            <w:pPr>
              <w:pStyle w:val="a3"/>
              <w:spacing w:before="0" w:beforeAutospacing="0" w:after="0" w:afterAutospacing="0"/>
              <w:ind w:left="180" w:hanging="180"/>
              <w:rPr>
                <w:rFonts w:ascii="Times New Roman" w:hAnsi="Times New Roman" w:cs="Times New Roman"/>
                <w:sz w:val="16"/>
                <w:szCs w:val="16"/>
              </w:rPr>
            </w:pPr>
            <w:r>
              <w:rPr>
                <w:rFonts w:ascii="Times New Roman" w:hAnsi="Times New Roman" w:cs="Times New Roman"/>
                <w:sz w:val="16"/>
                <w:szCs w:val="16"/>
              </w:rPr>
              <w:t>Redeemable noncontrolling interests income</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FFFF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w:t>
            </w:r>
          </w:p>
        </w:tc>
        <w:tc>
          <w:tcPr>
            <w:tcW w:w="50" w:type="pct"/>
            <w:shd w:val="clear" w:color="auto" w:fill="FFFF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FFFF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w:t>
            </w:r>
          </w:p>
        </w:tc>
        <w:tc>
          <w:tcPr>
            <w:tcW w:w="50" w:type="pct"/>
            <w:shd w:val="clear" w:color="auto" w:fill="FFFF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FFFF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w:t>
            </w:r>
          </w:p>
        </w:tc>
        <w:tc>
          <w:tcPr>
            <w:tcW w:w="50" w:type="pct"/>
            <w:shd w:val="clear" w:color="auto" w:fill="FFFF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FFFF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w:t>
            </w:r>
          </w:p>
        </w:tc>
        <w:tc>
          <w:tcPr>
            <w:tcW w:w="50" w:type="pct"/>
            <w:shd w:val="clear" w:color="auto" w:fill="FFFF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FFFF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w:t>
            </w:r>
          </w:p>
        </w:tc>
        <w:tc>
          <w:tcPr>
            <w:tcW w:w="50" w:type="pct"/>
            <w:shd w:val="clear" w:color="auto" w:fill="FFFF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FFFF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w:t>
            </w:r>
          </w:p>
        </w:tc>
        <w:tc>
          <w:tcPr>
            <w:tcW w:w="50" w:type="pct"/>
            <w:shd w:val="clear" w:color="auto" w:fill="FFFF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FFFF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w:t>
            </w:r>
          </w:p>
        </w:tc>
        <w:tc>
          <w:tcPr>
            <w:tcW w:w="50" w:type="pct"/>
            <w:shd w:val="clear" w:color="auto" w:fill="FFFF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FFFF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w:t>
            </w:r>
          </w:p>
        </w:tc>
        <w:tc>
          <w:tcPr>
            <w:tcW w:w="50" w:type="pct"/>
            <w:shd w:val="clear" w:color="auto" w:fill="FFFF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FFFF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(92</w:t>
            </w:r>
          </w:p>
        </w:tc>
        <w:tc>
          <w:tcPr>
            <w:tcW w:w="50" w:type="pct"/>
            <w:shd w:val="clear" w:color="auto" w:fill="FFFF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FFFF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(92</w:t>
            </w:r>
          </w:p>
        </w:tc>
        <w:tc>
          <w:tcPr>
            <w:tcW w:w="50" w:type="pct"/>
            <w:shd w:val="clear" w:color="auto" w:fill="FFFF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w:t>
            </w:r>
          </w:p>
        </w:tc>
      </w:tr>
      <w:tr w:rsidR="008E203B">
        <w:trPr>
          <w:divId w:val="1593584240"/>
          <w:tblCellSpacing w:w="15" w:type="dxa"/>
        </w:trPr>
        <w:tc>
          <w:tcPr>
            <w:tcW w:w="1000" w:type="pct"/>
            <w:shd w:val="clear" w:color="auto" w:fill="CCEEFF"/>
            <w:vAlign w:val="bottom"/>
            <w:hideMark/>
          </w:tcPr>
          <w:p w:rsidR="00000000" w:rsidRDefault="008E203B">
            <w:pPr>
              <w:pStyle w:val="a3"/>
              <w:spacing w:before="0" w:beforeAutospacing="0" w:after="0" w:afterAutospacing="0"/>
              <w:ind w:left="180" w:hanging="180"/>
              <w:rPr>
                <w:rFonts w:ascii="Times New Roman" w:hAnsi="Times New Roman" w:cs="Times New Roman"/>
                <w:sz w:val="16"/>
                <w:szCs w:val="16"/>
              </w:rPr>
            </w:pPr>
            <w:r>
              <w:rPr>
                <w:rFonts w:ascii="Times New Roman" w:hAnsi="Times New Roman" w:cs="Times New Roman"/>
                <w:sz w:val="16"/>
                <w:szCs w:val="16"/>
              </w:rPr>
              <w:t>Dividends declared to common and preferred shares</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CCEE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(133,560</w:t>
            </w:r>
          </w:p>
        </w:tc>
        <w:tc>
          <w:tcPr>
            <w:tcW w:w="50" w:type="pct"/>
            <w:shd w:val="clear" w:color="auto" w:fill="CCEE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CCEE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w:t>
            </w:r>
          </w:p>
        </w:tc>
        <w:tc>
          <w:tcPr>
            <w:tcW w:w="50" w:type="pct"/>
            <w:shd w:val="clear" w:color="auto" w:fill="CCEE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CCEE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w:t>
            </w:r>
          </w:p>
        </w:tc>
        <w:tc>
          <w:tcPr>
            <w:tcW w:w="50" w:type="pct"/>
            <w:shd w:val="clear" w:color="auto" w:fill="CCEE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CCEE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w:t>
            </w:r>
          </w:p>
        </w:tc>
        <w:tc>
          <w:tcPr>
            <w:tcW w:w="50" w:type="pct"/>
            <w:shd w:val="clear" w:color="auto" w:fill="CCEE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CCEE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w:t>
            </w:r>
          </w:p>
        </w:tc>
        <w:tc>
          <w:tcPr>
            <w:tcW w:w="50" w:type="pct"/>
            <w:shd w:val="clear" w:color="auto" w:fill="CCEE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CCEE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w:t>
            </w:r>
          </w:p>
        </w:tc>
        <w:tc>
          <w:tcPr>
            <w:tcW w:w="50" w:type="pct"/>
            <w:shd w:val="clear" w:color="auto" w:fill="CCEE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CCEE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w:t>
            </w:r>
          </w:p>
        </w:tc>
        <w:tc>
          <w:tcPr>
            <w:tcW w:w="50" w:type="pct"/>
            <w:shd w:val="clear" w:color="auto" w:fill="CCEE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CCEE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(133,560</w:t>
            </w:r>
          </w:p>
        </w:tc>
        <w:tc>
          <w:tcPr>
            <w:tcW w:w="50" w:type="pct"/>
            <w:shd w:val="clear" w:color="auto" w:fill="CCEE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CCEE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w:t>
            </w:r>
          </w:p>
        </w:tc>
        <w:tc>
          <w:tcPr>
            <w:tcW w:w="50" w:type="pct"/>
            <w:shd w:val="clear" w:color="auto" w:fill="CCEE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CCEE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(133,560</w:t>
            </w:r>
          </w:p>
        </w:tc>
        <w:tc>
          <w:tcPr>
            <w:tcW w:w="50" w:type="pct"/>
            <w:shd w:val="clear" w:color="auto" w:fill="CCEE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w:t>
            </w:r>
          </w:p>
        </w:tc>
      </w:tr>
      <w:tr w:rsidR="008E203B">
        <w:trPr>
          <w:divId w:val="1593584240"/>
          <w:tblCellSpacing w:w="15" w:type="dxa"/>
        </w:trPr>
        <w:tc>
          <w:tcPr>
            <w:tcW w:w="1000" w:type="pct"/>
            <w:shd w:val="clear" w:color="auto" w:fill="FFFFFF"/>
            <w:vAlign w:val="bottom"/>
            <w:hideMark/>
          </w:tcPr>
          <w:p w:rsidR="00000000" w:rsidRDefault="008E203B">
            <w:pPr>
              <w:pStyle w:val="a3"/>
              <w:spacing w:before="0" w:beforeAutospacing="0" w:after="0" w:afterAutospacing="0"/>
              <w:ind w:left="180" w:hanging="180"/>
              <w:rPr>
                <w:rFonts w:ascii="Times New Roman" w:hAnsi="Times New Roman" w:cs="Times New Roman"/>
                <w:sz w:val="16"/>
                <w:szCs w:val="16"/>
              </w:rPr>
            </w:pPr>
            <w:r>
              <w:rPr>
                <w:rFonts w:ascii="Times New Roman" w:hAnsi="Times New Roman" w:cs="Times New Roman"/>
                <w:sz w:val="16"/>
                <w:szCs w:val="16"/>
              </w:rPr>
              <w:t>Distributions to noncontrolling interests</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FFFF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w:t>
            </w:r>
          </w:p>
        </w:tc>
        <w:tc>
          <w:tcPr>
            <w:tcW w:w="50" w:type="pct"/>
            <w:shd w:val="clear" w:color="auto" w:fill="FFFF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FFFF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w:t>
            </w:r>
          </w:p>
        </w:tc>
        <w:tc>
          <w:tcPr>
            <w:tcW w:w="50" w:type="pct"/>
            <w:shd w:val="clear" w:color="auto" w:fill="FFFF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FFFF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w:t>
            </w:r>
          </w:p>
        </w:tc>
        <w:tc>
          <w:tcPr>
            <w:tcW w:w="50" w:type="pct"/>
            <w:shd w:val="clear" w:color="auto" w:fill="FFFF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FFFF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w:t>
            </w:r>
          </w:p>
        </w:tc>
        <w:tc>
          <w:tcPr>
            <w:tcW w:w="50" w:type="pct"/>
            <w:shd w:val="clear" w:color="auto" w:fill="FFFF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FFFF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w:t>
            </w:r>
          </w:p>
        </w:tc>
        <w:tc>
          <w:tcPr>
            <w:tcW w:w="50" w:type="pct"/>
            <w:shd w:val="clear" w:color="auto" w:fill="FFFF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FFFF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w:t>
            </w:r>
          </w:p>
        </w:tc>
        <w:tc>
          <w:tcPr>
            <w:tcW w:w="50" w:type="pct"/>
            <w:shd w:val="clear" w:color="auto" w:fill="FFFF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FFFF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w:t>
            </w:r>
          </w:p>
        </w:tc>
        <w:tc>
          <w:tcPr>
            <w:tcW w:w="50" w:type="pct"/>
            <w:shd w:val="clear" w:color="auto" w:fill="FFFF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FFFF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w:t>
            </w:r>
          </w:p>
        </w:tc>
        <w:tc>
          <w:tcPr>
            <w:tcW w:w="50" w:type="pct"/>
            <w:shd w:val="clear" w:color="auto" w:fill="FFFF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FFFF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(1,472</w:t>
            </w:r>
          </w:p>
        </w:tc>
        <w:tc>
          <w:tcPr>
            <w:tcW w:w="50" w:type="pct"/>
            <w:shd w:val="clear" w:color="auto" w:fill="FFFF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FFFF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(1,472</w:t>
            </w:r>
          </w:p>
        </w:tc>
        <w:tc>
          <w:tcPr>
            <w:tcW w:w="50" w:type="pct"/>
            <w:shd w:val="clear" w:color="auto" w:fill="FFFF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w:t>
            </w:r>
          </w:p>
        </w:tc>
      </w:tr>
      <w:tr w:rsidR="008E203B">
        <w:trPr>
          <w:divId w:val="1593584240"/>
          <w:tblCellSpacing w:w="15" w:type="dxa"/>
        </w:trPr>
        <w:tc>
          <w:tcPr>
            <w:tcW w:w="1000" w:type="pct"/>
            <w:shd w:val="clear" w:color="auto" w:fill="CCEEFF"/>
            <w:vAlign w:val="bottom"/>
            <w:hideMark/>
          </w:tcPr>
          <w:p w:rsidR="00000000" w:rsidRDefault="008E203B">
            <w:pPr>
              <w:pStyle w:val="a3"/>
              <w:spacing w:before="0" w:beforeAutospacing="0" w:after="0" w:afterAutospacing="0"/>
              <w:ind w:left="180" w:hanging="180"/>
              <w:rPr>
                <w:rFonts w:ascii="Times New Roman" w:hAnsi="Times New Roman" w:cs="Times New Roman"/>
                <w:sz w:val="16"/>
                <w:szCs w:val="16"/>
              </w:rPr>
            </w:pPr>
            <w:r>
              <w:rPr>
                <w:rFonts w:ascii="Times New Roman" w:hAnsi="Times New Roman" w:cs="Times New Roman"/>
                <w:sz w:val="16"/>
                <w:szCs w:val="16"/>
              </w:rPr>
              <w:t>Issuance of common stock</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CCEE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w:t>
            </w:r>
          </w:p>
        </w:tc>
        <w:tc>
          <w:tcPr>
            <w:tcW w:w="50" w:type="pct"/>
            <w:shd w:val="clear" w:color="auto" w:fill="CCEE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CCEE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w:t>
            </w:r>
          </w:p>
        </w:tc>
        <w:tc>
          <w:tcPr>
            <w:tcW w:w="50" w:type="pct"/>
            <w:shd w:val="clear" w:color="auto" w:fill="CCEE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CCEE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w:t>
            </w:r>
          </w:p>
        </w:tc>
        <w:tc>
          <w:tcPr>
            <w:tcW w:w="50" w:type="pct"/>
            <w:shd w:val="clear" w:color="auto" w:fill="CCEE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CCEE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w:t>
            </w:r>
          </w:p>
        </w:tc>
        <w:tc>
          <w:tcPr>
            <w:tcW w:w="50" w:type="pct"/>
            <w:shd w:val="clear" w:color="auto" w:fill="CCEE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CCEE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1,075</w:t>
            </w:r>
          </w:p>
        </w:tc>
        <w:tc>
          <w:tcPr>
            <w:tcW w:w="50" w:type="pct"/>
            <w:shd w:val="clear" w:color="auto" w:fill="CCEE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CCEE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11</w:t>
            </w:r>
          </w:p>
        </w:tc>
        <w:tc>
          <w:tcPr>
            <w:tcW w:w="50" w:type="pct"/>
            <w:shd w:val="clear" w:color="auto" w:fill="CCEE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CCEE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(11</w:t>
            </w:r>
          </w:p>
        </w:tc>
        <w:tc>
          <w:tcPr>
            <w:tcW w:w="50" w:type="pct"/>
            <w:shd w:val="clear" w:color="auto" w:fill="CCEE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CCEE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w:t>
            </w:r>
          </w:p>
        </w:tc>
        <w:tc>
          <w:tcPr>
            <w:tcW w:w="50" w:type="pct"/>
            <w:shd w:val="clear" w:color="auto" w:fill="CCEE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CCEE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w:t>
            </w:r>
          </w:p>
        </w:tc>
        <w:tc>
          <w:tcPr>
            <w:tcW w:w="50" w:type="pct"/>
            <w:shd w:val="clear" w:color="auto" w:fill="CCEE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CCEE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w:t>
            </w:r>
          </w:p>
        </w:tc>
        <w:tc>
          <w:tcPr>
            <w:tcW w:w="50" w:type="pct"/>
            <w:shd w:val="clear" w:color="auto" w:fill="CCEE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r>
      <w:tr w:rsidR="008E203B">
        <w:trPr>
          <w:divId w:val="1593584240"/>
          <w:tblCellSpacing w:w="15" w:type="dxa"/>
        </w:trPr>
        <w:tc>
          <w:tcPr>
            <w:tcW w:w="1000" w:type="pct"/>
            <w:shd w:val="clear" w:color="auto" w:fill="FFFFFF"/>
            <w:vAlign w:val="bottom"/>
            <w:hideMark/>
          </w:tcPr>
          <w:p w:rsidR="00000000" w:rsidRDefault="008E203B">
            <w:pPr>
              <w:pStyle w:val="a3"/>
              <w:spacing w:before="0" w:beforeAutospacing="0" w:after="0" w:afterAutospacing="0"/>
              <w:ind w:left="180" w:hanging="180"/>
              <w:rPr>
                <w:rFonts w:ascii="Times New Roman" w:hAnsi="Times New Roman" w:cs="Times New Roman"/>
                <w:sz w:val="16"/>
                <w:szCs w:val="16"/>
              </w:rPr>
            </w:pPr>
            <w:r>
              <w:rPr>
                <w:rFonts w:ascii="Times New Roman" w:hAnsi="Times New Roman" w:cs="Times New Roman"/>
                <w:sz w:val="16"/>
                <w:szCs w:val="16"/>
              </w:rPr>
              <w:t>Repurchase of common stock</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FFFF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w:t>
            </w:r>
          </w:p>
        </w:tc>
        <w:tc>
          <w:tcPr>
            <w:tcW w:w="50" w:type="pct"/>
            <w:shd w:val="clear" w:color="auto" w:fill="FFFF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FFFF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w:t>
            </w:r>
          </w:p>
        </w:tc>
        <w:tc>
          <w:tcPr>
            <w:tcW w:w="50" w:type="pct"/>
            <w:shd w:val="clear" w:color="auto" w:fill="FFFF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FFFF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w:t>
            </w:r>
          </w:p>
        </w:tc>
        <w:tc>
          <w:tcPr>
            <w:tcW w:w="50" w:type="pct"/>
            <w:shd w:val="clear" w:color="auto" w:fill="FFFF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FFFF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w:t>
            </w:r>
          </w:p>
        </w:tc>
        <w:tc>
          <w:tcPr>
            <w:tcW w:w="50" w:type="pct"/>
            <w:shd w:val="clear" w:color="auto" w:fill="FFFF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FFFF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(1,600</w:t>
            </w:r>
          </w:p>
        </w:tc>
        <w:tc>
          <w:tcPr>
            <w:tcW w:w="50" w:type="pct"/>
            <w:shd w:val="clear" w:color="auto" w:fill="FFFF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FFFF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(16</w:t>
            </w:r>
          </w:p>
        </w:tc>
        <w:tc>
          <w:tcPr>
            <w:tcW w:w="50" w:type="pct"/>
            <w:shd w:val="clear" w:color="auto" w:fill="FFFF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FFFF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(24,260</w:t>
            </w:r>
          </w:p>
        </w:tc>
        <w:tc>
          <w:tcPr>
            <w:tcW w:w="50" w:type="pct"/>
            <w:shd w:val="clear" w:color="auto" w:fill="FFFF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FFFF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(24,276</w:t>
            </w:r>
          </w:p>
        </w:tc>
        <w:tc>
          <w:tcPr>
            <w:tcW w:w="50" w:type="pct"/>
            <w:shd w:val="clear" w:color="auto" w:fill="FFFF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FFFF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w:t>
            </w:r>
          </w:p>
        </w:tc>
        <w:tc>
          <w:tcPr>
            <w:tcW w:w="50" w:type="pct"/>
            <w:shd w:val="clear" w:color="auto" w:fill="FFFF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FFFF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(24,276</w:t>
            </w:r>
          </w:p>
        </w:tc>
        <w:tc>
          <w:tcPr>
            <w:tcW w:w="50" w:type="pct"/>
            <w:shd w:val="clear" w:color="auto" w:fill="FFFF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w:t>
            </w:r>
          </w:p>
        </w:tc>
      </w:tr>
      <w:tr w:rsidR="008E203B">
        <w:trPr>
          <w:divId w:val="1593584240"/>
          <w:tblCellSpacing w:w="15" w:type="dxa"/>
        </w:trPr>
        <w:tc>
          <w:tcPr>
            <w:tcW w:w="1000" w:type="pct"/>
            <w:shd w:val="clear" w:color="auto" w:fill="CCEEFF"/>
            <w:vAlign w:val="bottom"/>
            <w:hideMark/>
          </w:tcPr>
          <w:p w:rsidR="00000000" w:rsidRDefault="008E203B">
            <w:pPr>
              <w:pStyle w:val="a3"/>
              <w:spacing w:before="0" w:beforeAutospacing="0" w:after="0" w:afterAutospacing="0"/>
              <w:ind w:left="180" w:hanging="180"/>
              <w:rPr>
                <w:rFonts w:ascii="Times New Roman" w:hAnsi="Times New Roman" w:cs="Times New Roman"/>
                <w:sz w:val="16"/>
                <w:szCs w:val="16"/>
              </w:rPr>
            </w:pPr>
            <w:r>
              <w:rPr>
                <w:rFonts w:ascii="Times New Roman" w:hAnsi="Times New Roman" w:cs="Times New Roman"/>
                <w:sz w:val="16"/>
                <w:szCs w:val="16"/>
              </w:rPr>
              <w:t>Surrender of restricted stock</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CCEE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w:t>
            </w:r>
          </w:p>
        </w:tc>
        <w:tc>
          <w:tcPr>
            <w:tcW w:w="50" w:type="pct"/>
            <w:shd w:val="clear" w:color="auto" w:fill="CCEE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CCEE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w:t>
            </w:r>
          </w:p>
        </w:tc>
        <w:tc>
          <w:tcPr>
            <w:tcW w:w="50" w:type="pct"/>
            <w:shd w:val="clear" w:color="auto" w:fill="CCEE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CCEE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w:t>
            </w:r>
          </w:p>
        </w:tc>
        <w:tc>
          <w:tcPr>
            <w:tcW w:w="50" w:type="pct"/>
            <w:shd w:val="clear" w:color="auto" w:fill="CCEE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CCEE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w:t>
            </w:r>
          </w:p>
        </w:tc>
        <w:tc>
          <w:tcPr>
            <w:tcW w:w="50" w:type="pct"/>
            <w:shd w:val="clear" w:color="auto" w:fill="CCEE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CCEE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(224</w:t>
            </w:r>
          </w:p>
        </w:tc>
        <w:tc>
          <w:tcPr>
            <w:tcW w:w="50" w:type="pct"/>
            <w:shd w:val="clear" w:color="auto" w:fill="CCEE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CCEE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(2</w:t>
            </w:r>
          </w:p>
        </w:tc>
        <w:tc>
          <w:tcPr>
            <w:tcW w:w="50" w:type="pct"/>
            <w:shd w:val="clear" w:color="auto" w:fill="CCEE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CCEE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(3,372</w:t>
            </w:r>
          </w:p>
        </w:tc>
        <w:tc>
          <w:tcPr>
            <w:tcW w:w="50" w:type="pct"/>
            <w:shd w:val="clear" w:color="auto" w:fill="CCEE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CCEE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(3,374</w:t>
            </w:r>
          </w:p>
        </w:tc>
        <w:tc>
          <w:tcPr>
            <w:tcW w:w="50" w:type="pct"/>
            <w:shd w:val="clear" w:color="auto" w:fill="CCEE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CCEE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w:t>
            </w:r>
          </w:p>
        </w:tc>
        <w:tc>
          <w:tcPr>
            <w:tcW w:w="50" w:type="pct"/>
            <w:shd w:val="clear" w:color="auto" w:fill="CCEE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CCEE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(3,374</w:t>
            </w:r>
          </w:p>
        </w:tc>
        <w:tc>
          <w:tcPr>
            <w:tcW w:w="50" w:type="pct"/>
            <w:shd w:val="clear" w:color="auto" w:fill="CCEE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w:t>
            </w:r>
          </w:p>
        </w:tc>
      </w:tr>
      <w:tr w:rsidR="008E203B">
        <w:trPr>
          <w:divId w:val="1593584240"/>
          <w:tblCellSpacing w:w="15" w:type="dxa"/>
        </w:trPr>
        <w:tc>
          <w:tcPr>
            <w:tcW w:w="1000" w:type="pct"/>
            <w:shd w:val="clear" w:color="auto" w:fill="FFFFFF"/>
            <w:vAlign w:val="bottom"/>
            <w:hideMark/>
          </w:tcPr>
          <w:p w:rsidR="00000000" w:rsidRDefault="008E203B">
            <w:pPr>
              <w:pStyle w:val="a3"/>
              <w:spacing w:before="0" w:beforeAutospacing="0" w:after="0" w:afterAutospacing="0"/>
              <w:ind w:left="180" w:hanging="180"/>
              <w:rPr>
                <w:rFonts w:ascii="Times New Roman" w:hAnsi="Times New Roman" w:cs="Times New Roman"/>
                <w:sz w:val="16"/>
                <w:szCs w:val="16"/>
              </w:rPr>
            </w:pPr>
            <w:r>
              <w:rPr>
                <w:rFonts w:ascii="Times New Roman" w:hAnsi="Times New Roman" w:cs="Times New Roman"/>
                <w:sz w:val="16"/>
                <w:szCs w:val="16"/>
              </w:rPr>
              <w:t>Exercise of common stock options</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FFFF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w:t>
            </w:r>
          </w:p>
        </w:tc>
        <w:tc>
          <w:tcPr>
            <w:tcW w:w="50" w:type="pct"/>
            <w:shd w:val="clear" w:color="auto" w:fill="FFFF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FFFF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w:t>
            </w:r>
          </w:p>
        </w:tc>
        <w:tc>
          <w:tcPr>
            <w:tcW w:w="50" w:type="pct"/>
            <w:shd w:val="clear" w:color="auto" w:fill="FFFF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FFFF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w:t>
            </w:r>
          </w:p>
        </w:tc>
        <w:tc>
          <w:tcPr>
            <w:tcW w:w="50" w:type="pct"/>
            <w:shd w:val="clear" w:color="auto" w:fill="FFFF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FFFF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w:t>
            </w:r>
          </w:p>
        </w:tc>
        <w:tc>
          <w:tcPr>
            <w:tcW w:w="50" w:type="pct"/>
            <w:shd w:val="clear" w:color="auto" w:fill="FFFF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FFFF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3</w:t>
            </w:r>
          </w:p>
        </w:tc>
        <w:tc>
          <w:tcPr>
            <w:tcW w:w="50" w:type="pct"/>
            <w:shd w:val="clear" w:color="auto" w:fill="FFFF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FFFF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w:t>
            </w:r>
          </w:p>
        </w:tc>
        <w:tc>
          <w:tcPr>
            <w:tcW w:w="50" w:type="pct"/>
            <w:shd w:val="clear" w:color="auto" w:fill="FFFF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FFFF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30</w:t>
            </w:r>
          </w:p>
        </w:tc>
        <w:tc>
          <w:tcPr>
            <w:tcW w:w="50" w:type="pct"/>
            <w:shd w:val="clear" w:color="auto" w:fill="FFFF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FFFF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30</w:t>
            </w:r>
          </w:p>
        </w:tc>
        <w:tc>
          <w:tcPr>
            <w:tcW w:w="50" w:type="pct"/>
            <w:shd w:val="clear" w:color="auto" w:fill="FFFF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FFFF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w:t>
            </w:r>
          </w:p>
        </w:tc>
        <w:tc>
          <w:tcPr>
            <w:tcW w:w="50" w:type="pct"/>
            <w:shd w:val="clear" w:color="auto" w:fill="FFFF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FFFF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30</w:t>
            </w:r>
          </w:p>
        </w:tc>
        <w:tc>
          <w:tcPr>
            <w:tcW w:w="50" w:type="pct"/>
            <w:shd w:val="clear" w:color="auto" w:fill="FFFF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r>
      <w:tr w:rsidR="008E203B">
        <w:trPr>
          <w:divId w:val="1593584240"/>
          <w:tblCellSpacing w:w="15" w:type="dxa"/>
        </w:trPr>
        <w:tc>
          <w:tcPr>
            <w:tcW w:w="1000" w:type="pct"/>
            <w:shd w:val="clear" w:color="auto" w:fill="CCEEFF"/>
            <w:vAlign w:val="bottom"/>
            <w:hideMark/>
          </w:tcPr>
          <w:p w:rsidR="00000000" w:rsidRDefault="008E203B">
            <w:pPr>
              <w:pStyle w:val="a3"/>
              <w:spacing w:before="0" w:beforeAutospacing="0" w:after="0" w:afterAutospacing="0"/>
              <w:ind w:left="180" w:hanging="180"/>
              <w:rPr>
                <w:rFonts w:ascii="Times New Roman" w:hAnsi="Times New Roman" w:cs="Times New Roman"/>
                <w:sz w:val="16"/>
                <w:szCs w:val="16"/>
              </w:rPr>
            </w:pPr>
            <w:r>
              <w:rPr>
                <w:rFonts w:ascii="Times New Roman" w:hAnsi="Times New Roman" w:cs="Times New Roman"/>
                <w:sz w:val="16"/>
                <w:szCs w:val="16"/>
              </w:rPr>
              <w:t>Amortization of equity awards</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CCEE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w:t>
            </w:r>
          </w:p>
        </w:tc>
        <w:tc>
          <w:tcPr>
            <w:tcW w:w="50" w:type="pct"/>
            <w:shd w:val="clear" w:color="auto" w:fill="CCEE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CCEE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w:t>
            </w:r>
          </w:p>
        </w:tc>
        <w:tc>
          <w:tcPr>
            <w:tcW w:w="50" w:type="pct"/>
            <w:shd w:val="clear" w:color="auto" w:fill="CCEE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CCEE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w:t>
            </w:r>
          </w:p>
        </w:tc>
        <w:tc>
          <w:tcPr>
            <w:tcW w:w="50" w:type="pct"/>
            <w:shd w:val="clear" w:color="auto" w:fill="CCEE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CCEE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w:t>
            </w:r>
          </w:p>
        </w:tc>
        <w:tc>
          <w:tcPr>
            <w:tcW w:w="50" w:type="pct"/>
            <w:shd w:val="clear" w:color="auto" w:fill="CCEE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CCEE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w:t>
            </w:r>
          </w:p>
        </w:tc>
        <w:tc>
          <w:tcPr>
            <w:tcW w:w="50" w:type="pct"/>
            <w:shd w:val="clear" w:color="auto" w:fill="CCEE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CCEE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w:t>
            </w:r>
          </w:p>
        </w:tc>
        <w:tc>
          <w:tcPr>
            <w:tcW w:w="50" w:type="pct"/>
            <w:shd w:val="clear" w:color="auto" w:fill="CCEE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CCEE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4,719</w:t>
            </w:r>
          </w:p>
        </w:tc>
        <w:tc>
          <w:tcPr>
            <w:tcW w:w="50" w:type="pct"/>
            <w:shd w:val="clear" w:color="auto" w:fill="CCEE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CCEE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4,719</w:t>
            </w:r>
          </w:p>
        </w:tc>
        <w:tc>
          <w:tcPr>
            <w:tcW w:w="50" w:type="pct"/>
            <w:shd w:val="clear" w:color="auto" w:fill="CCEE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CCEE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w:t>
            </w:r>
          </w:p>
        </w:tc>
        <w:tc>
          <w:tcPr>
            <w:tcW w:w="50" w:type="pct"/>
            <w:shd w:val="clear" w:color="auto" w:fill="CCEE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CCEE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4,719</w:t>
            </w:r>
          </w:p>
        </w:tc>
        <w:tc>
          <w:tcPr>
            <w:tcW w:w="50" w:type="pct"/>
            <w:shd w:val="clear" w:color="auto" w:fill="CCEE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r>
      <w:tr w:rsidR="008E203B">
        <w:trPr>
          <w:divId w:val="1593584240"/>
          <w:tblCellSpacing w:w="15" w:type="dxa"/>
        </w:trPr>
        <w:tc>
          <w:tcPr>
            <w:tcW w:w="1000" w:type="pct"/>
            <w:shd w:val="clear" w:color="auto" w:fill="FFFFFF"/>
            <w:vAlign w:val="bottom"/>
            <w:hideMark/>
          </w:tcPr>
          <w:p w:rsidR="00000000" w:rsidRDefault="008E203B">
            <w:pPr>
              <w:pStyle w:val="a3"/>
              <w:spacing w:before="0" w:beforeAutospacing="0" w:after="0" w:afterAutospacing="0"/>
              <w:ind w:left="180" w:hanging="180"/>
              <w:rPr>
                <w:rFonts w:ascii="Times New Roman" w:hAnsi="Times New Roman" w:cs="Times New Roman"/>
                <w:sz w:val="16"/>
                <w:szCs w:val="16"/>
              </w:rPr>
            </w:pPr>
            <w:r>
              <w:rPr>
                <w:rFonts w:ascii="Times New Roman" w:hAnsi="Times New Roman" w:cs="Times New Roman"/>
                <w:sz w:val="16"/>
                <w:szCs w:val="16"/>
              </w:rPr>
              <w:t>Issuance of preferred stock</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FFFF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w:t>
            </w:r>
          </w:p>
        </w:tc>
        <w:tc>
          <w:tcPr>
            <w:tcW w:w="50" w:type="pct"/>
            <w:shd w:val="clear" w:color="auto" w:fill="FFFF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FFFF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w:t>
            </w:r>
          </w:p>
        </w:tc>
        <w:tc>
          <w:tcPr>
            <w:tcW w:w="50" w:type="pct"/>
            <w:shd w:val="clear" w:color="auto" w:fill="FFFF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FFFF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2</w:t>
            </w:r>
          </w:p>
        </w:tc>
        <w:tc>
          <w:tcPr>
            <w:tcW w:w="50" w:type="pct"/>
            <w:shd w:val="clear" w:color="auto" w:fill="FFFF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FFFF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2</w:t>
            </w:r>
          </w:p>
        </w:tc>
        <w:tc>
          <w:tcPr>
            <w:tcW w:w="50" w:type="pct"/>
            <w:shd w:val="clear" w:color="auto" w:fill="FFFF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FFFF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w:t>
            </w:r>
          </w:p>
        </w:tc>
        <w:tc>
          <w:tcPr>
            <w:tcW w:w="50" w:type="pct"/>
            <w:shd w:val="clear" w:color="auto" w:fill="FFFF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FFFF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w:t>
            </w:r>
          </w:p>
        </w:tc>
        <w:tc>
          <w:tcPr>
            <w:tcW w:w="50" w:type="pct"/>
            <w:shd w:val="clear" w:color="auto" w:fill="FFFF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FFFF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33,112</w:t>
            </w:r>
          </w:p>
        </w:tc>
        <w:tc>
          <w:tcPr>
            <w:tcW w:w="50" w:type="pct"/>
            <w:shd w:val="clear" w:color="auto" w:fill="FFFF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FFFF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33,114</w:t>
            </w:r>
          </w:p>
        </w:tc>
        <w:tc>
          <w:tcPr>
            <w:tcW w:w="50" w:type="pct"/>
            <w:shd w:val="clear" w:color="auto" w:fill="FFFF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FFFF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w:t>
            </w:r>
          </w:p>
        </w:tc>
        <w:tc>
          <w:tcPr>
            <w:tcW w:w="50" w:type="pct"/>
            <w:shd w:val="clear" w:color="auto" w:fill="FFFF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FFFF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33,114</w:t>
            </w:r>
          </w:p>
        </w:tc>
        <w:tc>
          <w:tcPr>
            <w:tcW w:w="50" w:type="pct"/>
            <w:shd w:val="clear" w:color="auto" w:fill="FFFF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r>
      <w:tr w:rsidR="008E203B">
        <w:trPr>
          <w:divId w:val="1593584240"/>
          <w:tblCellSpacing w:w="15" w:type="dxa"/>
        </w:trPr>
        <w:tc>
          <w:tcPr>
            <w:tcW w:w="1000" w:type="pct"/>
            <w:shd w:val="clear" w:color="auto" w:fill="CCEEFF"/>
            <w:vAlign w:val="bottom"/>
            <w:hideMark/>
          </w:tcPr>
          <w:p w:rsidR="00000000" w:rsidRDefault="008E203B">
            <w:pPr>
              <w:pStyle w:val="a3"/>
              <w:spacing w:before="0" w:beforeAutospacing="0" w:after="0" w:afterAutospacing="0"/>
              <w:ind w:left="180" w:hanging="180"/>
              <w:rPr>
                <w:rFonts w:ascii="Times New Roman" w:hAnsi="Times New Roman" w:cs="Times New Roman"/>
                <w:sz w:val="16"/>
                <w:szCs w:val="16"/>
              </w:rPr>
            </w:pPr>
            <w:r>
              <w:rPr>
                <w:rFonts w:ascii="Times New Roman" w:hAnsi="Times New Roman" w:cs="Times New Roman"/>
                <w:sz w:val="16"/>
                <w:szCs w:val="16"/>
              </w:rPr>
              <w:t>Acquisition/deconsolidation of noncontrolling interests</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tcBorders>
              <w:bottom w:val="single" w:sz="6" w:space="0" w:color="000000"/>
            </w:tcBorders>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tcBorders>
              <w:bottom w:val="single" w:sz="6" w:space="0" w:color="000000"/>
            </w:tcBorders>
            <w:shd w:val="clear" w:color="auto" w:fill="CCEE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w:t>
            </w:r>
          </w:p>
        </w:tc>
        <w:tc>
          <w:tcPr>
            <w:tcW w:w="50" w:type="pct"/>
            <w:tcBorders>
              <w:bottom w:val="single" w:sz="6" w:space="0" w:color="000000"/>
            </w:tcBorders>
            <w:shd w:val="clear" w:color="auto" w:fill="CCEE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tcBorders>
              <w:bottom w:val="single" w:sz="6" w:space="0" w:color="000000"/>
            </w:tcBorders>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tcBorders>
              <w:bottom w:val="single" w:sz="6" w:space="0" w:color="000000"/>
            </w:tcBorders>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tcBorders>
              <w:bottom w:val="single" w:sz="6" w:space="0" w:color="000000"/>
            </w:tcBorders>
            <w:shd w:val="clear" w:color="auto" w:fill="CCEE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w:t>
            </w:r>
          </w:p>
        </w:tc>
        <w:tc>
          <w:tcPr>
            <w:tcW w:w="50" w:type="pct"/>
            <w:tcBorders>
              <w:bottom w:val="single" w:sz="6" w:space="0" w:color="000000"/>
            </w:tcBorders>
            <w:shd w:val="clear" w:color="auto" w:fill="CCEE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tcBorders>
              <w:bottom w:val="single" w:sz="6" w:space="0" w:color="000000"/>
            </w:tcBorders>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tcBorders>
              <w:bottom w:val="single" w:sz="6" w:space="0" w:color="000000"/>
            </w:tcBorders>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tcBorders>
              <w:bottom w:val="single" w:sz="6" w:space="0" w:color="000000"/>
            </w:tcBorders>
            <w:shd w:val="clear" w:color="auto" w:fill="CCEE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w:t>
            </w:r>
          </w:p>
        </w:tc>
        <w:tc>
          <w:tcPr>
            <w:tcW w:w="50" w:type="pct"/>
            <w:tcBorders>
              <w:bottom w:val="single" w:sz="6" w:space="0" w:color="000000"/>
            </w:tcBorders>
            <w:shd w:val="clear" w:color="auto" w:fill="CCEE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tcBorders>
              <w:bottom w:val="single" w:sz="6" w:space="0" w:color="000000"/>
            </w:tcBorders>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tcBorders>
              <w:bottom w:val="single" w:sz="6" w:space="0" w:color="000000"/>
            </w:tcBorders>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tcBorders>
              <w:bottom w:val="single" w:sz="6" w:space="0" w:color="000000"/>
            </w:tcBorders>
            <w:shd w:val="clear" w:color="auto" w:fill="CCEE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w:t>
            </w:r>
          </w:p>
        </w:tc>
        <w:tc>
          <w:tcPr>
            <w:tcW w:w="50" w:type="pct"/>
            <w:tcBorders>
              <w:bottom w:val="single" w:sz="6" w:space="0" w:color="000000"/>
            </w:tcBorders>
            <w:shd w:val="clear" w:color="auto" w:fill="CCEE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tcBorders>
              <w:bottom w:val="single" w:sz="6" w:space="0" w:color="000000"/>
            </w:tcBorders>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tcBorders>
              <w:bottom w:val="single" w:sz="6" w:space="0" w:color="000000"/>
            </w:tcBorders>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tcBorders>
              <w:bottom w:val="single" w:sz="6" w:space="0" w:color="000000"/>
            </w:tcBorders>
            <w:shd w:val="clear" w:color="auto" w:fill="CCEE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w:t>
            </w:r>
          </w:p>
        </w:tc>
        <w:tc>
          <w:tcPr>
            <w:tcW w:w="50" w:type="pct"/>
            <w:tcBorders>
              <w:bottom w:val="single" w:sz="6" w:space="0" w:color="000000"/>
            </w:tcBorders>
            <w:shd w:val="clear" w:color="auto" w:fill="CCEE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tcBorders>
              <w:bottom w:val="single" w:sz="6" w:space="0" w:color="000000"/>
            </w:tcBorders>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tcBorders>
              <w:bottom w:val="single" w:sz="6" w:space="0" w:color="000000"/>
            </w:tcBorders>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tcBorders>
              <w:bottom w:val="single" w:sz="6" w:space="0" w:color="000000"/>
            </w:tcBorders>
            <w:shd w:val="clear" w:color="auto" w:fill="CCEE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w:t>
            </w:r>
          </w:p>
        </w:tc>
        <w:tc>
          <w:tcPr>
            <w:tcW w:w="50" w:type="pct"/>
            <w:tcBorders>
              <w:bottom w:val="single" w:sz="6" w:space="0" w:color="000000"/>
            </w:tcBorders>
            <w:shd w:val="clear" w:color="auto" w:fill="CCEE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tcBorders>
              <w:bottom w:val="single" w:sz="6" w:space="0" w:color="000000"/>
            </w:tcBorders>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tcBorders>
              <w:bottom w:val="single" w:sz="6" w:space="0" w:color="000000"/>
            </w:tcBorders>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tcBorders>
              <w:bottom w:val="single" w:sz="6" w:space="0" w:color="000000"/>
            </w:tcBorders>
            <w:shd w:val="clear" w:color="auto" w:fill="CCEE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1,203</w:t>
            </w:r>
          </w:p>
        </w:tc>
        <w:tc>
          <w:tcPr>
            <w:tcW w:w="50" w:type="pct"/>
            <w:tcBorders>
              <w:bottom w:val="single" w:sz="6" w:space="0" w:color="000000"/>
            </w:tcBorders>
            <w:shd w:val="clear" w:color="auto" w:fill="CCEE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tcBorders>
              <w:bottom w:val="single" w:sz="6" w:space="0" w:color="000000"/>
            </w:tcBorders>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tcBorders>
              <w:bottom w:val="single" w:sz="6" w:space="0" w:color="000000"/>
            </w:tcBorders>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tcBorders>
              <w:bottom w:val="single" w:sz="6" w:space="0" w:color="000000"/>
            </w:tcBorders>
            <w:shd w:val="clear" w:color="auto" w:fill="CCEE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1,203</w:t>
            </w:r>
          </w:p>
        </w:tc>
        <w:tc>
          <w:tcPr>
            <w:tcW w:w="50" w:type="pct"/>
            <w:tcBorders>
              <w:bottom w:val="single" w:sz="6" w:space="0" w:color="000000"/>
            </w:tcBorders>
            <w:shd w:val="clear" w:color="auto" w:fill="CCEE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tcBorders>
              <w:bottom w:val="single" w:sz="6" w:space="0" w:color="000000"/>
            </w:tcBorders>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tcBorders>
              <w:bottom w:val="single" w:sz="6" w:space="0" w:color="000000"/>
            </w:tcBorders>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tcBorders>
              <w:bottom w:val="single" w:sz="6" w:space="0" w:color="000000"/>
            </w:tcBorders>
            <w:shd w:val="clear" w:color="auto" w:fill="CCEE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(48,395</w:t>
            </w:r>
          </w:p>
        </w:tc>
        <w:tc>
          <w:tcPr>
            <w:tcW w:w="50" w:type="pct"/>
            <w:tcBorders>
              <w:bottom w:val="single" w:sz="6" w:space="0" w:color="000000"/>
            </w:tcBorders>
            <w:shd w:val="clear" w:color="auto" w:fill="CCEE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w:t>
            </w:r>
          </w:p>
        </w:tc>
        <w:tc>
          <w:tcPr>
            <w:tcW w:w="50" w:type="pct"/>
            <w:tcBorders>
              <w:bottom w:val="single" w:sz="6" w:space="0" w:color="000000"/>
            </w:tcBorders>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tcBorders>
              <w:bottom w:val="single" w:sz="6" w:space="0" w:color="000000"/>
            </w:tcBorders>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tcBorders>
              <w:bottom w:val="single" w:sz="6" w:space="0" w:color="000000"/>
            </w:tcBorders>
            <w:shd w:val="clear" w:color="auto" w:fill="CCEE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(47,192</w:t>
            </w:r>
          </w:p>
        </w:tc>
        <w:tc>
          <w:tcPr>
            <w:tcW w:w="50" w:type="pct"/>
            <w:shd w:val="clear" w:color="auto" w:fill="CCEE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w:t>
            </w:r>
          </w:p>
        </w:tc>
      </w:tr>
      <w:tr w:rsidR="008E203B">
        <w:trPr>
          <w:divId w:val="1593584240"/>
          <w:tblCellSpacing w:w="15" w:type="dxa"/>
        </w:trPr>
        <w:tc>
          <w:tcPr>
            <w:tcW w:w="1000" w:type="pct"/>
            <w:shd w:val="clear" w:color="auto" w:fill="FFFFFF"/>
            <w:vAlign w:val="bottom"/>
            <w:hideMark/>
          </w:tcPr>
          <w:p w:rsidR="00000000" w:rsidRDefault="008E203B">
            <w:pPr>
              <w:pStyle w:val="a3"/>
              <w:spacing w:before="0" w:beforeAutospacing="0" w:after="0" w:afterAutospacing="0"/>
              <w:ind w:left="180" w:hanging="180"/>
              <w:rPr>
                <w:rFonts w:ascii="Times New Roman" w:hAnsi="Times New Roman" w:cs="Times New Roman"/>
                <w:sz w:val="16"/>
                <w:szCs w:val="16"/>
              </w:rPr>
            </w:pPr>
            <w:r>
              <w:rPr>
                <w:rFonts w:ascii="Times New Roman" w:hAnsi="Times New Roman" w:cs="Times New Roman"/>
                <w:sz w:val="16"/>
                <w:szCs w:val="16"/>
              </w:rPr>
              <w:t>Balance at March 31, 2018</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tcBorders>
              <w:bottom w:val="double" w:sz="6" w:space="0" w:color="000000"/>
            </w:tcBorders>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w:t>
            </w:r>
          </w:p>
        </w:tc>
        <w:tc>
          <w:tcPr>
            <w:tcW w:w="250" w:type="pct"/>
            <w:tcBorders>
              <w:bottom w:val="double" w:sz="6" w:space="0" w:color="000000"/>
            </w:tcBorders>
            <w:shd w:val="clear" w:color="auto" w:fill="FFFF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(743,845</w:t>
            </w:r>
          </w:p>
        </w:tc>
        <w:tc>
          <w:tcPr>
            <w:tcW w:w="50" w:type="pct"/>
            <w:tcBorders>
              <w:bottom w:val="double" w:sz="6" w:space="0" w:color="000000"/>
            </w:tcBorders>
            <w:shd w:val="clear" w:color="auto" w:fill="FFFF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w:t>
            </w:r>
          </w:p>
        </w:tc>
        <w:tc>
          <w:tcPr>
            <w:tcW w:w="50" w:type="pct"/>
            <w:tcBorders>
              <w:bottom w:val="double" w:sz="6" w:space="0" w:color="000000"/>
            </w:tcBorders>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tcBorders>
              <w:bottom w:val="double" w:sz="6" w:space="0" w:color="000000"/>
            </w:tcBorders>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w:t>
            </w:r>
          </w:p>
        </w:tc>
        <w:tc>
          <w:tcPr>
            <w:tcW w:w="250" w:type="pct"/>
            <w:tcBorders>
              <w:bottom w:val="double" w:sz="6" w:space="0" w:color="000000"/>
            </w:tcBorders>
            <w:shd w:val="clear" w:color="auto" w:fill="FFFF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(66</w:t>
            </w:r>
          </w:p>
        </w:tc>
        <w:tc>
          <w:tcPr>
            <w:tcW w:w="50" w:type="pct"/>
            <w:tcBorders>
              <w:bottom w:val="double" w:sz="6" w:space="0" w:color="000000"/>
            </w:tcBorders>
            <w:shd w:val="clear" w:color="auto" w:fill="FFFF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w:t>
            </w:r>
          </w:p>
        </w:tc>
        <w:tc>
          <w:tcPr>
            <w:tcW w:w="50" w:type="pct"/>
            <w:tcBorders>
              <w:bottom w:val="double" w:sz="6" w:space="0" w:color="000000"/>
            </w:tcBorders>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tcBorders>
              <w:bottom w:val="double" w:sz="6" w:space="0" w:color="000000"/>
            </w:tcBorders>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tcBorders>
              <w:bottom w:val="double" w:sz="6" w:space="0" w:color="000000"/>
            </w:tcBorders>
            <w:shd w:val="clear" w:color="auto" w:fill="FFFF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43</w:t>
            </w:r>
          </w:p>
        </w:tc>
        <w:tc>
          <w:tcPr>
            <w:tcW w:w="50" w:type="pct"/>
            <w:tcBorders>
              <w:bottom w:val="double" w:sz="6" w:space="0" w:color="000000"/>
            </w:tcBorders>
            <w:shd w:val="clear" w:color="auto" w:fill="FFFF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tcBorders>
              <w:bottom w:val="double" w:sz="6" w:space="0" w:color="000000"/>
            </w:tcBorders>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tcBorders>
              <w:bottom w:val="double" w:sz="6" w:space="0" w:color="000000"/>
            </w:tcBorders>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w:t>
            </w:r>
          </w:p>
        </w:tc>
        <w:tc>
          <w:tcPr>
            <w:tcW w:w="250" w:type="pct"/>
            <w:tcBorders>
              <w:bottom w:val="double" w:sz="6" w:space="0" w:color="000000"/>
            </w:tcBorders>
            <w:shd w:val="clear" w:color="auto" w:fill="FFFF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43</w:t>
            </w:r>
          </w:p>
        </w:tc>
        <w:tc>
          <w:tcPr>
            <w:tcW w:w="50" w:type="pct"/>
            <w:tcBorders>
              <w:bottom w:val="double" w:sz="6" w:space="0" w:color="000000"/>
            </w:tcBorders>
            <w:shd w:val="clear" w:color="auto" w:fill="FFFF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tcBorders>
              <w:bottom w:val="double" w:sz="6" w:space="0" w:color="000000"/>
            </w:tcBorders>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tcBorders>
              <w:bottom w:val="double" w:sz="6" w:space="0" w:color="000000"/>
            </w:tcBorders>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tcBorders>
              <w:bottom w:val="double" w:sz="6" w:space="0" w:color="000000"/>
            </w:tcBorders>
            <w:shd w:val="clear" w:color="auto" w:fill="FFFF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424,900</w:t>
            </w:r>
          </w:p>
        </w:tc>
        <w:tc>
          <w:tcPr>
            <w:tcW w:w="50" w:type="pct"/>
            <w:tcBorders>
              <w:bottom w:val="double" w:sz="6" w:space="0" w:color="000000"/>
            </w:tcBorders>
            <w:shd w:val="clear" w:color="auto" w:fill="FFFF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tcBorders>
              <w:bottom w:val="double" w:sz="6" w:space="0" w:color="000000"/>
            </w:tcBorders>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tcBorders>
              <w:bottom w:val="double" w:sz="6" w:space="0" w:color="000000"/>
            </w:tcBorders>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w:t>
            </w:r>
          </w:p>
        </w:tc>
        <w:tc>
          <w:tcPr>
            <w:tcW w:w="250" w:type="pct"/>
            <w:tcBorders>
              <w:bottom w:val="double" w:sz="6" w:space="0" w:color="000000"/>
            </w:tcBorders>
            <w:shd w:val="clear" w:color="auto" w:fill="FFFF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4,249</w:t>
            </w:r>
          </w:p>
        </w:tc>
        <w:tc>
          <w:tcPr>
            <w:tcW w:w="50" w:type="pct"/>
            <w:tcBorders>
              <w:bottom w:val="double" w:sz="6" w:space="0" w:color="000000"/>
            </w:tcBorders>
            <w:shd w:val="clear" w:color="auto" w:fill="FFFF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tcBorders>
              <w:bottom w:val="double" w:sz="6" w:space="0" w:color="000000"/>
            </w:tcBorders>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tcBorders>
              <w:bottom w:val="double" w:sz="6" w:space="0" w:color="000000"/>
            </w:tcBorders>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w:t>
            </w:r>
          </w:p>
        </w:tc>
        <w:tc>
          <w:tcPr>
            <w:tcW w:w="250" w:type="pct"/>
            <w:tcBorders>
              <w:bottom w:val="double" w:sz="6" w:space="0" w:color="000000"/>
            </w:tcBorders>
            <w:shd w:val="clear" w:color="auto" w:fill="FFFF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6,164,185</w:t>
            </w:r>
          </w:p>
        </w:tc>
        <w:tc>
          <w:tcPr>
            <w:tcW w:w="50" w:type="pct"/>
            <w:tcBorders>
              <w:bottom w:val="double" w:sz="6" w:space="0" w:color="000000"/>
            </w:tcBorders>
            <w:shd w:val="clear" w:color="auto" w:fill="FFFF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tcBorders>
              <w:bottom w:val="double" w:sz="6" w:space="0" w:color="000000"/>
            </w:tcBorders>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tcBorders>
              <w:bottom w:val="double" w:sz="6" w:space="0" w:color="000000"/>
            </w:tcBorders>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w:t>
            </w:r>
          </w:p>
        </w:tc>
        <w:tc>
          <w:tcPr>
            <w:tcW w:w="250" w:type="pct"/>
            <w:tcBorders>
              <w:bottom w:val="double" w:sz="6" w:space="0" w:color="000000"/>
            </w:tcBorders>
            <w:shd w:val="clear" w:color="auto" w:fill="FFFF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5,424,566</w:t>
            </w:r>
          </w:p>
        </w:tc>
        <w:tc>
          <w:tcPr>
            <w:tcW w:w="50" w:type="pct"/>
            <w:tcBorders>
              <w:bottom w:val="double" w:sz="6" w:space="0" w:color="000000"/>
            </w:tcBorders>
            <w:shd w:val="clear" w:color="auto" w:fill="FFFF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tcBorders>
              <w:bottom w:val="double" w:sz="6" w:space="0" w:color="000000"/>
            </w:tcBorders>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tcBorders>
              <w:bottom w:val="double" w:sz="6" w:space="0" w:color="000000"/>
            </w:tcBorders>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w:t>
            </w:r>
          </w:p>
        </w:tc>
        <w:tc>
          <w:tcPr>
            <w:tcW w:w="250" w:type="pct"/>
            <w:tcBorders>
              <w:bottom w:val="double" w:sz="6" w:space="0" w:color="000000"/>
            </w:tcBorders>
            <w:shd w:val="clear" w:color="auto" w:fill="FFFF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77,836</w:t>
            </w:r>
          </w:p>
        </w:tc>
        <w:tc>
          <w:tcPr>
            <w:tcW w:w="50" w:type="pct"/>
            <w:tcBorders>
              <w:bottom w:val="double" w:sz="6" w:space="0" w:color="000000"/>
            </w:tcBorders>
            <w:shd w:val="clear" w:color="auto" w:fill="FFFF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tcBorders>
              <w:bottom w:val="double" w:sz="6" w:space="0" w:color="000000"/>
            </w:tcBorders>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tcBorders>
              <w:bottom w:val="double" w:sz="6" w:space="0" w:color="000000"/>
            </w:tcBorders>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w:t>
            </w:r>
          </w:p>
        </w:tc>
        <w:tc>
          <w:tcPr>
            <w:tcW w:w="250" w:type="pct"/>
            <w:tcBorders>
              <w:bottom w:val="double" w:sz="6" w:space="0" w:color="000000"/>
            </w:tcBorders>
            <w:shd w:val="clear" w:color="auto" w:fill="FFFF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5,502,402</w:t>
            </w:r>
          </w:p>
        </w:tc>
        <w:tc>
          <w:tcPr>
            <w:tcW w:w="50" w:type="pct"/>
            <w:shd w:val="clear" w:color="auto" w:fill="FFFFFF"/>
            <w:noWrap/>
            <w:tcMar>
              <w:top w:w="15" w:type="dxa"/>
              <w:left w:w="15" w:type="dxa"/>
              <w:bottom w:w="45" w:type="dxa"/>
              <w:right w:w="15" w:type="dxa"/>
            </w:tcMar>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r>
      <w:tr w:rsidR="008E203B">
        <w:trPr>
          <w:divId w:val="1593584240"/>
          <w:tblCellSpacing w:w="15" w:type="dxa"/>
        </w:trPr>
        <w:tc>
          <w:tcPr>
            <w:tcW w:w="100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r>
      <w:tr w:rsidR="008E203B">
        <w:trPr>
          <w:divId w:val="1593584240"/>
          <w:tblCellSpacing w:w="15" w:type="dxa"/>
        </w:trPr>
        <w:tc>
          <w:tcPr>
            <w:tcW w:w="1000" w:type="pct"/>
            <w:shd w:val="clear" w:color="auto" w:fill="FFFFFF"/>
            <w:vAlign w:val="bottom"/>
            <w:hideMark/>
          </w:tcPr>
          <w:p w:rsidR="00000000" w:rsidRDefault="008E203B">
            <w:pPr>
              <w:pStyle w:val="a3"/>
              <w:spacing w:before="0" w:beforeAutospacing="0" w:after="0" w:afterAutospacing="0"/>
              <w:ind w:left="180" w:hanging="180"/>
              <w:rPr>
                <w:rFonts w:ascii="Times New Roman" w:hAnsi="Times New Roman" w:cs="Times New Roman"/>
                <w:sz w:val="16"/>
                <w:szCs w:val="16"/>
              </w:rPr>
            </w:pPr>
            <w:r>
              <w:rPr>
                <w:rFonts w:ascii="Times New Roman" w:hAnsi="Times New Roman" w:cs="Times New Roman"/>
                <w:sz w:val="16"/>
                <w:szCs w:val="16"/>
              </w:rPr>
              <w:t>Balance at January 1, 2019</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w:t>
            </w:r>
          </w:p>
        </w:tc>
        <w:tc>
          <w:tcPr>
            <w:tcW w:w="250" w:type="pct"/>
            <w:shd w:val="clear" w:color="auto" w:fill="FFFF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(787,707</w:t>
            </w:r>
          </w:p>
        </w:tc>
        <w:tc>
          <w:tcPr>
            <w:tcW w:w="50" w:type="pct"/>
            <w:shd w:val="clear" w:color="auto" w:fill="FFFF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w:t>
            </w:r>
          </w:p>
        </w:tc>
        <w:tc>
          <w:tcPr>
            <w:tcW w:w="250" w:type="pct"/>
            <w:shd w:val="clear" w:color="auto" w:fill="FFFF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w:t>
            </w:r>
          </w:p>
        </w:tc>
        <w:tc>
          <w:tcPr>
            <w:tcW w:w="50" w:type="pct"/>
            <w:shd w:val="clear" w:color="auto" w:fill="FFFF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FFFF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43</w:t>
            </w:r>
          </w:p>
        </w:tc>
        <w:tc>
          <w:tcPr>
            <w:tcW w:w="50" w:type="pct"/>
            <w:shd w:val="clear" w:color="auto" w:fill="FFFF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w:t>
            </w:r>
          </w:p>
        </w:tc>
        <w:tc>
          <w:tcPr>
            <w:tcW w:w="250" w:type="pct"/>
            <w:shd w:val="clear" w:color="auto" w:fill="FFFF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43</w:t>
            </w:r>
          </w:p>
        </w:tc>
        <w:tc>
          <w:tcPr>
            <w:tcW w:w="50" w:type="pct"/>
            <w:shd w:val="clear" w:color="auto" w:fill="FFFF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FFFF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421,389</w:t>
            </w:r>
          </w:p>
        </w:tc>
        <w:tc>
          <w:tcPr>
            <w:tcW w:w="50" w:type="pct"/>
            <w:shd w:val="clear" w:color="auto" w:fill="FFFF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w:t>
            </w:r>
          </w:p>
        </w:tc>
        <w:tc>
          <w:tcPr>
            <w:tcW w:w="250" w:type="pct"/>
            <w:shd w:val="clear" w:color="auto" w:fill="FFFF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4,214</w:t>
            </w:r>
          </w:p>
        </w:tc>
        <w:tc>
          <w:tcPr>
            <w:tcW w:w="50" w:type="pct"/>
            <w:shd w:val="clear" w:color="auto" w:fill="FFFF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w:t>
            </w:r>
          </w:p>
        </w:tc>
        <w:tc>
          <w:tcPr>
            <w:tcW w:w="250" w:type="pct"/>
            <w:shd w:val="clear" w:color="auto" w:fill="FFFF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6,117,254</w:t>
            </w:r>
          </w:p>
        </w:tc>
        <w:tc>
          <w:tcPr>
            <w:tcW w:w="50" w:type="pct"/>
            <w:shd w:val="clear" w:color="auto" w:fill="FFFF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w:t>
            </w:r>
          </w:p>
        </w:tc>
        <w:tc>
          <w:tcPr>
            <w:tcW w:w="250" w:type="pct"/>
            <w:shd w:val="clear" w:color="auto" w:fill="FFFF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5,333,804</w:t>
            </w:r>
          </w:p>
        </w:tc>
        <w:tc>
          <w:tcPr>
            <w:tcW w:w="50" w:type="pct"/>
            <w:shd w:val="clear" w:color="auto" w:fill="FFFF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w:t>
            </w:r>
          </w:p>
        </w:tc>
        <w:tc>
          <w:tcPr>
            <w:tcW w:w="250" w:type="pct"/>
            <w:shd w:val="clear" w:color="auto" w:fill="FFFF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77,249</w:t>
            </w:r>
          </w:p>
        </w:tc>
        <w:tc>
          <w:tcPr>
            <w:tcW w:w="50" w:type="pct"/>
            <w:shd w:val="clear" w:color="auto" w:fill="FFFF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w:t>
            </w:r>
          </w:p>
        </w:tc>
        <w:tc>
          <w:tcPr>
            <w:tcW w:w="250" w:type="pct"/>
            <w:shd w:val="clear" w:color="auto" w:fill="FFFF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5,411,053</w:t>
            </w:r>
          </w:p>
        </w:tc>
        <w:tc>
          <w:tcPr>
            <w:tcW w:w="50" w:type="pct"/>
            <w:shd w:val="clear" w:color="auto" w:fill="FFFF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r>
      <w:tr w:rsidR="008E203B">
        <w:trPr>
          <w:divId w:val="1593584240"/>
          <w:tblCellSpacing w:w="15" w:type="dxa"/>
        </w:trPr>
        <w:tc>
          <w:tcPr>
            <w:tcW w:w="1000" w:type="pct"/>
            <w:shd w:val="clear" w:color="auto" w:fill="CCEEFF"/>
            <w:vAlign w:val="bottom"/>
            <w:hideMark/>
          </w:tcPr>
          <w:p w:rsidR="00000000" w:rsidRDefault="008E203B">
            <w:pPr>
              <w:pStyle w:val="a3"/>
              <w:spacing w:before="0" w:beforeAutospacing="0" w:after="0" w:afterAutospacing="0"/>
              <w:rPr>
                <w:rFonts w:ascii="Times New Roman" w:hAnsi="Times New Roman" w:cs="Times New Roman"/>
                <w:sz w:val="16"/>
                <w:szCs w:val="16"/>
              </w:rPr>
            </w:pPr>
            <w:r>
              <w:rPr>
                <w:rFonts w:ascii="Times New Roman" w:hAnsi="Times New Roman" w:cs="Times New Roman"/>
                <w:sz w:val="16"/>
                <w:szCs w:val="16"/>
              </w:rPr>
              <w:t>Net income</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CCEE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116,169</w:t>
            </w:r>
          </w:p>
        </w:tc>
        <w:tc>
          <w:tcPr>
            <w:tcW w:w="50" w:type="pct"/>
            <w:shd w:val="clear" w:color="auto" w:fill="CCEE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CCEE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w:t>
            </w:r>
          </w:p>
        </w:tc>
        <w:tc>
          <w:tcPr>
            <w:tcW w:w="50" w:type="pct"/>
            <w:shd w:val="clear" w:color="auto" w:fill="CCEE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CCEE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w:t>
            </w:r>
          </w:p>
        </w:tc>
        <w:tc>
          <w:tcPr>
            <w:tcW w:w="50" w:type="pct"/>
            <w:shd w:val="clear" w:color="auto" w:fill="CCEE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CCEE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w:t>
            </w:r>
          </w:p>
        </w:tc>
        <w:tc>
          <w:tcPr>
            <w:tcW w:w="50" w:type="pct"/>
            <w:shd w:val="clear" w:color="auto" w:fill="CCEE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CCEE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w:t>
            </w:r>
          </w:p>
        </w:tc>
        <w:tc>
          <w:tcPr>
            <w:tcW w:w="50" w:type="pct"/>
            <w:shd w:val="clear" w:color="auto" w:fill="CCEE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CCEE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w:t>
            </w:r>
          </w:p>
        </w:tc>
        <w:tc>
          <w:tcPr>
            <w:tcW w:w="50" w:type="pct"/>
            <w:shd w:val="clear" w:color="auto" w:fill="CCEE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CCEE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w:t>
            </w:r>
          </w:p>
        </w:tc>
        <w:tc>
          <w:tcPr>
            <w:tcW w:w="50" w:type="pct"/>
            <w:shd w:val="clear" w:color="auto" w:fill="CCEE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CCEE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116,169</w:t>
            </w:r>
          </w:p>
        </w:tc>
        <w:tc>
          <w:tcPr>
            <w:tcW w:w="50" w:type="pct"/>
            <w:shd w:val="clear" w:color="auto" w:fill="CCEE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CCEE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509</w:t>
            </w:r>
          </w:p>
        </w:tc>
        <w:tc>
          <w:tcPr>
            <w:tcW w:w="50" w:type="pct"/>
            <w:shd w:val="clear" w:color="auto" w:fill="CCEE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CCEE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116,678</w:t>
            </w:r>
          </w:p>
        </w:tc>
        <w:tc>
          <w:tcPr>
            <w:tcW w:w="50" w:type="pct"/>
            <w:shd w:val="clear" w:color="auto" w:fill="CCEE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r>
      <w:tr w:rsidR="008E203B">
        <w:trPr>
          <w:divId w:val="1593584240"/>
          <w:tblCellSpacing w:w="15" w:type="dxa"/>
        </w:trPr>
        <w:tc>
          <w:tcPr>
            <w:tcW w:w="1000" w:type="pct"/>
            <w:shd w:val="clear" w:color="auto" w:fill="FFFFFF"/>
            <w:vAlign w:val="bottom"/>
            <w:hideMark/>
          </w:tcPr>
          <w:p w:rsidR="00000000" w:rsidRDefault="008E203B">
            <w:pPr>
              <w:pStyle w:val="a3"/>
              <w:spacing w:before="0" w:beforeAutospacing="0" w:after="0" w:afterAutospacing="0"/>
              <w:ind w:left="180" w:hanging="180"/>
              <w:rPr>
                <w:rFonts w:ascii="Times New Roman" w:hAnsi="Times New Roman" w:cs="Times New Roman"/>
                <w:sz w:val="16"/>
                <w:szCs w:val="16"/>
              </w:rPr>
            </w:pPr>
            <w:r>
              <w:rPr>
                <w:rFonts w:ascii="Times New Roman" w:hAnsi="Times New Roman" w:cs="Times New Roman"/>
                <w:sz w:val="16"/>
                <w:szCs w:val="16"/>
              </w:rPr>
              <w:t>Redeemable noncontrolling interests income</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FFFF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w:t>
            </w:r>
          </w:p>
        </w:tc>
        <w:tc>
          <w:tcPr>
            <w:tcW w:w="50" w:type="pct"/>
            <w:shd w:val="clear" w:color="auto" w:fill="FFFF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FFFF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w:t>
            </w:r>
          </w:p>
        </w:tc>
        <w:tc>
          <w:tcPr>
            <w:tcW w:w="50" w:type="pct"/>
            <w:shd w:val="clear" w:color="auto" w:fill="FFFF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FFFF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w:t>
            </w:r>
          </w:p>
        </w:tc>
        <w:tc>
          <w:tcPr>
            <w:tcW w:w="50" w:type="pct"/>
            <w:shd w:val="clear" w:color="auto" w:fill="FFFF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FFFF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w:t>
            </w:r>
          </w:p>
        </w:tc>
        <w:tc>
          <w:tcPr>
            <w:tcW w:w="50" w:type="pct"/>
            <w:shd w:val="clear" w:color="auto" w:fill="FFFF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FFFF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w:t>
            </w:r>
          </w:p>
        </w:tc>
        <w:tc>
          <w:tcPr>
            <w:tcW w:w="50" w:type="pct"/>
            <w:shd w:val="clear" w:color="auto" w:fill="FFFF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FFFF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w:t>
            </w:r>
          </w:p>
        </w:tc>
        <w:tc>
          <w:tcPr>
            <w:tcW w:w="50" w:type="pct"/>
            <w:shd w:val="clear" w:color="auto" w:fill="FFFF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FFFF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w:t>
            </w:r>
          </w:p>
        </w:tc>
        <w:tc>
          <w:tcPr>
            <w:tcW w:w="50" w:type="pct"/>
            <w:shd w:val="clear" w:color="auto" w:fill="FFFF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FFFF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w:t>
            </w:r>
          </w:p>
        </w:tc>
        <w:tc>
          <w:tcPr>
            <w:tcW w:w="50" w:type="pct"/>
            <w:shd w:val="clear" w:color="auto" w:fill="FFFF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FFFF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(92</w:t>
            </w:r>
          </w:p>
        </w:tc>
        <w:tc>
          <w:tcPr>
            <w:tcW w:w="50" w:type="pct"/>
            <w:shd w:val="clear" w:color="auto" w:fill="FFFF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FFFF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(92</w:t>
            </w:r>
          </w:p>
        </w:tc>
        <w:tc>
          <w:tcPr>
            <w:tcW w:w="50" w:type="pct"/>
            <w:shd w:val="clear" w:color="auto" w:fill="FFFF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w:t>
            </w:r>
          </w:p>
        </w:tc>
      </w:tr>
      <w:tr w:rsidR="008E203B">
        <w:trPr>
          <w:divId w:val="1593584240"/>
          <w:tblCellSpacing w:w="15" w:type="dxa"/>
        </w:trPr>
        <w:tc>
          <w:tcPr>
            <w:tcW w:w="1000" w:type="pct"/>
            <w:shd w:val="clear" w:color="auto" w:fill="CCEEFF"/>
            <w:vAlign w:val="bottom"/>
            <w:hideMark/>
          </w:tcPr>
          <w:p w:rsidR="00000000" w:rsidRDefault="008E203B">
            <w:pPr>
              <w:pStyle w:val="a3"/>
              <w:spacing w:before="0" w:beforeAutospacing="0" w:after="0" w:afterAutospacing="0"/>
              <w:ind w:left="180" w:hanging="180"/>
              <w:rPr>
                <w:rFonts w:ascii="Times New Roman" w:hAnsi="Times New Roman" w:cs="Times New Roman"/>
                <w:sz w:val="16"/>
                <w:szCs w:val="16"/>
              </w:rPr>
            </w:pPr>
            <w:r>
              <w:rPr>
                <w:rFonts w:ascii="Times New Roman" w:hAnsi="Times New Roman" w:cs="Times New Roman"/>
                <w:sz w:val="16"/>
                <w:szCs w:val="16"/>
              </w:rPr>
              <w:t>Dividends declared to common and preferred shares</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CCEE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(132,703</w:t>
            </w:r>
          </w:p>
        </w:tc>
        <w:tc>
          <w:tcPr>
            <w:tcW w:w="50" w:type="pct"/>
            <w:shd w:val="clear" w:color="auto" w:fill="CCEE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CCEE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w:t>
            </w:r>
          </w:p>
        </w:tc>
        <w:tc>
          <w:tcPr>
            <w:tcW w:w="50" w:type="pct"/>
            <w:shd w:val="clear" w:color="auto" w:fill="CCEE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CCEE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w:t>
            </w:r>
          </w:p>
        </w:tc>
        <w:tc>
          <w:tcPr>
            <w:tcW w:w="50" w:type="pct"/>
            <w:shd w:val="clear" w:color="auto" w:fill="CCEE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CCEE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w:t>
            </w:r>
          </w:p>
        </w:tc>
        <w:tc>
          <w:tcPr>
            <w:tcW w:w="50" w:type="pct"/>
            <w:shd w:val="clear" w:color="auto" w:fill="CCEE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CCEE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w:t>
            </w:r>
          </w:p>
        </w:tc>
        <w:tc>
          <w:tcPr>
            <w:tcW w:w="50" w:type="pct"/>
            <w:shd w:val="clear" w:color="auto" w:fill="CCEE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CCEE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w:t>
            </w:r>
          </w:p>
        </w:tc>
        <w:tc>
          <w:tcPr>
            <w:tcW w:w="50" w:type="pct"/>
            <w:shd w:val="clear" w:color="auto" w:fill="CCEE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CCEE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w:t>
            </w:r>
          </w:p>
        </w:tc>
        <w:tc>
          <w:tcPr>
            <w:tcW w:w="50" w:type="pct"/>
            <w:shd w:val="clear" w:color="auto" w:fill="CCEE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CCEE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(132,703</w:t>
            </w:r>
          </w:p>
        </w:tc>
        <w:tc>
          <w:tcPr>
            <w:tcW w:w="50" w:type="pct"/>
            <w:shd w:val="clear" w:color="auto" w:fill="CCEE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CCEE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w:t>
            </w:r>
          </w:p>
        </w:tc>
        <w:tc>
          <w:tcPr>
            <w:tcW w:w="50" w:type="pct"/>
            <w:shd w:val="clear" w:color="auto" w:fill="CCEE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CCEE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(132,703</w:t>
            </w:r>
          </w:p>
        </w:tc>
        <w:tc>
          <w:tcPr>
            <w:tcW w:w="50" w:type="pct"/>
            <w:shd w:val="clear" w:color="auto" w:fill="CCEE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w:t>
            </w:r>
          </w:p>
        </w:tc>
      </w:tr>
      <w:tr w:rsidR="008E203B">
        <w:trPr>
          <w:divId w:val="1593584240"/>
          <w:tblCellSpacing w:w="15" w:type="dxa"/>
        </w:trPr>
        <w:tc>
          <w:tcPr>
            <w:tcW w:w="1000" w:type="pct"/>
            <w:shd w:val="clear" w:color="auto" w:fill="FFFFFF"/>
            <w:vAlign w:val="bottom"/>
            <w:hideMark/>
          </w:tcPr>
          <w:p w:rsidR="00000000" w:rsidRDefault="008E203B">
            <w:pPr>
              <w:pStyle w:val="a3"/>
              <w:spacing w:before="0" w:beforeAutospacing="0" w:after="0" w:afterAutospacing="0"/>
              <w:ind w:left="180" w:hanging="180"/>
              <w:rPr>
                <w:rFonts w:ascii="Times New Roman" w:hAnsi="Times New Roman" w:cs="Times New Roman"/>
                <w:sz w:val="16"/>
                <w:szCs w:val="16"/>
              </w:rPr>
            </w:pPr>
            <w:r>
              <w:rPr>
                <w:rFonts w:ascii="Times New Roman" w:hAnsi="Times New Roman" w:cs="Times New Roman"/>
                <w:sz w:val="16"/>
                <w:szCs w:val="16"/>
              </w:rPr>
              <w:t>Distributions to noncontrolling interests</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FFFF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w:t>
            </w:r>
          </w:p>
        </w:tc>
        <w:tc>
          <w:tcPr>
            <w:tcW w:w="50" w:type="pct"/>
            <w:shd w:val="clear" w:color="auto" w:fill="FFFF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FFFF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w:t>
            </w:r>
          </w:p>
        </w:tc>
        <w:tc>
          <w:tcPr>
            <w:tcW w:w="50" w:type="pct"/>
            <w:shd w:val="clear" w:color="auto" w:fill="FFFF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FFFF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w:t>
            </w:r>
          </w:p>
        </w:tc>
        <w:tc>
          <w:tcPr>
            <w:tcW w:w="50" w:type="pct"/>
            <w:shd w:val="clear" w:color="auto" w:fill="FFFF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FFFF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w:t>
            </w:r>
          </w:p>
        </w:tc>
        <w:tc>
          <w:tcPr>
            <w:tcW w:w="50" w:type="pct"/>
            <w:shd w:val="clear" w:color="auto" w:fill="FFFF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FFFF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w:t>
            </w:r>
          </w:p>
        </w:tc>
        <w:tc>
          <w:tcPr>
            <w:tcW w:w="50" w:type="pct"/>
            <w:shd w:val="clear" w:color="auto" w:fill="FFFF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FFFF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w:t>
            </w:r>
          </w:p>
        </w:tc>
        <w:tc>
          <w:tcPr>
            <w:tcW w:w="50" w:type="pct"/>
            <w:shd w:val="clear" w:color="auto" w:fill="FFFF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FFFF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w:t>
            </w:r>
          </w:p>
        </w:tc>
        <w:tc>
          <w:tcPr>
            <w:tcW w:w="50" w:type="pct"/>
            <w:shd w:val="clear" w:color="auto" w:fill="FFFF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FFFF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w:t>
            </w:r>
          </w:p>
        </w:tc>
        <w:tc>
          <w:tcPr>
            <w:tcW w:w="50" w:type="pct"/>
            <w:shd w:val="clear" w:color="auto" w:fill="FFFF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FFFF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(685</w:t>
            </w:r>
          </w:p>
        </w:tc>
        <w:tc>
          <w:tcPr>
            <w:tcW w:w="50" w:type="pct"/>
            <w:shd w:val="clear" w:color="auto" w:fill="FFFF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FFFF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(685</w:t>
            </w:r>
          </w:p>
        </w:tc>
        <w:tc>
          <w:tcPr>
            <w:tcW w:w="50" w:type="pct"/>
            <w:shd w:val="clear" w:color="auto" w:fill="FFFF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w:t>
            </w:r>
          </w:p>
        </w:tc>
      </w:tr>
      <w:tr w:rsidR="008E203B">
        <w:trPr>
          <w:divId w:val="1593584240"/>
          <w:tblCellSpacing w:w="15" w:type="dxa"/>
        </w:trPr>
        <w:tc>
          <w:tcPr>
            <w:tcW w:w="1000" w:type="pct"/>
            <w:shd w:val="clear" w:color="auto" w:fill="CCEEFF"/>
            <w:vAlign w:val="bottom"/>
            <w:hideMark/>
          </w:tcPr>
          <w:p w:rsidR="00000000" w:rsidRDefault="008E203B">
            <w:pPr>
              <w:pStyle w:val="a3"/>
              <w:spacing w:before="0" w:beforeAutospacing="0" w:after="0" w:afterAutospacing="0"/>
              <w:ind w:left="180" w:hanging="180"/>
              <w:rPr>
                <w:rFonts w:ascii="Times New Roman" w:hAnsi="Times New Roman" w:cs="Times New Roman"/>
                <w:sz w:val="16"/>
                <w:szCs w:val="16"/>
              </w:rPr>
            </w:pPr>
            <w:r>
              <w:rPr>
                <w:rFonts w:ascii="Times New Roman" w:hAnsi="Times New Roman" w:cs="Times New Roman"/>
                <w:sz w:val="16"/>
                <w:szCs w:val="16"/>
              </w:rPr>
              <w:t>Issuance of common stock</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CCEE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w:t>
            </w:r>
          </w:p>
        </w:tc>
        <w:tc>
          <w:tcPr>
            <w:tcW w:w="50" w:type="pct"/>
            <w:shd w:val="clear" w:color="auto" w:fill="CCEE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CCEE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w:t>
            </w:r>
          </w:p>
        </w:tc>
        <w:tc>
          <w:tcPr>
            <w:tcW w:w="50" w:type="pct"/>
            <w:shd w:val="clear" w:color="auto" w:fill="CCEE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CCEE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w:t>
            </w:r>
          </w:p>
        </w:tc>
        <w:tc>
          <w:tcPr>
            <w:tcW w:w="50" w:type="pct"/>
            <w:shd w:val="clear" w:color="auto" w:fill="CCEE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CCEE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w:t>
            </w:r>
          </w:p>
        </w:tc>
        <w:tc>
          <w:tcPr>
            <w:tcW w:w="50" w:type="pct"/>
            <w:shd w:val="clear" w:color="auto" w:fill="CCEE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CCEE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783</w:t>
            </w:r>
          </w:p>
        </w:tc>
        <w:tc>
          <w:tcPr>
            <w:tcW w:w="50" w:type="pct"/>
            <w:shd w:val="clear" w:color="auto" w:fill="CCEE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CCEE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8</w:t>
            </w:r>
          </w:p>
        </w:tc>
        <w:tc>
          <w:tcPr>
            <w:tcW w:w="50" w:type="pct"/>
            <w:shd w:val="clear" w:color="auto" w:fill="CCEE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CCEE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(8</w:t>
            </w:r>
          </w:p>
        </w:tc>
        <w:tc>
          <w:tcPr>
            <w:tcW w:w="50" w:type="pct"/>
            <w:shd w:val="clear" w:color="auto" w:fill="CCEE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CCEE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w:t>
            </w:r>
          </w:p>
        </w:tc>
        <w:tc>
          <w:tcPr>
            <w:tcW w:w="50" w:type="pct"/>
            <w:shd w:val="clear" w:color="auto" w:fill="CCEE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CCEE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w:t>
            </w:r>
          </w:p>
        </w:tc>
        <w:tc>
          <w:tcPr>
            <w:tcW w:w="50" w:type="pct"/>
            <w:shd w:val="clear" w:color="auto" w:fill="CCEE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CCEE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w:t>
            </w:r>
          </w:p>
        </w:tc>
        <w:tc>
          <w:tcPr>
            <w:tcW w:w="50" w:type="pct"/>
            <w:shd w:val="clear" w:color="auto" w:fill="CCEE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r>
      <w:tr w:rsidR="008E203B">
        <w:trPr>
          <w:divId w:val="1593584240"/>
          <w:tblCellSpacing w:w="15" w:type="dxa"/>
        </w:trPr>
        <w:tc>
          <w:tcPr>
            <w:tcW w:w="1000" w:type="pct"/>
            <w:shd w:val="clear" w:color="auto" w:fill="FFFFFF"/>
            <w:vAlign w:val="bottom"/>
            <w:hideMark/>
          </w:tcPr>
          <w:p w:rsidR="00000000" w:rsidRDefault="008E203B">
            <w:pPr>
              <w:pStyle w:val="a3"/>
              <w:spacing w:before="0" w:beforeAutospacing="0" w:after="0" w:afterAutospacing="0"/>
              <w:ind w:left="180" w:hanging="180"/>
              <w:rPr>
                <w:rFonts w:ascii="Times New Roman" w:hAnsi="Times New Roman" w:cs="Times New Roman"/>
                <w:sz w:val="16"/>
                <w:szCs w:val="16"/>
              </w:rPr>
            </w:pPr>
            <w:r>
              <w:rPr>
                <w:rFonts w:ascii="Times New Roman" w:hAnsi="Times New Roman" w:cs="Times New Roman"/>
                <w:sz w:val="16"/>
                <w:szCs w:val="16"/>
              </w:rPr>
              <w:t>Surrender of restricted common stock</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FFFF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w:t>
            </w:r>
          </w:p>
        </w:tc>
        <w:tc>
          <w:tcPr>
            <w:tcW w:w="50" w:type="pct"/>
            <w:shd w:val="clear" w:color="auto" w:fill="FFFF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FFFF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w:t>
            </w:r>
          </w:p>
        </w:tc>
        <w:tc>
          <w:tcPr>
            <w:tcW w:w="50" w:type="pct"/>
            <w:shd w:val="clear" w:color="auto" w:fill="FFFF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FFFF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w:t>
            </w:r>
          </w:p>
        </w:tc>
        <w:tc>
          <w:tcPr>
            <w:tcW w:w="50" w:type="pct"/>
            <w:shd w:val="clear" w:color="auto" w:fill="FFFF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FFFF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w:t>
            </w:r>
          </w:p>
        </w:tc>
        <w:tc>
          <w:tcPr>
            <w:tcW w:w="50" w:type="pct"/>
            <w:shd w:val="clear" w:color="auto" w:fill="FFFF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FFFF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(187</w:t>
            </w:r>
          </w:p>
        </w:tc>
        <w:tc>
          <w:tcPr>
            <w:tcW w:w="50" w:type="pct"/>
            <w:shd w:val="clear" w:color="auto" w:fill="FFFF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FFFF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(2</w:t>
            </w:r>
          </w:p>
        </w:tc>
        <w:tc>
          <w:tcPr>
            <w:tcW w:w="50" w:type="pct"/>
            <w:shd w:val="clear" w:color="auto" w:fill="FFFF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FFFF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(3,250</w:t>
            </w:r>
          </w:p>
        </w:tc>
        <w:tc>
          <w:tcPr>
            <w:tcW w:w="50" w:type="pct"/>
            <w:shd w:val="clear" w:color="auto" w:fill="FFFF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FFFF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(3,252</w:t>
            </w:r>
          </w:p>
        </w:tc>
        <w:tc>
          <w:tcPr>
            <w:tcW w:w="50" w:type="pct"/>
            <w:shd w:val="clear" w:color="auto" w:fill="FFFF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FFFF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w:t>
            </w:r>
          </w:p>
        </w:tc>
        <w:tc>
          <w:tcPr>
            <w:tcW w:w="50" w:type="pct"/>
            <w:shd w:val="clear" w:color="auto" w:fill="FFFF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FFFF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(3,252</w:t>
            </w:r>
          </w:p>
        </w:tc>
        <w:tc>
          <w:tcPr>
            <w:tcW w:w="50" w:type="pct"/>
            <w:shd w:val="clear" w:color="auto" w:fill="FFFF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w:t>
            </w:r>
          </w:p>
        </w:tc>
      </w:tr>
      <w:tr w:rsidR="008E203B">
        <w:trPr>
          <w:divId w:val="1593584240"/>
          <w:tblCellSpacing w:w="15" w:type="dxa"/>
        </w:trPr>
        <w:tc>
          <w:tcPr>
            <w:tcW w:w="1000" w:type="pct"/>
            <w:shd w:val="clear" w:color="auto" w:fill="CCEEFF"/>
            <w:vAlign w:val="bottom"/>
            <w:hideMark/>
          </w:tcPr>
          <w:p w:rsidR="00000000" w:rsidRDefault="008E203B">
            <w:pPr>
              <w:pStyle w:val="a3"/>
              <w:spacing w:before="0" w:beforeAutospacing="0" w:after="0" w:afterAutospacing="0"/>
              <w:ind w:left="180" w:hanging="180"/>
              <w:rPr>
                <w:rFonts w:ascii="Times New Roman" w:hAnsi="Times New Roman" w:cs="Times New Roman"/>
                <w:sz w:val="16"/>
                <w:szCs w:val="16"/>
              </w:rPr>
            </w:pPr>
            <w:r>
              <w:rPr>
                <w:rFonts w:ascii="Times New Roman" w:hAnsi="Times New Roman" w:cs="Times New Roman"/>
                <w:sz w:val="16"/>
                <w:szCs w:val="16"/>
              </w:rPr>
              <w:t>Exercise of common stock options</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CCEE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w:t>
            </w:r>
          </w:p>
        </w:tc>
        <w:tc>
          <w:tcPr>
            <w:tcW w:w="50" w:type="pct"/>
            <w:shd w:val="clear" w:color="auto" w:fill="CCEE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CCEE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w:t>
            </w:r>
          </w:p>
        </w:tc>
        <w:tc>
          <w:tcPr>
            <w:tcW w:w="50" w:type="pct"/>
            <w:shd w:val="clear" w:color="auto" w:fill="CCEE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CCEE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w:t>
            </w:r>
          </w:p>
        </w:tc>
        <w:tc>
          <w:tcPr>
            <w:tcW w:w="50" w:type="pct"/>
            <w:shd w:val="clear" w:color="auto" w:fill="CCEE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CCEE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w:t>
            </w:r>
          </w:p>
        </w:tc>
        <w:tc>
          <w:tcPr>
            <w:tcW w:w="50" w:type="pct"/>
            <w:shd w:val="clear" w:color="auto" w:fill="CCEE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CCEE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52</w:t>
            </w:r>
          </w:p>
        </w:tc>
        <w:tc>
          <w:tcPr>
            <w:tcW w:w="50" w:type="pct"/>
            <w:shd w:val="clear" w:color="auto" w:fill="CCEE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CCEE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w:t>
            </w:r>
          </w:p>
        </w:tc>
        <w:tc>
          <w:tcPr>
            <w:tcW w:w="50" w:type="pct"/>
            <w:shd w:val="clear" w:color="auto" w:fill="CCEE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CCEE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681</w:t>
            </w:r>
          </w:p>
        </w:tc>
        <w:tc>
          <w:tcPr>
            <w:tcW w:w="50" w:type="pct"/>
            <w:shd w:val="clear" w:color="auto" w:fill="CCEE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CCEE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681</w:t>
            </w:r>
          </w:p>
        </w:tc>
        <w:tc>
          <w:tcPr>
            <w:tcW w:w="50" w:type="pct"/>
            <w:shd w:val="clear" w:color="auto" w:fill="CCEE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CCEE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w:t>
            </w:r>
          </w:p>
        </w:tc>
        <w:tc>
          <w:tcPr>
            <w:tcW w:w="50" w:type="pct"/>
            <w:shd w:val="clear" w:color="auto" w:fill="CCEE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shd w:val="clear" w:color="auto" w:fill="CCEE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681</w:t>
            </w:r>
          </w:p>
        </w:tc>
        <w:tc>
          <w:tcPr>
            <w:tcW w:w="50" w:type="pct"/>
            <w:shd w:val="clear" w:color="auto" w:fill="CCEE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r>
      <w:tr w:rsidR="008E203B">
        <w:trPr>
          <w:divId w:val="1593584240"/>
          <w:tblCellSpacing w:w="15" w:type="dxa"/>
        </w:trPr>
        <w:tc>
          <w:tcPr>
            <w:tcW w:w="1000" w:type="pct"/>
            <w:shd w:val="clear" w:color="auto" w:fill="FFFFFF"/>
            <w:vAlign w:val="bottom"/>
            <w:hideMark/>
          </w:tcPr>
          <w:p w:rsidR="00000000" w:rsidRDefault="008E203B">
            <w:pPr>
              <w:pStyle w:val="a3"/>
              <w:spacing w:before="0" w:beforeAutospacing="0" w:after="0" w:afterAutospacing="0"/>
              <w:ind w:left="180" w:hanging="180"/>
              <w:rPr>
                <w:rFonts w:ascii="Times New Roman" w:hAnsi="Times New Roman" w:cs="Times New Roman"/>
                <w:sz w:val="16"/>
                <w:szCs w:val="16"/>
              </w:rPr>
            </w:pPr>
            <w:r>
              <w:rPr>
                <w:rFonts w:ascii="Times New Roman" w:hAnsi="Times New Roman" w:cs="Times New Roman"/>
                <w:sz w:val="16"/>
                <w:szCs w:val="16"/>
              </w:rPr>
              <w:t>Amortization of equity awards</w:t>
            </w:r>
          </w:p>
        </w:tc>
        <w:tc>
          <w:tcPr>
            <w:tcW w:w="50" w:type="pct"/>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tcBorders>
              <w:bottom w:val="single" w:sz="6" w:space="0" w:color="000000"/>
            </w:tcBorders>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tcBorders>
              <w:bottom w:val="single" w:sz="6" w:space="0" w:color="000000"/>
            </w:tcBorders>
            <w:shd w:val="clear" w:color="auto" w:fill="FFFF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w:t>
            </w:r>
          </w:p>
        </w:tc>
        <w:tc>
          <w:tcPr>
            <w:tcW w:w="50" w:type="pct"/>
            <w:tcBorders>
              <w:bottom w:val="single" w:sz="6" w:space="0" w:color="000000"/>
            </w:tcBorders>
            <w:shd w:val="clear" w:color="auto" w:fill="FFFF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tcBorders>
              <w:bottom w:val="single" w:sz="6" w:space="0" w:color="000000"/>
            </w:tcBorders>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tcBorders>
              <w:bottom w:val="single" w:sz="6" w:space="0" w:color="000000"/>
            </w:tcBorders>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tcBorders>
              <w:bottom w:val="single" w:sz="6" w:space="0" w:color="000000"/>
            </w:tcBorders>
            <w:shd w:val="clear" w:color="auto" w:fill="FFFF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w:t>
            </w:r>
          </w:p>
        </w:tc>
        <w:tc>
          <w:tcPr>
            <w:tcW w:w="50" w:type="pct"/>
            <w:tcBorders>
              <w:bottom w:val="single" w:sz="6" w:space="0" w:color="000000"/>
            </w:tcBorders>
            <w:shd w:val="clear" w:color="auto" w:fill="FFFF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tcBorders>
              <w:bottom w:val="single" w:sz="6" w:space="0" w:color="000000"/>
            </w:tcBorders>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tcBorders>
              <w:bottom w:val="single" w:sz="6" w:space="0" w:color="000000"/>
            </w:tcBorders>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tcBorders>
              <w:bottom w:val="single" w:sz="6" w:space="0" w:color="000000"/>
            </w:tcBorders>
            <w:shd w:val="clear" w:color="auto" w:fill="FFFF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w:t>
            </w:r>
          </w:p>
        </w:tc>
        <w:tc>
          <w:tcPr>
            <w:tcW w:w="50" w:type="pct"/>
            <w:tcBorders>
              <w:bottom w:val="single" w:sz="6" w:space="0" w:color="000000"/>
            </w:tcBorders>
            <w:shd w:val="clear" w:color="auto" w:fill="FFFF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tcBorders>
              <w:bottom w:val="single" w:sz="6" w:space="0" w:color="000000"/>
            </w:tcBorders>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tcBorders>
              <w:bottom w:val="single" w:sz="6" w:space="0" w:color="000000"/>
            </w:tcBorders>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tcBorders>
              <w:bottom w:val="single" w:sz="6" w:space="0" w:color="000000"/>
            </w:tcBorders>
            <w:shd w:val="clear" w:color="auto" w:fill="FFFF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w:t>
            </w:r>
          </w:p>
        </w:tc>
        <w:tc>
          <w:tcPr>
            <w:tcW w:w="50" w:type="pct"/>
            <w:tcBorders>
              <w:bottom w:val="single" w:sz="6" w:space="0" w:color="000000"/>
            </w:tcBorders>
            <w:shd w:val="clear" w:color="auto" w:fill="FFFF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tcBorders>
              <w:bottom w:val="single" w:sz="6" w:space="0" w:color="000000"/>
            </w:tcBorders>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tcBorders>
              <w:bottom w:val="single" w:sz="6" w:space="0" w:color="000000"/>
            </w:tcBorders>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tcBorders>
              <w:bottom w:val="single" w:sz="6" w:space="0" w:color="000000"/>
            </w:tcBorders>
            <w:shd w:val="clear" w:color="auto" w:fill="FFFF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w:t>
            </w:r>
          </w:p>
        </w:tc>
        <w:tc>
          <w:tcPr>
            <w:tcW w:w="50" w:type="pct"/>
            <w:tcBorders>
              <w:bottom w:val="single" w:sz="6" w:space="0" w:color="000000"/>
            </w:tcBorders>
            <w:shd w:val="clear" w:color="auto" w:fill="FFFF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tcBorders>
              <w:bottom w:val="single" w:sz="6" w:space="0" w:color="000000"/>
            </w:tcBorders>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tcBorders>
              <w:bottom w:val="single" w:sz="6" w:space="0" w:color="000000"/>
            </w:tcBorders>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tcBorders>
              <w:bottom w:val="single" w:sz="6" w:space="0" w:color="000000"/>
            </w:tcBorders>
            <w:shd w:val="clear" w:color="auto" w:fill="FFFF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w:t>
            </w:r>
          </w:p>
        </w:tc>
        <w:tc>
          <w:tcPr>
            <w:tcW w:w="50" w:type="pct"/>
            <w:tcBorders>
              <w:bottom w:val="single" w:sz="6" w:space="0" w:color="000000"/>
            </w:tcBorders>
            <w:shd w:val="clear" w:color="auto" w:fill="FFFF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tcBorders>
              <w:bottom w:val="single" w:sz="6" w:space="0" w:color="000000"/>
            </w:tcBorders>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tcBorders>
              <w:bottom w:val="single" w:sz="6" w:space="0" w:color="000000"/>
            </w:tcBorders>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tcBorders>
              <w:bottom w:val="single" w:sz="6" w:space="0" w:color="000000"/>
            </w:tcBorders>
            <w:shd w:val="clear" w:color="auto" w:fill="FFFF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5,178</w:t>
            </w:r>
          </w:p>
        </w:tc>
        <w:tc>
          <w:tcPr>
            <w:tcW w:w="50" w:type="pct"/>
            <w:tcBorders>
              <w:bottom w:val="single" w:sz="6" w:space="0" w:color="000000"/>
            </w:tcBorders>
            <w:shd w:val="clear" w:color="auto" w:fill="FFFF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tcBorders>
              <w:bottom w:val="single" w:sz="6" w:space="0" w:color="000000"/>
            </w:tcBorders>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tcBorders>
              <w:bottom w:val="single" w:sz="6" w:space="0" w:color="000000"/>
            </w:tcBorders>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tcBorders>
              <w:bottom w:val="single" w:sz="6" w:space="0" w:color="000000"/>
            </w:tcBorders>
            <w:shd w:val="clear" w:color="auto" w:fill="FFFF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5,178</w:t>
            </w:r>
          </w:p>
        </w:tc>
        <w:tc>
          <w:tcPr>
            <w:tcW w:w="50" w:type="pct"/>
            <w:tcBorders>
              <w:bottom w:val="single" w:sz="6" w:space="0" w:color="000000"/>
            </w:tcBorders>
            <w:shd w:val="clear" w:color="auto" w:fill="FFFF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tcBorders>
              <w:bottom w:val="single" w:sz="6" w:space="0" w:color="000000"/>
            </w:tcBorders>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tcBorders>
              <w:bottom w:val="single" w:sz="6" w:space="0" w:color="000000"/>
            </w:tcBorders>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tcBorders>
              <w:bottom w:val="single" w:sz="6" w:space="0" w:color="000000"/>
            </w:tcBorders>
            <w:shd w:val="clear" w:color="auto" w:fill="FFFF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w:t>
            </w:r>
          </w:p>
        </w:tc>
        <w:tc>
          <w:tcPr>
            <w:tcW w:w="50" w:type="pct"/>
            <w:tcBorders>
              <w:bottom w:val="single" w:sz="6" w:space="0" w:color="000000"/>
            </w:tcBorders>
            <w:shd w:val="clear" w:color="auto" w:fill="FFFF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tcBorders>
              <w:bottom w:val="single" w:sz="6" w:space="0" w:color="000000"/>
            </w:tcBorders>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tcBorders>
              <w:bottom w:val="single" w:sz="6" w:space="0" w:color="000000"/>
            </w:tcBorders>
            <w:shd w:val="clear" w:color="auto" w:fill="FFFF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tcBorders>
              <w:bottom w:val="single" w:sz="6" w:space="0" w:color="000000"/>
            </w:tcBorders>
            <w:shd w:val="clear" w:color="auto" w:fill="FFFF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5,178</w:t>
            </w:r>
          </w:p>
        </w:tc>
        <w:tc>
          <w:tcPr>
            <w:tcW w:w="50" w:type="pct"/>
            <w:shd w:val="clear" w:color="auto" w:fill="FFFF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r>
      <w:tr w:rsidR="008E203B">
        <w:trPr>
          <w:divId w:val="1593584240"/>
          <w:tblCellSpacing w:w="15" w:type="dxa"/>
        </w:trPr>
        <w:tc>
          <w:tcPr>
            <w:tcW w:w="1000" w:type="pct"/>
            <w:shd w:val="clear" w:color="auto" w:fill="CCEEFF"/>
            <w:vAlign w:val="bottom"/>
            <w:hideMark/>
          </w:tcPr>
          <w:p w:rsidR="00000000" w:rsidRDefault="008E203B">
            <w:pPr>
              <w:pStyle w:val="a3"/>
              <w:spacing w:before="0" w:beforeAutospacing="0" w:after="0" w:afterAutospacing="0"/>
              <w:ind w:left="180" w:hanging="180"/>
              <w:rPr>
                <w:rFonts w:ascii="Times New Roman" w:hAnsi="Times New Roman" w:cs="Times New Roman"/>
                <w:sz w:val="16"/>
                <w:szCs w:val="16"/>
              </w:rPr>
            </w:pPr>
            <w:r>
              <w:rPr>
                <w:rFonts w:ascii="Times New Roman" w:hAnsi="Times New Roman" w:cs="Times New Roman"/>
                <w:sz w:val="16"/>
                <w:szCs w:val="16"/>
              </w:rPr>
              <w:t>Balance at March 31, 2019</w:t>
            </w:r>
          </w:p>
        </w:tc>
        <w:tc>
          <w:tcPr>
            <w:tcW w:w="50" w:type="pct"/>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tcBorders>
              <w:bottom w:val="double" w:sz="6" w:space="0" w:color="000000"/>
            </w:tcBorders>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w:t>
            </w:r>
          </w:p>
        </w:tc>
        <w:tc>
          <w:tcPr>
            <w:tcW w:w="250" w:type="pct"/>
            <w:tcBorders>
              <w:bottom w:val="double" w:sz="6" w:space="0" w:color="000000"/>
            </w:tcBorders>
            <w:shd w:val="clear" w:color="auto" w:fill="CCEE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(804,241</w:t>
            </w:r>
          </w:p>
        </w:tc>
        <w:tc>
          <w:tcPr>
            <w:tcW w:w="50" w:type="pct"/>
            <w:tcBorders>
              <w:bottom w:val="double" w:sz="6" w:space="0" w:color="000000"/>
            </w:tcBorders>
            <w:shd w:val="clear" w:color="auto" w:fill="CCEE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w:t>
            </w:r>
          </w:p>
        </w:tc>
        <w:tc>
          <w:tcPr>
            <w:tcW w:w="50" w:type="pct"/>
            <w:tcBorders>
              <w:bottom w:val="double" w:sz="6" w:space="0" w:color="000000"/>
            </w:tcBorders>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tcBorders>
              <w:bottom w:val="double" w:sz="6" w:space="0" w:color="000000"/>
            </w:tcBorders>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w:t>
            </w:r>
          </w:p>
        </w:tc>
        <w:tc>
          <w:tcPr>
            <w:tcW w:w="250" w:type="pct"/>
            <w:tcBorders>
              <w:bottom w:val="double" w:sz="6" w:space="0" w:color="000000"/>
            </w:tcBorders>
            <w:shd w:val="clear" w:color="auto" w:fill="CCEE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w:t>
            </w:r>
          </w:p>
        </w:tc>
        <w:tc>
          <w:tcPr>
            <w:tcW w:w="50" w:type="pct"/>
            <w:tcBorders>
              <w:bottom w:val="double" w:sz="6" w:space="0" w:color="000000"/>
            </w:tcBorders>
            <w:shd w:val="clear" w:color="auto" w:fill="CCEE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tcBorders>
              <w:bottom w:val="double" w:sz="6" w:space="0" w:color="000000"/>
            </w:tcBorders>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tcBorders>
              <w:bottom w:val="double" w:sz="6" w:space="0" w:color="000000"/>
            </w:tcBorders>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tcBorders>
              <w:bottom w:val="double" w:sz="6" w:space="0" w:color="000000"/>
            </w:tcBorders>
            <w:shd w:val="clear" w:color="auto" w:fill="CCEE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43</w:t>
            </w:r>
          </w:p>
        </w:tc>
        <w:tc>
          <w:tcPr>
            <w:tcW w:w="50" w:type="pct"/>
            <w:tcBorders>
              <w:bottom w:val="double" w:sz="6" w:space="0" w:color="000000"/>
            </w:tcBorders>
            <w:shd w:val="clear" w:color="auto" w:fill="CCEE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tcBorders>
              <w:bottom w:val="double" w:sz="6" w:space="0" w:color="000000"/>
            </w:tcBorders>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tcBorders>
              <w:bottom w:val="double" w:sz="6" w:space="0" w:color="000000"/>
            </w:tcBorders>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w:t>
            </w:r>
          </w:p>
        </w:tc>
        <w:tc>
          <w:tcPr>
            <w:tcW w:w="250" w:type="pct"/>
            <w:tcBorders>
              <w:bottom w:val="double" w:sz="6" w:space="0" w:color="000000"/>
            </w:tcBorders>
            <w:shd w:val="clear" w:color="auto" w:fill="CCEE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43</w:t>
            </w:r>
          </w:p>
        </w:tc>
        <w:tc>
          <w:tcPr>
            <w:tcW w:w="50" w:type="pct"/>
            <w:tcBorders>
              <w:bottom w:val="double" w:sz="6" w:space="0" w:color="000000"/>
            </w:tcBorders>
            <w:shd w:val="clear" w:color="auto" w:fill="CCEE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tcBorders>
              <w:bottom w:val="double" w:sz="6" w:space="0" w:color="000000"/>
            </w:tcBorders>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tcBorders>
              <w:bottom w:val="double" w:sz="6" w:space="0" w:color="000000"/>
            </w:tcBorders>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250" w:type="pct"/>
            <w:tcBorders>
              <w:bottom w:val="double" w:sz="6" w:space="0" w:color="000000"/>
            </w:tcBorders>
            <w:shd w:val="clear" w:color="auto" w:fill="CCEE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422,037</w:t>
            </w:r>
          </w:p>
        </w:tc>
        <w:tc>
          <w:tcPr>
            <w:tcW w:w="50" w:type="pct"/>
            <w:tcBorders>
              <w:bottom w:val="double" w:sz="6" w:space="0" w:color="000000"/>
            </w:tcBorders>
            <w:shd w:val="clear" w:color="auto" w:fill="CCEE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tcBorders>
              <w:bottom w:val="double" w:sz="6" w:space="0" w:color="000000"/>
            </w:tcBorders>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tcBorders>
              <w:bottom w:val="double" w:sz="6" w:space="0" w:color="000000"/>
            </w:tcBorders>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w:t>
            </w:r>
          </w:p>
        </w:tc>
        <w:tc>
          <w:tcPr>
            <w:tcW w:w="250" w:type="pct"/>
            <w:tcBorders>
              <w:bottom w:val="double" w:sz="6" w:space="0" w:color="000000"/>
            </w:tcBorders>
            <w:shd w:val="clear" w:color="auto" w:fill="CCEE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4,220</w:t>
            </w:r>
          </w:p>
        </w:tc>
        <w:tc>
          <w:tcPr>
            <w:tcW w:w="50" w:type="pct"/>
            <w:tcBorders>
              <w:bottom w:val="double" w:sz="6" w:space="0" w:color="000000"/>
            </w:tcBorders>
            <w:shd w:val="clear" w:color="auto" w:fill="CCEE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tcBorders>
              <w:bottom w:val="double" w:sz="6" w:space="0" w:color="000000"/>
            </w:tcBorders>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tcBorders>
              <w:bottom w:val="double" w:sz="6" w:space="0" w:color="000000"/>
            </w:tcBorders>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w:t>
            </w:r>
          </w:p>
        </w:tc>
        <w:tc>
          <w:tcPr>
            <w:tcW w:w="250" w:type="pct"/>
            <w:tcBorders>
              <w:bottom w:val="double" w:sz="6" w:space="0" w:color="000000"/>
            </w:tcBorders>
            <w:shd w:val="clear" w:color="auto" w:fill="CCEE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6,119,855</w:t>
            </w:r>
          </w:p>
        </w:tc>
        <w:tc>
          <w:tcPr>
            <w:tcW w:w="50" w:type="pct"/>
            <w:tcBorders>
              <w:bottom w:val="double" w:sz="6" w:space="0" w:color="000000"/>
            </w:tcBorders>
            <w:shd w:val="clear" w:color="auto" w:fill="CCEE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tcBorders>
              <w:bottom w:val="double" w:sz="6" w:space="0" w:color="000000"/>
            </w:tcBorders>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tcBorders>
              <w:bottom w:val="double" w:sz="6" w:space="0" w:color="000000"/>
            </w:tcBorders>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w:t>
            </w:r>
          </w:p>
        </w:tc>
        <w:tc>
          <w:tcPr>
            <w:tcW w:w="250" w:type="pct"/>
            <w:tcBorders>
              <w:bottom w:val="double" w:sz="6" w:space="0" w:color="000000"/>
            </w:tcBorders>
            <w:shd w:val="clear" w:color="auto" w:fill="CCEE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5,319,877</w:t>
            </w:r>
          </w:p>
        </w:tc>
        <w:tc>
          <w:tcPr>
            <w:tcW w:w="50" w:type="pct"/>
            <w:tcBorders>
              <w:bottom w:val="double" w:sz="6" w:space="0" w:color="000000"/>
            </w:tcBorders>
            <w:shd w:val="clear" w:color="auto" w:fill="CCEE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tcBorders>
              <w:bottom w:val="double" w:sz="6" w:space="0" w:color="000000"/>
            </w:tcBorders>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tcBorders>
              <w:bottom w:val="double" w:sz="6" w:space="0" w:color="000000"/>
            </w:tcBorders>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w:t>
            </w:r>
          </w:p>
        </w:tc>
        <w:tc>
          <w:tcPr>
            <w:tcW w:w="250" w:type="pct"/>
            <w:tcBorders>
              <w:bottom w:val="double" w:sz="6" w:space="0" w:color="000000"/>
            </w:tcBorders>
            <w:shd w:val="clear" w:color="auto" w:fill="CCEE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76,981</w:t>
            </w:r>
          </w:p>
        </w:tc>
        <w:tc>
          <w:tcPr>
            <w:tcW w:w="50" w:type="pct"/>
            <w:tcBorders>
              <w:bottom w:val="double" w:sz="6" w:space="0" w:color="000000"/>
            </w:tcBorders>
            <w:shd w:val="clear" w:color="auto" w:fill="CCEEFF"/>
            <w:noWrap/>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tcBorders>
              <w:bottom w:val="double" w:sz="6" w:space="0" w:color="000000"/>
            </w:tcBorders>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c>
          <w:tcPr>
            <w:tcW w:w="50" w:type="pct"/>
            <w:tcBorders>
              <w:bottom w:val="double" w:sz="6" w:space="0" w:color="000000"/>
            </w:tcBorders>
            <w:shd w:val="clear" w:color="auto" w:fill="CCEEFF"/>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w:t>
            </w:r>
          </w:p>
        </w:tc>
        <w:tc>
          <w:tcPr>
            <w:tcW w:w="250" w:type="pct"/>
            <w:tcBorders>
              <w:bottom w:val="double" w:sz="6" w:space="0" w:color="000000"/>
            </w:tcBorders>
            <w:shd w:val="clear" w:color="auto" w:fill="CCEEFF"/>
            <w:vAlign w:val="bottom"/>
            <w:hideMark/>
          </w:tcPr>
          <w:p w:rsidR="00000000" w:rsidRDefault="008E203B">
            <w:pPr>
              <w:jc w:val="right"/>
              <w:rPr>
                <w:rFonts w:ascii="Times New Roman" w:hAnsi="Times New Roman" w:cs="Times New Roman"/>
                <w:sz w:val="16"/>
                <w:szCs w:val="16"/>
              </w:rPr>
            </w:pPr>
            <w:r>
              <w:rPr>
                <w:rFonts w:ascii="Times New Roman" w:hAnsi="Times New Roman" w:cs="Times New Roman"/>
                <w:sz w:val="16"/>
                <w:szCs w:val="16"/>
              </w:rPr>
              <w:t>5,396,858</w:t>
            </w:r>
          </w:p>
        </w:tc>
        <w:tc>
          <w:tcPr>
            <w:tcW w:w="50" w:type="pct"/>
            <w:shd w:val="clear" w:color="auto" w:fill="CCEEFF"/>
            <w:noWrap/>
            <w:tcMar>
              <w:top w:w="15" w:type="dxa"/>
              <w:left w:w="15" w:type="dxa"/>
              <w:bottom w:w="45" w:type="dxa"/>
              <w:right w:w="15" w:type="dxa"/>
            </w:tcMar>
            <w:vAlign w:val="bottom"/>
            <w:hideMark/>
          </w:tcPr>
          <w:p w:rsidR="00000000" w:rsidRDefault="008E203B">
            <w:pPr>
              <w:rPr>
                <w:rFonts w:ascii="Times New Roman" w:hAnsi="Times New Roman" w:cs="Times New Roman"/>
                <w:sz w:val="16"/>
                <w:szCs w:val="16"/>
              </w:rPr>
            </w:pPr>
            <w:r>
              <w:rPr>
                <w:rFonts w:ascii="Times New Roman" w:hAnsi="Times New Roman" w:cs="Times New Roman"/>
                <w:sz w:val="16"/>
                <w:szCs w:val="16"/>
              </w:rPr>
              <w:t> </w:t>
            </w:r>
          </w:p>
        </w:tc>
      </w:tr>
    </w:tbl>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The accompanying notes are an integral part of these condensed consolidated financial statements.</w:t>
      </w:r>
    </w:p>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p w:rsidR="00000000" w:rsidRDefault="008E203B">
      <w:pPr>
        <w:jc w:val="center"/>
        <w:divId w:val="530457910"/>
        <w:rPr>
          <w:rFonts w:ascii="Times New Roman" w:hAnsi="Times New Roman" w:cs="Times New Roman"/>
          <w:sz w:val="20"/>
          <w:szCs w:val="20"/>
        </w:rPr>
      </w:pPr>
      <w:r>
        <w:rPr>
          <w:rFonts w:ascii="Times New Roman" w:hAnsi="Times New Roman" w:cs="Times New Roman"/>
          <w:sz w:val="20"/>
          <w:szCs w:val="20"/>
        </w:rPr>
        <w:t>6</w:t>
      </w:r>
    </w:p>
    <w:p w:rsidR="00000000" w:rsidRDefault="008E203B">
      <w:pPr>
        <w:divId w:val="530457910"/>
        <w:rPr>
          <w:rFonts w:ascii="Times New Roman" w:hAnsi="Times New Roman" w:cs="Times New Roman"/>
          <w:sz w:val="20"/>
          <w:szCs w:val="20"/>
        </w:rPr>
      </w:pPr>
      <w:r>
        <w:rPr>
          <w:rFonts w:ascii="Times New Roman" w:hAnsi="Times New Roman" w:cs="Times New Roman"/>
          <w:sz w:val="20"/>
          <w:szCs w:val="20"/>
        </w:rPr>
        <w:pict>
          <v:rect id="_x0000_i1034" style="width:415.3pt;height:1.5pt" o:hralign="center" o:hrstd="t" o:hrnoshade="t" o:hr="t" fillcolor="black" stroked="f"/>
        </w:pict>
      </w:r>
    </w:p>
    <w:p w:rsidR="00000000" w:rsidRDefault="008E203B">
      <w:pPr>
        <w:divId w:val="530457910"/>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p w:rsidR="00000000" w:rsidRDefault="008E203B">
      <w:pPr>
        <w:divId w:val="735781098"/>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jc w:val="center"/>
        <w:rPr>
          <w:rFonts w:ascii="Times New Roman" w:hAnsi="Times New Roman" w:cs="Times New Roman"/>
          <w:sz w:val="20"/>
          <w:szCs w:val="20"/>
        </w:rPr>
      </w:pPr>
      <w:bookmarkStart w:id="5" w:name="cashflow"/>
      <w:bookmarkEnd w:id="5"/>
      <w:r>
        <w:rPr>
          <w:rFonts w:ascii="Times New Roman" w:hAnsi="Times New Roman" w:cs="Times New Roman"/>
          <w:sz w:val="20"/>
          <w:szCs w:val="20"/>
        </w:rPr>
        <w:t>KIMCO REALTY CORPORATION AND SUBSIDIARIES</w:t>
      </w:r>
    </w:p>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CONDENSED CONSOLIDATED STATEMENTS OF CASH FLOWS</w:t>
      </w:r>
    </w:p>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(Unaudited)</w:t>
      </w:r>
    </w:p>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(in thousands)</w:t>
      </w:r>
    </w:p>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809"/>
        <w:gridCol w:w="78"/>
        <w:gridCol w:w="100"/>
        <w:gridCol w:w="992"/>
        <w:gridCol w:w="78"/>
        <w:gridCol w:w="78"/>
        <w:gridCol w:w="100"/>
        <w:gridCol w:w="992"/>
        <w:gridCol w:w="79"/>
      </w:tblGrid>
      <w:tr w:rsidR="00000000">
        <w:trPr>
          <w:divId w:val="1772118619"/>
          <w:tblCellSpacing w:w="0" w:type="dxa"/>
        </w:trPr>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gridSpan w:val="6"/>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 xml:space="preserve">Three Months Ended March 31,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772118619"/>
          <w:tblCellSpacing w:w="0" w:type="dxa"/>
        </w:trPr>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gridSpan w:val="2"/>
            <w:tcBorders>
              <w:bottom w:val="single" w:sz="6" w:space="0" w:color="000000"/>
            </w:tcBorders>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2019</w:t>
            </w:r>
          </w:p>
        </w:tc>
        <w:tc>
          <w:tcPr>
            <w:tcW w:w="0" w:type="auto"/>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gridSpan w:val="2"/>
            <w:tcBorders>
              <w:bottom w:val="single" w:sz="6" w:space="0" w:color="000000"/>
            </w:tcBorders>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2018</w:t>
            </w:r>
          </w:p>
        </w:tc>
        <w:tc>
          <w:tcPr>
            <w:tcW w:w="0" w:type="auto"/>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772118619"/>
          <w:tblCellSpacing w:w="0" w:type="dxa"/>
        </w:trPr>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772118619"/>
          <w:tblCellSpacing w:w="0" w:type="dxa"/>
        </w:trPr>
        <w:tc>
          <w:tcPr>
            <w:tcW w:w="0" w:type="auto"/>
            <w:shd w:val="clear" w:color="auto" w:fill="CCEEFF"/>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Cash flow from operating activities:</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772118619"/>
          <w:tblCellSpacing w:w="0" w:type="dxa"/>
        </w:trPr>
        <w:tc>
          <w:tcPr>
            <w:tcW w:w="0" w:type="auto"/>
            <w:shd w:val="clear" w:color="auto" w:fill="FFFFFF"/>
            <w:vAlign w:val="bottom"/>
            <w:hideMark/>
          </w:tcPr>
          <w:p w:rsidR="00000000" w:rsidRDefault="008E203B">
            <w:pPr>
              <w:pStyle w:val="a3"/>
              <w:spacing w:before="0" w:beforeAutospacing="0" w:after="0" w:afterAutospacing="0"/>
              <w:ind w:left="180"/>
              <w:rPr>
                <w:rFonts w:ascii="Times New Roman" w:hAnsi="Times New Roman" w:cs="Times New Roman"/>
                <w:sz w:val="20"/>
                <w:szCs w:val="20"/>
              </w:rPr>
            </w:pPr>
            <w:r>
              <w:rPr>
                <w:rFonts w:ascii="Times New Roman" w:hAnsi="Times New Roman" w:cs="Times New Roman"/>
                <w:sz w:val="20"/>
                <w:szCs w:val="20"/>
              </w:rPr>
              <w:t>Net income</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60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116,678</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60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143,982</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772118619"/>
          <w:tblCellSpacing w:w="0" w:type="dxa"/>
        </w:trPr>
        <w:tc>
          <w:tcPr>
            <w:tcW w:w="0" w:type="auto"/>
            <w:shd w:val="clear" w:color="auto" w:fill="CCEEFF"/>
            <w:vAlign w:val="bottom"/>
            <w:hideMark/>
          </w:tcPr>
          <w:p w:rsidR="00000000" w:rsidRDefault="008E203B">
            <w:pPr>
              <w:pStyle w:val="a3"/>
              <w:spacing w:before="0" w:beforeAutospacing="0" w:after="0" w:afterAutospacing="0"/>
              <w:ind w:left="180"/>
              <w:rPr>
                <w:rFonts w:ascii="Times New Roman" w:hAnsi="Times New Roman" w:cs="Times New Roman"/>
                <w:sz w:val="20"/>
                <w:szCs w:val="20"/>
              </w:rPr>
            </w:pPr>
            <w:r>
              <w:rPr>
                <w:rFonts w:ascii="Times New Roman" w:hAnsi="Times New Roman" w:cs="Times New Roman"/>
                <w:sz w:val="20"/>
                <w:szCs w:val="20"/>
              </w:rPr>
              <w:t>Adjustments to reconcile net income to net cash provided by operating activities:</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772118619"/>
          <w:tblCellSpacing w:w="0" w:type="dxa"/>
        </w:trPr>
        <w:tc>
          <w:tcPr>
            <w:tcW w:w="0" w:type="auto"/>
            <w:shd w:val="clear" w:color="auto" w:fill="FFFFFF"/>
            <w:vAlign w:val="bottom"/>
            <w:hideMark/>
          </w:tcPr>
          <w:p w:rsidR="00000000" w:rsidRDefault="008E203B">
            <w:pPr>
              <w:pStyle w:val="a3"/>
              <w:spacing w:before="0" w:beforeAutospacing="0" w:after="0" w:afterAutospacing="0"/>
              <w:ind w:left="360"/>
              <w:rPr>
                <w:rFonts w:ascii="Times New Roman" w:hAnsi="Times New Roman" w:cs="Times New Roman"/>
                <w:sz w:val="20"/>
                <w:szCs w:val="20"/>
              </w:rPr>
            </w:pPr>
            <w:r>
              <w:rPr>
                <w:rFonts w:ascii="Times New Roman" w:hAnsi="Times New Roman" w:cs="Times New Roman"/>
                <w:sz w:val="20"/>
                <w:szCs w:val="20"/>
              </w:rPr>
              <w:t>Depreciation and amortization</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71,561</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81,382</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772118619"/>
          <w:tblCellSpacing w:w="0" w:type="dxa"/>
        </w:trPr>
        <w:tc>
          <w:tcPr>
            <w:tcW w:w="0" w:type="auto"/>
            <w:shd w:val="clear" w:color="auto" w:fill="CCEEFF"/>
            <w:vAlign w:val="bottom"/>
            <w:hideMark/>
          </w:tcPr>
          <w:p w:rsidR="00000000" w:rsidRDefault="008E203B">
            <w:pPr>
              <w:pStyle w:val="a3"/>
              <w:spacing w:before="0" w:beforeAutospacing="0" w:after="0" w:afterAutospacing="0"/>
              <w:ind w:left="360"/>
              <w:rPr>
                <w:rFonts w:ascii="Times New Roman" w:hAnsi="Times New Roman" w:cs="Times New Roman"/>
                <w:sz w:val="20"/>
                <w:szCs w:val="20"/>
              </w:rPr>
            </w:pPr>
            <w:r>
              <w:rPr>
                <w:rFonts w:ascii="Times New Roman" w:hAnsi="Times New Roman" w:cs="Times New Roman"/>
                <w:sz w:val="20"/>
                <w:szCs w:val="20"/>
              </w:rPr>
              <w:t>Impairment charges</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4,175</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7,646</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772118619"/>
          <w:tblCellSpacing w:w="0" w:type="dxa"/>
        </w:trPr>
        <w:tc>
          <w:tcPr>
            <w:tcW w:w="0" w:type="auto"/>
            <w:shd w:val="clear" w:color="auto" w:fill="FFFFFF"/>
            <w:vAlign w:val="bottom"/>
            <w:hideMark/>
          </w:tcPr>
          <w:p w:rsidR="00000000" w:rsidRDefault="008E203B">
            <w:pPr>
              <w:pStyle w:val="a3"/>
              <w:spacing w:before="0" w:beforeAutospacing="0" w:after="0" w:afterAutospacing="0"/>
              <w:ind w:left="360"/>
              <w:rPr>
                <w:rFonts w:ascii="Times New Roman" w:hAnsi="Times New Roman" w:cs="Times New Roman"/>
                <w:sz w:val="20"/>
                <w:szCs w:val="20"/>
              </w:rPr>
            </w:pPr>
            <w:r>
              <w:rPr>
                <w:rFonts w:ascii="Times New Roman" w:hAnsi="Times New Roman" w:cs="Times New Roman"/>
                <w:sz w:val="20"/>
                <w:szCs w:val="20"/>
              </w:rPr>
              <w:t>Equity award expense</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5,477</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5,182</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772118619"/>
          <w:tblCellSpacing w:w="0" w:type="dxa"/>
        </w:trPr>
        <w:tc>
          <w:tcPr>
            <w:tcW w:w="0" w:type="auto"/>
            <w:shd w:val="clear" w:color="auto" w:fill="CCEEFF"/>
            <w:vAlign w:val="bottom"/>
            <w:hideMark/>
          </w:tcPr>
          <w:p w:rsidR="00000000" w:rsidRDefault="008E203B">
            <w:pPr>
              <w:pStyle w:val="a3"/>
              <w:spacing w:before="0" w:beforeAutospacing="0" w:after="0" w:afterAutospacing="0"/>
              <w:ind w:left="360"/>
              <w:rPr>
                <w:rFonts w:ascii="Times New Roman" w:hAnsi="Times New Roman" w:cs="Times New Roman"/>
                <w:sz w:val="20"/>
                <w:szCs w:val="20"/>
              </w:rPr>
            </w:pPr>
            <w:r>
              <w:rPr>
                <w:rFonts w:ascii="Times New Roman" w:hAnsi="Times New Roman" w:cs="Times New Roman"/>
                <w:sz w:val="20"/>
                <w:szCs w:val="20"/>
              </w:rPr>
              <w:t>Gain on sale of properties/change in control of interests</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(23,595</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(56,971</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r>
      <w:tr w:rsidR="00000000">
        <w:trPr>
          <w:divId w:val="1772118619"/>
          <w:tblCellSpacing w:w="0" w:type="dxa"/>
        </w:trPr>
        <w:tc>
          <w:tcPr>
            <w:tcW w:w="0" w:type="auto"/>
            <w:shd w:val="clear" w:color="auto" w:fill="FFFFFF"/>
            <w:vAlign w:val="bottom"/>
            <w:hideMark/>
          </w:tcPr>
          <w:p w:rsidR="00000000" w:rsidRDefault="008E203B">
            <w:pPr>
              <w:pStyle w:val="a3"/>
              <w:spacing w:before="0" w:beforeAutospacing="0" w:after="0" w:afterAutospacing="0"/>
              <w:ind w:left="360"/>
              <w:rPr>
                <w:rFonts w:ascii="Times New Roman" w:hAnsi="Times New Roman" w:cs="Times New Roman"/>
                <w:sz w:val="20"/>
                <w:szCs w:val="20"/>
              </w:rPr>
            </w:pPr>
            <w:r>
              <w:rPr>
                <w:rFonts w:ascii="Times New Roman" w:hAnsi="Times New Roman" w:cs="Times New Roman"/>
                <w:sz w:val="20"/>
                <w:szCs w:val="20"/>
              </w:rPr>
              <w:t>Equity in income of joint ventures, net</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(18,754</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(16,913</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r>
      <w:tr w:rsidR="00000000">
        <w:trPr>
          <w:divId w:val="1772118619"/>
          <w:tblCellSpacing w:w="0" w:type="dxa"/>
        </w:trPr>
        <w:tc>
          <w:tcPr>
            <w:tcW w:w="0" w:type="auto"/>
            <w:shd w:val="clear" w:color="auto" w:fill="CCEEFF"/>
            <w:vAlign w:val="bottom"/>
            <w:hideMark/>
          </w:tcPr>
          <w:p w:rsidR="00000000" w:rsidRDefault="008E203B">
            <w:pPr>
              <w:pStyle w:val="a3"/>
              <w:spacing w:before="0" w:beforeAutospacing="0" w:after="0" w:afterAutospacing="0"/>
              <w:ind w:left="360"/>
              <w:rPr>
                <w:rFonts w:ascii="Times New Roman" w:hAnsi="Times New Roman" w:cs="Times New Roman"/>
                <w:sz w:val="20"/>
                <w:szCs w:val="20"/>
              </w:rPr>
            </w:pPr>
            <w:r>
              <w:rPr>
                <w:rFonts w:ascii="Times New Roman" w:hAnsi="Times New Roman" w:cs="Times New Roman"/>
                <w:sz w:val="20"/>
                <w:szCs w:val="20"/>
              </w:rPr>
              <w:t>Equity in income of other real estate investments, net</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(6,224</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(9,976</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r>
      <w:tr w:rsidR="00000000">
        <w:trPr>
          <w:divId w:val="1772118619"/>
          <w:tblCellSpacing w:w="0" w:type="dxa"/>
        </w:trPr>
        <w:tc>
          <w:tcPr>
            <w:tcW w:w="0" w:type="auto"/>
            <w:shd w:val="clear" w:color="auto" w:fill="FFFFFF"/>
            <w:vAlign w:val="bottom"/>
            <w:hideMark/>
          </w:tcPr>
          <w:p w:rsidR="00000000" w:rsidRDefault="008E203B">
            <w:pPr>
              <w:pStyle w:val="a3"/>
              <w:spacing w:before="0" w:beforeAutospacing="0" w:after="0" w:afterAutospacing="0"/>
              <w:ind w:left="360"/>
              <w:rPr>
                <w:rFonts w:ascii="Times New Roman" w:hAnsi="Times New Roman" w:cs="Times New Roman"/>
                <w:sz w:val="20"/>
                <w:szCs w:val="20"/>
              </w:rPr>
            </w:pPr>
            <w:r>
              <w:rPr>
                <w:rFonts w:ascii="Times New Roman" w:hAnsi="Times New Roman" w:cs="Times New Roman"/>
                <w:sz w:val="20"/>
                <w:szCs w:val="20"/>
              </w:rPr>
              <w:t>Distributions from joint ventures and other real estate investments</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28,524</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34,661</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772118619"/>
          <w:tblCellSpacing w:w="0" w:type="dxa"/>
        </w:trPr>
        <w:tc>
          <w:tcPr>
            <w:tcW w:w="0" w:type="auto"/>
            <w:shd w:val="clear" w:color="auto" w:fill="CCEEFF"/>
            <w:vAlign w:val="bottom"/>
            <w:hideMark/>
          </w:tcPr>
          <w:p w:rsidR="00000000" w:rsidRDefault="008E203B">
            <w:pPr>
              <w:pStyle w:val="a3"/>
              <w:spacing w:before="0" w:beforeAutospacing="0" w:after="0" w:afterAutospacing="0"/>
              <w:ind w:left="360"/>
              <w:rPr>
                <w:rFonts w:ascii="Times New Roman" w:hAnsi="Times New Roman" w:cs="Times New Roman"/>
                <w:sz w:val="20"/>
                <w:szCs w:val="20"/>
              </w:rPr>
            </w:pPr>
            <w:r>
              <w:rPr>
                <w:rFonts w:ascii="Times New Roman" w:hAnsi="Times New Roman" w:cs="Times New Roman"/>
                <w:sz w:val="20"/>
                <w:szCs w:val="20"/>
              </w:rPr>
              <w:t>Change in accounts and notes receivable</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878</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5,224</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772118619"/>
          <w:tblCellSpacing w:w="0" w:type="dxa"/>
        </w:trPr>
        <w:tc>
          <w:tcPr>
            <w:tcW w:w="0" w:type="auto"/>
            <w:shd w:val="clear" w:color="auto" w:fill="FFFFFF"/>
            <w:vAlign w:val="bottom"/>
            <w:hideMark/>
          </w:tcPr>
          <w:p w:rsidR="00000000" w:rsidRDefault="008E203B">
            <w:pPr>
              <w:pStyle w:val="a3"/>
              <w:spacing w:before="0" w:beforeAutospacing="0" w:after="0" w:afterAutospacing="0"/>
              <w:ind w:left="360"/>
              <w:rPr>
                <w:rFonts w:ascii="Times New Roman" w:hAnsi="Times New Roman" w:cs="Times New Roman"/>
                <w:sz w:val="20"/>
                <w:szCs w:val="20"/>
              </w:rPr>
            </w:pPr>
            <w:r>
              <w:rPr>
                <w:rFonts w:ascii="Times New Roman" w:hAnsi="Times New Roman" w:cs="Times New Roman"/>
                <w:sz w:val="20"/>
                <w:szCs w:val="20"/>
              </w:rPr>
              <w:t>Change in accounts payable and accrued expenses</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2,837</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10,371</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772118619"/>
          <w:tblCellSpacing w:w="0" w:type="dxa"/>
        </w:trPr>
        <w:tc>
          <w:tcPr>
            <w:tcW w:w="0" w:type="auto"/>
            <w:shd w:val="clear" w:color="auto" w:fill="CCEEFF"/>
            <w:vAlign w:val="bottom"/>
            <w:hideMark/>
          </w:tcPr>
          <w:p w:rsidR="00000000" w:rsidRDefault="008E203B">
            <w:pPr>
              <w:pStyle w:val="a3"/>
              <w:spacing w:before="0" w:beforeAutospacing="0" w:after="0" w:afterAutospacing="0"/>
              <w:ind w:left="360"/>
              <w:rPr>
                <w:rFonts w:ascii="Times New Roman" w:hAnsi="Times New Roman" w:cs="Times New Roman"/>
                <w:sz w:val="20"/>
                <w:szCs w:val="20"/>
              </w:rPr>
            </w:pPr>
            <w:r>
              <w:rPr>
                <w:rFonts w:ascii="Times New Roman" w:hAnsi="Times New Roman" w:cs="Times New Roman"/>
                <w:sz w:val="20"/>
                <w:szCs w:val="20"/>
              </w:rPr>
              <w:t>Change in other operating assets and liabilities</w:t>
            </w:r>
          </w:p>
        </w:tc>
        <w:tc>
          <w:tcPr>
            <w:tcW w:w="50" w:type="pct"/>
            <w:shd w:val="clear" w:color="auto" w:fill="CCEEFF"/>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single" w:sz="6" w:space="0" w:color="000000"/>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tcBorders>
              <w:bottom w:val="single" w:sz="6" w:space="0" w:color="000000"/>
            </w:tcBorders>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(26,299</w:t>
            </w:r>
          </w:p>
        </w:tc>
        <w:tc>
          <w:tcPr>
            <w:tcW w:w="50" w:type="pct"/>
            <w:shd w:val="clear" w:color="auto" w:fill="CCEEFF"/>
            <w:noWrap/>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single" w:sz="6" w:space="0" w:color="000000"/>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tcBorders>
              <w:bottom w:val="single" w:sz="6" w:space="0" w:color="000000"/>
            </w:tcBorders>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(12,309</w:t>
            </w:r>
          </w:p>
        </w:tc>
        <w:tc>
          <w:tcPr>
            <w:tcW w:w="50" w:type="pct"/>
            <w:shd w:val="clear" w:color="auto" w:fill="CCEEFF"/>
            <w:noWrap/>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r>
      <w:tr w:rsidR="00000000">
        <w:trPr>
          <w:divId w:val="1772118619"/>
          <w:tblCellSpacing w:w="0" w:type="dxa"/>
        </w:trPr>
        <w:tc>
          <w:tcPr>
            <w:tcW w:w="0" w:type="auto"/>
            <w:shd w:val="clear" w:color="auto" w:fill="FFFFFF"/>
            <w:vAlign w:val="bottom"/>
            <w:hideMark/>
          </w:tcPr>
          <w:p w:rsidR="00000000" w:rsidRDefault="008E203B">
            <w:pPr>
              <w:pStyle w:val="a3"/>
              <w:spacing w:before="0" w:beforeAutospacing="0" w:after="0" w:afterAutospacing="0"/>
              <w:ind w:left="540"/>
              <w:rPr>
                <w:rFonts w:ascii="Times New Roman" w:hAnsi="Times New Roman" w:cs="Times New Roman"/>
                <w:sz w:val="20"/>
                <w:szCs w:val="20"/>
              </w:rPr>
            </w:pPr>
            <w:r>
              <w:rPr>
                <w:rFonts w:ascii="Times New Roman" w:hAnsi="Times New Roman" w:cs="Times New Roman"/>
                <w:sz w:val="20"/>
                <w:szCs w:val="20"/>
              </w:rPr>
              <w:t>Net cash flow provided by operating activities</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single" w:sz="6" w:space="0" w:color="000000"/>
            </w:tcBorders>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tcBorders>
              <w:bottom w:val="single" w:sz="6" w:space="0" w:color="000000"/>
            </w:tcBorders>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155,258</w:t>
            </w:r>
          </w:p>
        </w:tc>
        <w:tc>
          <w:tcPr>
            <w:tcW w:w="50" w:type="pct"/>
            <w:shd w:val="clear" w:color="auto" w:fill="FFFFFF"/>
            <w:noWrap/>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single" w:sz="6" w:space="0" w:color="000000"/>
            </w:tcBorders>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tcBorders>
              <w:bottom w:val="single" w:sz="6" w:space="0" w:color="000000"/>
            </w:tcBorders>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192,279</w:t>
            </w:r>
          </w:p>
        </w:tc>
        <w:tc>
          <w:tcPr>
            <w:tcW w:w="50" w:type="pct"/>
            <w:shd w:val="clear" w:color="auto" w:fill="FFFFFF"/>
            <w:noWrap/>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772118619"/>
          <w:tblCellSpacing w:w="0" w:type="dxa"/>
        </w:trPr>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772118619"/>
          <w:tblCellSpacing w:w="0" w:type="dxa"/>
        </w:trPr>
        <w:tc>
          <w:tcPr>
            <w:tcW w:w="0" w:type="auto"/>
            <w:shd w:val="clear" w:color="auto" w:fill="FFFFFF"/>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Cash flow from investing activities:</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772118619"/>
          <w:tblCellSpacing w:w="0" w:type="dxa"/>
        </w:trPr>
        <w:tc>
          <w:tcPr>
            <w:tcW w:w="0" w:type="auto"/>
            <w:shd w:val="clear" w:color="auto" w:fill="CCEEFF"/>
            <w:vAlign w:val="bottom"/>
            <w:hideMark/>
          </w:tcPr>
          <w:p w:rsidR="00000000" w:rsidRDefault="008E203B">
            <w:pPr>
              <w:pStyle w:val="a3"/>
              <w:spacing w:before="0" w:beforeAutospacing="0" w:after="0" w:afterAutospacing="0"/>
              <w:ind w:left="180"/>
              <w:rPr>
                <w:rFonts w:ascii="Times New Roman" w:hAnsi="Times New Roman" w:cs="Times New Roman"/>
                <w:sz w:val="20"/>
                <w:szCs w:val="20"/>
              </w:rPr>
            </w:pPr>
            <w:r>
              <w:rPr>
                <w:rFonts w:ascii="Times New Roman" w:hAnsi="Times New Roman" w:cs="Times New Roman"/>
                <w:sz w:val="20"/>
                <w:szCs w:val="20"/>
              </w:rPr>
              <w:t>Acquisition of operating real estate and other related net assets</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(3,337</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r>
      <w:tr w:rsidR="00000000">
        <w:trPr>
          <w:divId w:val="1772118619"/>
          <w:tblCellSpacing w:w="0" w:type="dxa"/>
        </w:trPr>
        <w:tc>
          <w:tcPr>
            <w:tcW w:w="0" w:type="auto"/>
            <w:shd w:val="clear" w:color="auto" w:fill="FFFFFF"/>
            <w:vAlign w:val="bottom"/>
            <w:hideMark/>
          </w:tcPr>
          <w:p w:rsidR="00000000" w:rsidRDefault="008E203B">
            <w:pPr>
              <w:pStyle w:val="a3"/>
              <w:spacing w:before="0" w:beforeAutospacing="0" w:after="0" w:afterAutospacing="0"/>
              <w:ind w:left="180"/>
              <w:rPr>
                <w:rFonts w:ascii="Times New Roman" w:hAnsi="Times New Roman" w:cs="Times New Roman"/>
                <w:sz w:val="20"/>
                <w:szCs w:val="20"/>
              </w:rPr>
            </w:pPr>
            <w:r>
              <w:rPr>
                <w:rFonts w:ascii="Times New Roman" w:hAnsi="Times New Roman" w:cs="Times New Roman"/>
                <w:sz w:val="20"/>
                <w:szCs w:val="20"/>
              </w:rPr>
              <w:t>Improvements to operating real estate</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(51,345</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(40,384</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r>
      <w:tr w:rsidR="00000000">
        <w:trPr>
          <w:divId w:val="1772118619"/>
          <w:tblCellSpacing w:w="0" w:type="dxa"/>
        </w:trPr>
        <w:tc>
          <w:tcPr>
            <w:tcW w:w="0" w:type="auto"/>
            <w:shd w:val="clear" w:color="auto" w:fill="CCEEFF"/>
            <w:vAlign w:val="bottom"/>
            <w:hideMark/>
          </w:tcPr>
          <w:p w:rsidR="00000000" w:rsidRDefault="008E203B">
            <w:pPr>
              <w:pStyle w:val="a3"/>
              <w:spacing w:before="0" w:beforeAutospacing="0" w:after="0" w:afterAutospacing="0"/>
              <w:ind w:left="180"/>
              <w:rPr>
                <w:rFonts w:ascii="Times New Roman" w:hAnsi="Times New Roman" w:cs="Times New Roman"/>
                <w:sz w:val="20"/>
                <w:szCs w:val="20"/>
              </w:rPr>
            </w:pPr>
            <w:r>
              <w:rPr>
                <w:rFonts w:ascii="Times New Roman" w:hAnsi="Times New Roman" w:cs="Times New Roman"/>
                <w:sz w:val="20"/>
                <w:szCs w:val="20"/>
              </w:rPr>
              <w:t>Acquisition of real estate under development</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(4,592</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r>
      <w:tr w:rsidR="00000000">
        <w:trPr>
          <w:divId w:val="1772118619"/>
          <w:tblCellSpacing w:w="0" w:type="dxa"/>
        </w:trPr>
        <w:tc>
          <w:tcPr>
            <w:tcW w:w="0" w:type="auto"/>
            <w:shd w:val="clear" w:color="auto" w:fill="FFFFFF"/>
            <w:vAlign w:val="bottom"/>
            <w:hideMark/>
          </w:tcPr>
          <w:p w:rsidR="00000000" w:rsidRDefault="008E203B">
            <w:pPr>
              <w:pStyle w:val="a3"/>
              <w:spacing w:before="0" w:beforeAutospacing="0" w:after="0" w:afterAutospacing="0"/>
              <w:ind w:left="180"/>
              <w:rPr>
                <w:rFonts w:ascii="Times New Roman" w:hAnsi="Times New Roman" w:cs="Times New Roman"/>
                <w:sz w:val="20"/>
                <w:szCs w:val="20"/>
              </w:rPr>
            </w:pPr>
            <w:r>
              <w:rPr>
                <w:rFonts w:ascii="Times New Roman" w:hAnsi="Times New Roman" w:cs="Times New Roman"/>
                <w:sz w:val="20"/>
                <w:szCs w:val="20"/>
              </w:rPr>
              <w:t>Improvements to real estate under development</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(26,286</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(54,934</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r>
      <w:tr w:rsidR="00000000">
        <w:trPr>
          <w:divId w:val="1772118619"/>
          <w:tblCellSpacing w:w="0" w:type="dxa"/>
        </w:trPr>
        <w:tc>
          <w:tcPr>
            <w:tcW w:w="0" w:type="auto"/>
            <w:shd w:val="clear" w:color="auto" w:fill="CCEEFF"/>
            <w:vAlign w:val="bottom"/>
            <w:hideMark/>
          </w:tcPr>
          <w:p w:rsidR="00000000" w:rsidRDefault="008E203B">
            <w:pPr>
              <w:pStyle w:val="a3"/>
              <w:spacing w:before="0" w:beforeAutospacing="0" w:after="0" w:afterAutospacing="0"/>
              <w:ind w:left="180"/>
              <w:rPr>
                <w:rFonts w:ascii="Times New Roman" w:hAnsi="Times New Roman" w:cs="Times New Roman"/>
                <w:sz w:val="20"/>
                <w:szCs w:val="20"/>
              </w:rPr>
            </w:pPr>
            <w:r>
              <w:rPr>
                <w:rFonts w:ascii="Times New Roman" w:hAnsi="Times New Roman" w:cs="Times New Roman"/>
                <w:sz w:val="20"/>
                <w:szCs w:val="20"/>
              </w:rPr>
              <w:t>Investments in marketable securities</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(157</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772118619"/>
          <w:tblCellSpacing w:w="0" w:type="dxa"/>
        </w:trPr>
        <w:tc>
          <w:tcPr>
            <w:tcW w:w="0" w:type="auto"/>
            <w:shd w:val="clear" w:color="auto" w:fill="FFFFFF"/>
            <w:vAlign w:val="bottom"/>
            <w:hideMark/>
          </w:tcPr>
          <w:p w:rsidR="00000000" w:rsidRDefault="008E203B">
            <w:pPr>
              <w:pStyle w:val="a3"/>
              <w:spacing w:before="0" w:beforeAutospacing="0" w:after="0" w:afterAutospacing="0"/>
              <w:ind w:left="180"/>
              <w:rPr>
                <w:rFonts w:ascii="Times New Roman" w:hAnsi="Times New Roman" w:cs="Times New Roman"/>
                <w:sz w:val="20"/>
                <w:szCs w:val="20"/>
              </w:rPr>
            </w:pPr>
            <w:r>
              <w:rPr>
                <w:rFonts w:ascii="Times New Roman" w:hAnsi="Times New Roman" w:cs="Times New Roman"/>
                <w:sz w:val="20"/>
                <w:szCs w:val="20"/>
              </w:rPr>
              <w:t>Proceeds from sale/repayments of marketable securities</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39</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129</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772118619"/>
          <w:tblCellSpacing w:w="0" w:type="dxa"/>
        </w:trPr>
        <w:tc>
          <w:tcPr>
            <w:tcW w:w="0" w:type="auto"/>
            <w:shd w:val="clear" w:color="auto" w:fill="CCEEFF"/>
            <w:vAlign w:val="bottom"/>
            <w:hideMark/>
          </w:tcPr>
          <w:p w:rsidR="00000000" w:rsidRDefault="008E203B">
            <w:pPr>
              <w:pStyle w:val="a3"/>
              <w:spacing w:before="0" w:beforeAutospacing="0" w:after="0" w:afterAutospacing="0"/>
              <w:ind w:left="180"/>
              <w:rPr>
                <w:rFonts w:ascii="Times New Roman" w:hAnsi="Times New Roman" w:cs="Times New Roman"/>
                <w:sz w:val="20"/>
                <w:szCs w:val="20"/>
              </w:rPr>
            </w:pPr>
            <w:r>
              <w:rPr>
                <w:rFonts w:ascii="Times New Roman" w:hAnsi="Times New Roman" w:cs="Times New Roman"/>
                <w:sz w:val="20"/>
                <w:szCs w:val="20"/>
              </w:rPr>
              <w:t>Investments in and advances to real estate joint ventures</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(5,638</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(5,897</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r>
      <w:tr w:rsidR="00000000">
        <w:trPr>
          <w:divId w:val="1772118619"/>
          <w:tblCellSpacing w:w="0" w:type="dxa"/>
        </w:trPr>
        <w:tc>
          <w:tcPr>
            <w:tcW w:w="0" w:type="auto"/>
            <w:shd w:val="clear" w:color="auto" w:fill="FFFFFF"/>
            <w:vAlign w:val="bottom"/>
            <w:hideMark/>
          </w:tcPr>
          <w:p w:rsidR="00000000" w:rsidRDefault="008E203B">
            <w:pPr>
              <w:pStyle w:val="a3"/>
              <w:spacing w:before="0" w:beforeAutospacing="0" w:after="0" w:afterAutospacing="0"/>
              <w:ind w:left="180"/>
              <w:rPr>
                <w:rFonts w:ascii="Times New Roman" w:hAnsi="Times New Roman" w:cs="Times New Roman"/>
                <w:sz w:val="20"/>
                <w:szCs w:val="20"/>
              </w:rPr>
            </w:pPr>
            <w:r>
              <w:rPr>
                <w:rFonts w:ascii="Times New Roman" w:hAnsi="Times New Roman" w:cs="Times New Roman"/>
                <w:sz w:val="20"/>
                <w:szCs w:val="20"/>
              </w:rPr>
              <w:t>Reimbursements of investments in and advances to real estate joint ventures</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1,435</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2,431</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772118619"/>
          <w:tblCellSpacing w:w="0" w:type="dxa"/>
        </w:trPr>
        <w:tc>
          <w:tcPr>
            <w:tcW w:w="0" w:type="auto"/>
            <w:shd w:val="clear" w:color="auto" w:fill="CCEEFF"/>
            <w:vAlign w:val="bottom"/>
            <w:hideMark/>
          </w:tcPr>
          <w:p w:rsidR="00000000" w:rsidRDefault="008E203B">
            <w:pPr>
              <w:pStyle w:val="a3"/>
              <w:spacing w:before="0" w:beforeAutospacing="0" w:after="0" w:afterAutospacing="0"/>
              <w:ind w:left="180"/>
              <w:rPr>
                <w:rFonts w:ascii="Times New Roman" w:hAnsi="Times New Roman" w:cs="Times New Roman"/>
                <w:sz w:val="20"/>
                <w:szCs w:val="20"/>
              </w:rPr>
            </w:pPr>
            <w:r>
              <w:rPr>
                <w:rFonts w:ascii="Times New Roman" w:hAnsi="Times New Roman" w:cs="Times New Roman"/>
                <w:sz w:val="20"/>
                <w:szCs w:val="20"/>
              </w:rPr>
              <w:t>Investments in and advances to other real estate investments</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(6,771</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(302</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r>
      <w:tr w:rsidR="00000000">
        <w:trPr>
          <w:divId w:val="1772118619"/>
          <w:tblCellSpacing w:w="0" w:type="dxa"/>
        </w:trPr>
        <w:tc>
          <w:tcPr>
            <w:tcW w:w="0" w:type="auto"/>
            <w:shd w:val="clear" w:color="auto" w:fill="FFFFFF"/>
            <w:vAlign w:val="bottom"/>
            <w:hideMark/>
          </w:tcPr>
          <w:p w:rsidR="00000000" w:rsidRDefault="008E203B">
            <w:pPr>
              <w:pStyle w:val="a3"/>
              <w:spacing w:before="0" w:beforeAutospacing="0" w:after="0" w:afterAutospacing="0"/>
              <w:ind w:left="180"/>
              <w:rPr>
                <w:rFonts w:ascii="Times New Roman" w:hAnsi="Times New Roman" w:cs="Times New Roman"/>
                <w:sz w:val="20"/>
                <w:szCs w:val="20"/>
              </w:rPr>
            </w:pPr>
            <w:r>
              <w:rPr>
                <w:rFonts w:ascii="Times New Roman" w:hAnsi="Times New Roman" w:cs="Times New Roman"/>
                <w:sz w:val="20"/>
                <w:szCs w:val="20"/>
              </w:rPr>
              <w:t>Reimbursements of investments in and advances to other real estate investments</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1,344</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772118619"/>
          <w:tblCellSpacing w:w="0" w:type="dxa"/>
        </w:trPr>
        <w:tc>
          <w:tcPr>
            <w:tcW w:w="0" w:type="auto"/>
            <w:shd w:val="clear" w:color="auto" w:fill="CCEEFF"/>
            <w:vAlign w:val="bottom"/>
            <w:hideMark/>
          </w:tcPr>
          <w:p w:rsidR="00000000" w:rsidRDefault="008E203B">
            <w:pPr>
              <w:pStyle w:val="a3"/>
              <w:spacing w:before="0" w:beforeAutospacing="0" w:after="0" w:afterAutospacing="0"/>
              <w:ind w:left="180"/>
              <w:rPr>
                <w:rFonts w:ascii="Times New Roman" w:hAnsi="Times New Roman" w:cs="Times New Roman"/>
                <w:sz w:val="20"/>
                <w:szCs w:val="20"/>
              </w:rPr>
            </w:pPr>
            <w:r>
              <w:rPr>
                <w:rFonts w:ascii="Times New Roman" w:hAnsi="Times New Roman" w:cs="Times New Roman"/>
                <w:sz w:val="20"/>
                <w:szCs w:val="20"/>
              </w:rPr>
              <w:t>Investment in other financing receivable</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(48</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772118619"/>
          <w:tblCellSpacing w:w="0" w:type="dxa"/>
        </w:trPr>
        <w:tc>
          <w:tcPr>
            <w:tcW w:w="0" w:type="auto"/>
            <w:shd w:val="clear" w:color="auto" w:fill="FFFFFF"/>
            <w:vAlign w:val="bottom"/>
            <w:hideMark/>
          </w:tcPr>
          <w:p w:rsidR="00000000" w:rsidRDefault="008E203B">
            <w:pPr>
              <w:pStyle w:val="a3"/>
              <w:spacing w:before="0" w:beforeAutospacing="0" w:after="0" w:afterAutospacing="0"/>
              <w:ind w:left="180"/>
              <w:rPr>
                <w:rFonts w:ascii="Times New Roman" w:hAnsi="Times New Roman" w:cs="Times New Roman"/>
                <w:sz w:val="20"/>
                <w:szCs w:val="20"/>
              </w:rPr>
            </w:pPr>
            <w:r>
              <w:rPr>
                <w:rFonts w:ascii="Times New Roman" w:hAnsi="Times New Roman" w:cs="Times New Roman"/>
                <w:sz w:val="20"/>
                <w:szCs w:val="20"/>
              </w:rPr>
              <w:t>Collection of mortgage loans receivable</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160</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335</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772118619"/>
          <w:tblCellSpacing w:w="0" w:type="dxa"/>
        </w:trPr>
        <w:tc>
          <w:tcPr>
            <w:tcW w:w="0" w:type="auto"/>
            <w:shd w:val="clear" w:color="auto" w:fill="CCEEFF"/>
            <w:vAlign w:val="bottom"/>
            <w:hideMark/>
          </w:tcPr>
          <w:p w:rsidR="00000000" w:rsidRDefault="008E203B">
            <w:pPr>
              <w:pStyle w:val="a3"/>
              <w:spacing w:before="0" w:beforeAutospacing="0" w:after="0" w:afterAutospacing="0"/>
              <w:ind w:left="180"/>
              <w:rPr>
                <w:rFonts w:ascii="Times New Roman" w:hAnsi="Times New Roman" w:cs="Times New Roman"/>
                <w:sz w:val="20"/>
                <w:szCs w:val="20"/>
              </w:rPr>
            </w:pPr>
            <w:r>
              <w:rPr>
                <w:rFonts w:ascii="Times New Roman" w:hAnsi="Times New Roman" w:cs="Times New Roman"/>
                <w:sz w:val="20"/>
                <w:szCs w:val="20"/>
              </w:rPr>
              <w:t>Proceeds from sale of operating properties</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72,069</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184,633</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772118619"/>
          <w:tblCellSpacing w:w="0" w:type="dxa"/>
        </w:trPr>
        <w:tc>
          <w:tcPr>
            <w:tcW w:w="0" w:type="auto"/>
            <w:shd w:val="clear" w:color="auto" w:fill="FFFFFF"/>
            <w:vAlign w:val="bottom"/>
            <w:hideMark/>
          </w:tcPr>
          <w:p w:rsidR="00000000" w:rsidRDefault="008E203B">
            <w:pPr>
              <w:pStyle w:val="a3"/>
              <w:spacing w:before="0" w:beforeAutospacing="0" w:after="0" w:afterAutospacing="0"/>
              <w:ind w:left="180"/>
              <w:rPr>
                <w:rFonts w:ascii="Times New Roman" w:hAnsi="Times New Roman" w:cs="Times New Roman"/>
                <w:sz w:val="20"/>
                <w:szCs w:val="20"/>
              </w:rPr>
            </w:pPr>
            <w:r>
              <w:rPr>
                <w:rFonts w:ascii="Times New Roman" w:hAnsi="Times New Roman" w:cs="Times New Roman"/>
                <w:sz w:val="20"/>
                <w:szCs w:val="20"/>
              </w:rPr>
              <w:t>Proceeds from insurance casualty claims</w:t>
            </w:r>
          </w:p>
        </w:tc>
        <w:tc>
          <w:tcPr>
            <w:tcW w:w="50" w:type="pct"/>
            <w:shd w:val="clear" w:color="auto" w:fill="FFFFFF"/>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single" w:sz="6" w:space="0" w:color="000000"/>
            </w:tcBorders>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tcBorders>
              <w:bottom w:val="single" w:sz="6" w:space="0" w:color="000000"/>
            </w:tcBorders>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1,000</w:t>
            </w:r>
          </w:p>
        </w:tc>
        <w:tc>
          <w:tcPr>
            <w:tcW w:w="50" w:type="pct"/>
            <w:shd w:val="clear" w:color="auto" w:fill="FFFFFF"/>
            <w:noWrap/>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single" w:sz="6" w:space="0" w:color="000000"/>
            </w:tcBorders>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tcBorders>
              <w:bottom w:val="single" w:sz="6" w:space="0" w:color="000000"/>
            </w:tcBorders>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FFFFFF"/>
            <w:noWrap/>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772118619"/>
          <w:tblCellSpacing w:w="0" w:type="dxa"/>
        </w:trPr>
        <w:tc>
          <w:tcPr>
            <w:tcW w:w="0" w:type="auto"/>
            <w:shd w:val="clear" w:color="auto" w:fill="CCEEFF"/>
            <w:vAlign w:val="bottom"/>
            <w:hideMark/>
          </w:tcPr>
          <w:p w:rsidR="00000000" w:rsidRDefault="008E203B">
            <w:pPr>
              <w:pStyle w:val="a3"/>
              <w:spacing w:before="0" w:beforeAutospacing="0" w:after="0" w:afterAutospacing="0"/>
              <w:ind w:left="540"/>
              <w:rPr>
                <w:rFonts w:ascii="Times New Roman" w:hAnsi="Times New Roman" w:cs="Times New Roman"/>
                <w:sz w:val="20"/>
                <w:szCs w:val="20"/>
              </w:rPr>
            </w:pPr>
            <w:r>
              <w:rPr>
                <w:rFonts w:ascii="Times New Roman" w:hAnsi="Times New Roman" w:cs="Times New Roman"/>
                <w:sz w:val="20"/>
                <w:szCs w:val="20"/>
              </w:rPr>
              <w:t>Net cash flow (used for)/provided by investing activities</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single" w:sz="6" w:space="0" w:color="000000"/>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tcBorders>
              <w:bottom w:val="single" w:sz="6" w:space="0" w:color="000000"/>
            </w:tcBorders>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(15,542</w:t>
            </w:r>
          </w:p>
        </w:tc>
        <w:tc>
          <w:tcPr>
            <w:tcW w:w="50" w:type="pct"/>
            <w:shd w:val="clear" w:color="auto" w:fill="CCEEFF"/>
            <w:noWrap/>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single" w:sz="6" w:space="0" w:color="000000"/>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tcBorders>
              <w:bottom w:val="single" w:sz="6" w:space="0" w:color="000000"/>
            </w:tcBorders>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79,426</w:t>
            </w:r>
          </w:p>
        </w:tc>
        <w:tc>
          <w:tcPr>
            <w:tcW w:w="50" w:type="pct"/>
            <w:shd w:val="clear" w:color="auto" w:fill="CCEEFF"/>
            <w:noWrap/>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772118619"/>
          <w:tblCellSpacing w:w="0" w:type="dxa"/>
        </w:trPr>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772118619"/>
          <w:tblCellSpacing w:w="0" w:type="dxa"/>
        </w:trPr>
        <w:tc>
          <w:tcPr>
            <w:tcW w:w="0" w:type="auto"/>
            <w:shd w:val="clear" w:color="auto" w:fill="CCEEFF"/>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Cash flow from financing activities:</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772118619"/>
          <w:tblCellSpacing w:w="0" w:type="dxa"/>
        </w:trPr>
        <w:tc>
          <w:tcPr>
            <w:tcW w:w="0" w:type="auto"/>
            <w:shd w:val="clear" w:color="auto" w:fill="FFFFFF"/>
            <w:vAlign w:val="bottom"/>
            <w:hideMark/>
          </w:tcPr>
          <w:p w:rsidR="00000000" w:rsidRDefault="008E203B">
            <w:pPr>
              <w:pStyle w:val="a3"/>
              <w:spacing w:before="0" w:beforeAutospacing="0" w:after="0" w:afterAutospacing="0"/>
              <w:ind w:left="180"/>
              <w:rPr>
                <w:rFonts w:ascii="Times New Roman" w:hAnsi="Times New Roman" w:cs="Times New Roman"/>
                <w:sz w:val="20"/>
                <w:szCs w:val="20"/>
              </w:rPr>
            </w:pPr>
            <w:r>
              <w:rPr>
                <w:rFonts w:ascii="Times New Roman" w:hAnsi="Times New Roman" w:cs="Times New Roman"/>
                <w:sz w:val="20"/>
                <w:szCs w:val="20"/>
              </w:rPr>
              <w:t>Principal payments on debt, excluding normal amortization of rental property debt</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(3,224</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(161,547</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r>
      <w:tr w:rsidR="00000000">
        <w:trPr>
          <w:divId w:val="1772118619"/>
          <w:tblCellSpacing w:w="0" w:type="dxa"/>
        </w:trPr>
        <w:tc>
          <w:tcPr>
            <w:tcW w:w="0" w:type="auto"/>
            <w:shd w:val="clear" w:color="auto" w:fill="CCEEFF"/>
            <w:vAlign w:val="bottom"/>
            <w:hideMark/>
          </w:tcPr>
          <w:p w:rsidR="00000000" w:rsidRDefault="008E203B">
            <w:pPr>
              <w:pStyle w:val="a3"/>
              <w:spacing w:before="0" w:beforeAutospacing="0" w:after="0" w:afterAutospacing="0"/>
              <w:ind w:left="180"/>
              <w:rPr>
                <w:rFonts w:ascii="Times New Roman" w:hAnsi="Times New Roman" w:cs="Times New Roman"/>
                <w:sz w:val="20"/>
                <w:szCs w:val="20"/>
              </w:rPr>
            </w:pPr>
            <w:r>
              <w:rPr>
                <w:rFonts w:ascii="Times New Roman" w:hAnsi="Times New Roman" w:cs="Times New Roman"/>
                <w:sz w:val="20"/>
                <w:szCs w:val="20"/>
              </w:rPr>
              <w:t>Principal payments on rental property debt</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(3,137</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(3,485</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r>
      <w:tr w:rsidR="00000000">
        <w:trPr>
          <w:divId w:val="1772118619"/>
          <w:tblCellSpacing w:w="0" w:type="dxa"/>
        </w:trPr>
        <w:tc>
          <w:tcPr>
            <w:tcW w:w="0" w:type="auto"/>
            <w:shd w:val="clear" w:color="auto" w:fill="FFFFFF"/>
            <w:vAlign w:val="bottom"/>
            <w:hideMark/>
          </w:tcPr>
          <w:p w:rsidR="00000000" w:rsidRDefault="008E203B">
            <w:pPr>
              <w:pStyle w:val="a3"/>
              <w:spacing w:before="0" w:beforeAutospacing="0" w:after="0" w:afterAutospacing="0"/>
              <w:ind w:left="180"/>
              <w:rPr>
                <w:rFonts w:ascii="Times New Roman" w:hAnsi="Times New Roman" w:cs="Times New Roman"/>
                <w:sz w:val="20"/>
                <w:szCs w:val="20"/>
              </w:rPr>
            </w:pPr>
            <w:r>
              <w:rPr>
                <w:rFonts w:ascii="Times New Roman" w:hAnsi="Times New Roman" w:cs="Times New Roman"/>
                <w:sz w:val="20"/>
                <w:szCs w:val="20"/>
              </w:rPr>
              <w:t>Proceeds from construction loan financing</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3,300</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772118619"/>
          <w:tblCellSpacing w:w="0" w:type="dxa"/>
        </w:trPr>
        <w:tc>
          <w:tcPr>
            <w:tcW w:w="0" w:type="auto"/>
            <w:shd w:val="clear" w:color="auto" w:fill="CCEEFF"/>
            <w:vAlign w:val="bottom"/>
            <w:hideMark/>
          </w:tcPr>
          <w:p w:rsidR="00000000" w:rsidRDefault="008E203B">
            <w:pPr>
              <w:pStyle w:val="a3"/>
              <w:spacing w:before="0" w:beforeAutospacing="0" w:after="0" w:afterAutospacing="0"/>
              <w:ind w:left="180"/>
              <w:rPr>
                <w:rFonts w:ascii="Times New Roman" w:hAnsi="Times New Roman" w:cs="Times New Roman"/>
                <w:sz w:val="20"/>
                <w:szCs w:val="20"/>
              </w:rPr>
            </w:pPr>
            <w:r>
              <w:rPr>
                <w:rFonts w:ascii="Times New Roman" w:hAnsi="Times New Roman" w:cs="Times New Roman"/>
                <w:sz w:val="20"/>
                <w:szCs w:val="20"/>
              </w:rPr>
              <w:t>Financing origination costs</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(3</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(11</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r>
      <w:tr w:rsidR="00000000">
        <w:trPr>
          <w:divId w:val="1772118619"/>
          <w:tblCellSpacing w:w="0" w:type="dxa"/>
        </w:trPr>
        <w:tc>
          <w:tcPr>
            <w:tcW w:w="0" w:type="auto"/>
            <w:shd w:val="clear" w:color="auto" w:fill="FFFFFF"/>
            <w:vAlign w:val="bottom"/>
            <w:hideMark/>
          </w:tcPr>
          <w:p w:rsidR="00000000" w:rsidRDefault="008E203B">
            <w:pPr>
              <w:pStyle w:val="a3"/>
              <w:spacing w:before="0" w:beforeAutospacing="0" w:after="0" w:afterAutospacing="0"/>
              <w:ind w:left="180"/>
              <w:rPr>
                <w:rFonts w:ascii="Times New Roman" w:hAnsi="Times New Roman" w:cs="Times New Roman"/>
                <w:sz w:val="20"/>
                <w:szCs w:val="20"/>
              </w:rPr>
            </w:pPr>
            <w:r>
              <w:rPr>
                <w:rFonts w:ascii="Times New Roman" w:hAnsi="Times New Roman" w:cs="Times New Roman"/>
                <w:sz w:val="20"/>
                <w:szCs w:val="20"/>
              </w:rPr>
              <w:t>Payment of early extinguishment of debt charges</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(771</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772118619"/>
          <w:tblCellSpacing w:w="0" w:type="dxa"/>
        </w:trPr>
        <w:tc>
          <w:tcPr>
            <w:tcW w:w="0" w:type="auto"/>
            <w:shd w:val="clear" w:color="auto" w:fill="CCEEFF"/>
            <w:vAlign w:val="bottom"/>
            <w:hideMark/>
          </w:tcPr>
          <w:p w:rsidR="00000000" w:rsidRDefault="008E203B">
            <w:pPr>
              <w:pStyle w:val="a3"/>
              <w:spacing w:before="0" w:beforeAutospacing="0" w:after="0" w:afterAutospacing="0"/>
              <w:ind w:left="180"/>
              <w:rPr>
                <w:rFonts w:ascii="Times New Roman" w:hAnsi="Times New Roman" w:cs="Times New Roman"/>
                <w:sz w:val="20"/>
                <w:szCs w:val="20"/>
              </w:rPr>
            </w:pPr>
            <w:r>
              <w:rPr>
                <w:rFonts w:ascii="Times New Roman" w:hAnsi="Times New Roman" w:cs="Times New Roman"/>
                <w:sz w:val="20"/>
                <w:szCs w:val="20"/>
              </w:rPr>
              <w:t>Redemption/distribution of noncontrolling interests</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(773</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(4,968</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r>
      <w:tr w:rsidR="00000000">
        <w:trPr>
          <w:divId w:val="1772118619"/>
          <w:tblCellSpacing w:w="0" w:type="dxa"/>
        </w:trPr>
        <w:tc>
          <w:tcPr>
            <w:tcW w:w="0" w:type="auto"/>
            <w:shd w:val="clear" w:color="auto" w:fill="FFFFFF"/>
            <w:vAlign w:val="bottom"/>
            <w:hideMark/>
          </w:tcPr>
          <w:p w:rsidR="00000000" w:rsidRDefault="008E203B">
            <w:pPr>
              <w:pStyle w:val="a3"/>
              <w:spacing w:before="0" w:beforeAutospacing="0" w:after="0" w:afterAutospacing="0"/>
              <w:ind w:left="180"/>
              <w:rPr>
                <w:rFonts w:ascii="Times New Roman" w:hAnsi="Times New Roman" w:cs="Times New Roman"/>
                <w:sz w:val="20"/>
                <w:szCs w:val="20"/>
              </w:rPr>
            </w:pPr>
            <w:r>
              <w:rPr>
                <w:rFonts w:ascii="Times New Roman" w:hAnsi="Times New Roman" w:cs="Times New Roman"/>
                <w:sz w:val="20"/>
                <w:szCs w:val="20"/>
              </w:rPr>
              <w:t>Dividends paid</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(132,521</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(130,241</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r>
      <w:tr w:rsidR="00000000">
        <w:trPr>
          <w:divId w:val="1772118619"/>
          <w:tblCellSpacing w:w="0" w:type="dxa"/>
        </w:trPr>
        <w:tc>
          <w:tcPr>
            <w:tcW w:w="0" w:type="auto"/>
            <w:shd w:val="clear" w:color="auto" w:fill="CCEEFF"/>
            <w:vAlign w:val="bottom"/>
            <w:hideMark/>
          </w:tcPr>
          <w:p w:rsidR="00000000" w:rsidRDefault="008E203B">
            <w:pPr>
              <w:pStyle w:val="a3"/>
              <w:spacing w:before="0" w:beforeAutospacing="0" w:after="0" w:afterAutospacing="0"/>
              <w:ind w:left="180"/>
              <w:rPr>
                <w:rFonts w:ascii="Times New Roman" w:hAnsi="Times New Roman" w:cs="Times New Roman"/>
                <w:sz w:val="20"/>
                <w:szCs w:val="20"/>
              </w:rPr>
            </w:pPr>
            <w:r>
              <w:rPr>
                <w:rFonts w:ascii="Times New Roman" w:hAnsi="Times New Roman" w:cs="Times New Roman"/>
                <w:sz w:val="20"/>
                <w:szCs w:val="20"/>
              </w:rPr>
              <w:t>Proceeds from issuance of stock, net</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681</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33,144</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772118619"/>
          <w:tblCellSpacing w:w="0" w:type="dxa"/>
        </w:trPr>
        <w:tc>
          <w:tcPr>
            <w:tcW w:w="0" w:type="auto"/>
            <w:shd w:val="clear" w:color="auto" w:fill="FFFFFF"/>
            <w:vAlign w:val="bottom"/>
            <w:hideMark/>
          </w:tcPr>
          <w:p w:rsidR="00000000" w:rsidRDefault="008E203B">
            <w:pPr>
              <w:pStyle w:val="a3"/>
              <w:spacing w:before="0" w:beforeAutospacing="0" w:after="0" w:afterAutospacing="0"/>
              <w:ind w:left="180"/>
              <w:rPr>
                <w:rFonts w:ascii="Times New Roman" w:hAnsi="Times New Roman" w:cs="Times New Roman"/>
                <w:sz w:val="20"/>
                <w:szCs w:val="20"/>
              </w:rPr>
            </w:pPr>
            <w:r>
              <w:rPr>
                <w:rFonts w:ascii="Times New Roman" w:hAnsi="Times New Roman" w:cs="Times New Roman"/>
                <w:sz w:val="20"/>
                <w:szCs w:val="20"/>
              </w:rPr>
              <w:t>Repurchase of common stock</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(24,276</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r>
      <w:tr w:rsidR="00000000">
        <w:trPr>
          <w:divId w:val="1772118619"/>
          <w:tblCellSpacing w:w="0" w:type="dxa"/>
        </w:trPr>
        <w:tc>
          <w:tcPr>
            <w:tcW w:w="0" w:type="auto"/>
            <w:shd w:val="clear" w:color="auto" w:fill="CCEEFF"/>
            <w:vAlign w:val="bottom"/>
            <w:hideMark/>
          </w:tcPr>
          <w:p w:rsidR="00000000" w:rsidRDefault="008E203B">
            <w:pPr>
              <w:pStyle w:val="a3"/>
              <w:spacing w:before="0" w:beforeAutospacing="0" w:after="0" w:afterAutospacing="0"/>
              <w:ind w:left="180"/>
              <w:rPr>
                <w:rFonts w:ascii="Times New Roman" w:hAnsi="Times New Roman" w:cs="Times New Roman"/>
                <w:sz w:val="20"/>
                <w:szCs w:val="20"/>
              </w:rPr>
            </w:pPr>
            <w:r>
              <w:rPr>
                <w:rFonts w:ascii="Times New Roman" w:hAnsi="Times New Roman" w:cs="Times New Roman"/>
                <w:sz w:val="20"/>
                <w:szCs w:val="20"/>
              </w:rPr>
              <w:t>Change in other financing liabilities</w:t>
            </w:r>
          </w:p>
        </w:tc>
        <w:tc>
          <w:tcPr>
            <w:tcW w:w="50" w:type="pct"/>
            <w:shd w:val="clear" w:color="auto" w:fill="CCEEFF"/>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single" w:sz="6" w:space="0" w:color="000000"/>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tcBorders>
              <w:bottom w:val="single" w:sz="6" w:space="0" w:color="000000"/>
            </w:tcBorders>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(3,176</w:t>
            </w:r>
          </w:p>
        </w:tc>
        <w:tc>
          <w:tcPr>
            <w:tcW w:w="50" w:type="pct"/>
            <w:shd w:val="clear" w:color="auto" w:fill="CCEEFF"/>
            <w:noWrap/>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single" w:sz="6" w:space="0" w:color="000000"/>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tcBorders>
              <w:bottom w:val="single" w:sz="6" w:space="0" w:color="000000"/>
            </w:tcBorders>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(521</w:t>
            </w:r>
          </w:p>
        </w:tc>
        <w:tc>
          <w:tcPr>
            <w:tcW w:w="50" w:type="pct"/>
            <w:shd w:val="clear" w:color="auto" w:fill="CCEEFF"/>
            <w:noWrap/>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r>
      <w:tr w:rsidR="00000000">
        <w:trPr>
          <w:divId w:val="1772118619"/>
          <w:tblCellSpacing w:w="0" w:type="dxa"/>
        </w:trPr>
        <w:tc>
          <w:tcPr>
            <w:tcW w:w="0" w:type="auto"/>
            <w:shd w:val="clear" w:color="auto" w:fill="FFFFFF"/>
            <w:vAlign w:val="bottom"/>
            <w:hideMark/>
          </w:tcPr>
          <w:p w:rsidR="00000000" w:rsidRDefault="008E203B">
            <w:pPr>
              <w:pStyle w:val="a3"/>
              <w:spacing w:before="0" w:beforeAutospacing="0" w:after="0" w:afterAutospacing="0"/>
              <w:ind w:left="540"/>
              <w:rPr>
                <w:rFonts w:ascii="Times New Roman" w:hAnsi="Times New Roman" w:cs="Times New Roman"/>
                <w:sz w:val="20"/>
                <w:szCs w:val="20"/>
              </w:rPr>
            </w:pPr>
            <w:r>
              <w:rPr>
                <w:rFonts w:ascii="Times New Roman" w:hAnsi="Times New Roman" w:cs="Times New Roman"/>
                <w:sz w:val="20"/>
                <w:szCs w:val="20"/>
              </w:rPr>
              <w:t>Net cash flow used for financing activities</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single" w:sz="6" w:space="0" w:color="000000"/>
            </w:tcBorders>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tcBorders>
              <w:bottom w:val="single" w:sz="6" w:space="0" w:color="000000"/>
            </w:tcBorders>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(139,624</w:t>
            </w:r>
          </w:p>
        </w:tc>
        <w:tc>
          <w:tcPr>
            <w:tcW w:w="50" w:type="pct"/>
            <w:shd w:val="clear" w:color="auto" w:fill="FFFFFF"/>
            <w:noWrap/>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single" w:sz="6" w:space="0" w:color="000000"/>
            </w:tcBorders>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tcBorders>
              <w:bottom w:val="single" w:sz="6" w:space="0" w:color="000000"/>
            </w:tcBorders>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(291,905</w:t>
            </w:r>
          </w:p>
        </w:tc>
        <w:tc>
          <w:tcPr>
            <w:tcW w:w="50" w:type="pct"/>
            <w:shd w:val="clear" w:color="auto" w:fill="FFFFFF"/>
            <w:noWrap/>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r>
      <w:tr w:rsidR="00000000">
        <w:trPr>
          <w:divId w:val="1772118619"/>
          <w:tblCellSpacing w:w="0" w:type="dxa"/>
        </w:trPr>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772118619"/>
          <w:tblCellSpacing w:w="0" w:type="dxa"/>
        </w:trPr>
        <w:tc>
          <w:tcPr>
            <w:tcW w:w="0" w:type="auto"/>
            <w:shd w:val="clear" w:color="auto" w:fill="FFFFFF"/>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Net change in cash and cash equivalents</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92</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(20,200</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r>
      <w:tr w:rsidR="00000000">
        <w:trPr>
          <w:divId w:val="1772118619"/>
          <w:tblCellSpacing w:w="0" w:type="dxa"/>
        </w:trPr>
        <w:tc>
          <w:tcPr>
            <w:tcW w:w="0" w:type="auto"/>
            <w:shd w:val="clear" w:color="auto" w:fill="CCEEFF"/>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Cash and cash equivalents, beginning of the period</w:t>
            </w:r>
          </w:p>
        </w:tc>
        <w:tc>
          <w:tcPr>
            <w:tcW w:w="50" w:type="pct"/>
            <w:shd w:val="clear" w:color="auto" w:fill="CCEEFF"/>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single" w:sz="6" w:space="0" w:color="000000"/>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tcBorders>
              <w:bottom w:val="single" w:sz="6" w:space="0" w:color="000000"/>
            </w:tcBorders>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143,581</w:t>
            </w:r>
          </w:p>
        </w:tc>
        <w:tc>
          <w:tcPr>
            <w:tcW w:w="50" w:type="pct"/>
            <w:shd w:val="clear" w:color="auto" w:fill="CCEEFF"/>
            <w:noWrap/>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single" w:sz="6" w:space="0" w:color="000000"/>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tcBorders>
              <w:bottom w:val="single" w:sz="6" w:space="0" w:color="000000"/>
            </w:tcBorders>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238,513</w:t>
            </w:r>
          </w:p>
        </w:tc>
        <w:tc>
          <w:tcPr>
            <w:tcW w:w="50" w:type="pct"/>
            <w:shd w:val="clear" w:color="auto" w:fill="CCEEFF"/>
            <w:noWrap/>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772118619"/>
          <w:tblCellSpacing w:w="0" w:type="dxa"/>
        </w:trPr>
        <w:tc>
          <w:tcPr>
            <w:tcW w:w="0" w:type="auto"/>
            <w:shd w:val="clear" w:color="auto" w:fill="FFFFFF"/>
            <w:vAlign w:val="bottom"/>
            <w:hideMark/>
          </w:tcPr>
          <w:p w:rsidR="00000000" w:rsidRDefault="008E203B">
            <w:pPr>
              <w:pStyle w:val="a3"/>
              <w:spacing w:before="0" w:beforeAutospacing="0" w:after="0" w:afterAutospacing="0"/>
              <w:ind w:left="540"/>
              <w:rPr>
                <w:rFonts w:ascii="Times New Roman" w:hAnsi="Times New Roman" w:cs="Times New Roman"/>
                <w:sz w:val="20"/>
                <w:szCs w:val="20"/>
              </w:rPr>
            </w:pPr>
            <w:r>
              <w:rPr>
                <w:rFonts w:ascii="Times New Roman" w:hAnsi="Times New Roman" w:cs="Times New Roman"/>
                <w:sz w:val="20"/>
                <w:szCs w:val="20"/>
              </w:rPr>
              <w:t>Cash and cash equivalents, end of the period</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double" w:sz="6" w:space="0" w:color="000000"/>
            </w:tcBorders>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600" w:type="pct"/>
            <w:tcBorders>
              <w:bottom w:val="double" w:sz="6" w:space="0" w:color="000000"/>
            </w:tcBorders>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143,673</w:t>
            </w:r>
          </w:p>
        </w:tc>
        <w:tc>
          <w:tcPr>
            <w:tcW w:w="50" w:type="pct"/>
            <w:shd w:val="clear" w:color="auto" w:fill="FFFFFF"/>
            <w:noWrap/>
            <w:tcMar>
              <w:top w:w="0" w:type="dxa"/>
              <w:left w:w="0" w:type="dxa"/>
              <w:bottom w:w="4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double" w:sz="6" w:space="0" w:color="000000"/>
            </w:tcBorders>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600" w:type="pct"/>
            <w:tcBorders>
              <w:bottom w:val="double" w:sz="6" w:space="0" w:color="000000"/>
            </w:tcBorders>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218,313</w:t>
            </w:r>
          </w:p>
        </w:tc>
        <w:tc>
          <w:tcPr>
            <w:tcW w:w="50" w:type="pct"/>
            <w:shd w:val="clear" w:color="auto" w:fill="FFFFFF"/>
            <w:noWrap/>
            <w:tcMar>
              <w:top w:w="0" w:type="dxa"/>
              <w:left w:w="0" w:type="dxa"/>
              <w:bottom w:w="4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772118619"/>
          <w:tblCellSpacing w:w="0" w:type="dxa"/>
        </w:trPr>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772118619"/>
          <w:tblCellSpacing w:w="0" w:type="dxa"/>
        </w:trPr>
        <w:tc>
          <w:tcPr>
            <w:tcW w:w="0" w:type="auto"/>
            <w:shd w:val="clear" w:color="auto" w:fill="FFFFFF"/>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Interest paid during the period including payment of early extinguishment of debt charges of $771 and $0, respectively (net of capitalized interest of $3,137 and $3,777, respectively)</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double" w:sz="6" w:space="0" w:color="000000"/>
            </w:tcBorders>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600" w:type="pct"/>
            <w:tcBorders>
              <w:bottom w:val="double" w:sz="6" w:space="0" w:color="000000"/>
            </w:tcBorders>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27,026</w:t>
            </w:r>
          </w:p>
        </w:tc>
        <w:tc>
          <w:tcPr>
            <w:tcW w:w="50" w:type="pct"/>
            <w:shd w:val="clear" w:color="auto" w:fill="FFFFFF"/>
            <w:noWrap/>
            <w:tcMar>
              <w:top w:w="0" w:type="dxa"/>
              <w:left w:w="0" w:type="dxa"/>
              <w:bottom w:w="4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double" w:sz="6" w:space="0" w:color="000000"/>
            </w:tcBorders>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600" w:type="pct"/>
            <w:tcBorders>
              <w:bottom w:val="double" w:sz="6" w:space="0" w:color="000000"/>
            </w:tcBorders>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29,084</w:t>
            </w:r>
          </w:p>
        </w:tc>
        <w:tc>
          <w:tcPr>
            <w:tcW w:w="50" w:type="pct"/>
            <w:shd w:val="clear" w:color="auto" w:fill="FFFFFF"/>
            <w:noWrap/>
            <w:tcMar>
              <w:top w:w="0" w:type="dxa"/>
              <w:left w:w="0" w:type="dxa"/>
              <w:bottom w:w="4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bl>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The accompanying notes are an integral part of these condensed consolidated financial statements.</w:t>
      </w:r>
    </w:p>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w:t>
      </w:r>
    </w:p>
    <w:p w:rsidR="00000000" w:rsidRDefault="008E203B">
      <w:pPr>
        <w:jc w:val="center"/>
        <w:divId w:val="1806266754"/>
        <w:rPr>
          <w:rFonts w:ascii="Times New Roman" w:hAnsi="Times New Roman" w:cs="Times New Roman"/>
          <w:sz w:val="20"/>
          <w:szCs w:val="20"/>
        </w:rPr>
      </w:pPr>
      <w:r>
        <w:rPr>
          <w:rFonts w:ascii="Times New Roman" w:hAnsi="Times New Roman" w:cs="Times New Roman"/>
          <w:sz w:val="20"/>
          <w:szCs w:val="20"/>
        </w:rPr>
        <w:t>7</w:t>
      </w:r>
    </w:p>
    <w:p w:rsidR="00000000" w:rsidRDefault="008E203B">
      <w:pPr>
        <w:divId w:val="1806266754"/>
        <w:rPr>
          <w:rFonts w:ascii="Times New Roman" w:hAnsi="Times New Roman" w:cs="Times New Roman"/>
          <w:sz w:val="20"/>
          <w:szCs w:val="20"/>
        </w:rPr>
      </w:pPr>
      <w:r>
        <w:rPr>
          <w:rFonts w:ascii="Times New Roman" w:hAnsi="Times New Roman" w:cs="Times New Roman"/>
          <w:sz w:val="20"/>
          <w:szCs w:val="20"/>
        </w:rPr>
        <w:pict>
          <v:rect id="_x0000_i1035" style="width:415.3pt;height:1.5pt" o:hralign="center" o:hrstd="t" o:hrnoshade="t" o:hr="t" fillcolor="black" stroked="f"/>
        </w:pict>
      </w:r>
    </w:p>
    <w:p w:rsidR="00000000" w:rsidRDefault="008E203B">
      <w:pPr>
        <w:divId w:val="1806266754"/>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jc w:val="center"/>
        <w:rPr>
          <w:rFonts w:ascii="Times New Roman" w:hAnsi="Times New Roman" w:cs="Times New Roman"/>
          <w:sz w:val="20"/>
          <w:szCs w:val="20"/>
        </w:rPr>
      </w:pPr>
      <w:bookmarkStart w:id="6" w:name="notes"/>
      <w:bookmarkEnd w:id="6"/>
      <w:r>
        <w:rPr>
          <w:rFonts w:ascii="Times New Roman" w:hAnsi="Times New Roman" w:cs="Times New Roman"/>
          <w:sz w:val="20"/>
          <w:szCs w:val="20"/>
        </w:rPr>
        <w:t>KIMCO REALTY CORPORATION AND SUBSIDIARIES</w:t>
      </w:r>
    </w:p>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NOTES TO CONDENSED CONSOLIDATED FINANCIAL STATEMENTS</w:t>
      </w:r>
    </w:p>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w:t>
      </w:r>
    </w:p>
    <w:p w:rsidR="00000000" w:rsidRDefault="008E203B">
      <w:pPr>
        <w:divId w:val="999697180"/>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jc w:val="both"/>
        <w:divId w:val="1821535154"/>
        <w:rPr>
          <w:rFonts w:ascii="Times New Roman" w:hAnsi="Times New Roman" w:cs="Times New Roman"/>
          <w:sz w:val="20"/>
          <w:szCs w:val="20"/>
        </w:rPr>
      </w:pPr>
      <w:r>
        <w:rPr>
          <w:rFonts w:ascii="Times New Roman" w:hAnsi="Times New Roman" w:cs="Times New Roman"/>
          <w:sz w:val="20"/>
          <w:szCs w:val="20"/>
        </w:rPr>
        <w:t xml:space="preserve">1. </w:t>
      </w:r>
      <w:r>
        <w:rPr>
          <w:rFonts w:ascii="Times New Roman" w:hAnsi="Times New Roman" w:cs="Times New Roman"/>
          <w:sz w:val="20"/>
          <w:szCs w:val="20"/>
          <w:u w:val="single"/>
        </w:rPr>
        <w:t>Business and Organization</w:t>
      </w:r>
    </w:p>
    <w:p w:rsidR="00000000" w:rsidRDefault="008E203B">
      <w:pPr>
        <w:pStyle w:val="a3"/>
        <w:spacing w:before="0" w:beforeAutospacing="0" w:after="0" w:afterAutospacing="0"/>
        <w:jc w:val="both"/>
        <w:divId w:val="1821535154"/>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ind w:firstLine="360"/>
        <w:jc w:val="both"/>
        <w:divId w:val="1821535154"/>
        <w:rPr>
          <w:rFonts w:ascii="Times New Roman" w:hAnsi="Times New Roman" w:cs="Times New Roman"/>
          <w:sz w:val="20"/>
          <w:szCs w:val="20"/>
        </w:rPr>
      </w:pPr>
      <w:r>
        <w:rPr>
          <w:rFonts w:ascii="Times New Roman" w:hAnsi="Times New Roman" w:cs="Times New Roman"/>
          <w:sz w:val="20"/>
          <w:szCs w:val="20"/>
        </w:rPr>
        <w:t>Kimco Realty Corporation and subsidiaries (the "Company"</w:t>
      </w:r>
      <w:r>
        <w:rPr>
          <w:rFonts w:ascii="Times New Roman" w:hAnsi="Times New Roman" w:cs="Times New Roman"/>
          <w:sz w:val="20"/>
          <w:szCs w:val="20"/>
        </w:rPr>
        <w:t>), affiliates and related real estate joint ventures are engaged principally in the ownership, management, development and operation of open-air shopping centers, which are anchored generally by grocery stores, off-price retailers, discounters or service-o</w:t>
      </w:r>
      <w:r>
        <w:rPr>
          <w:rFonts w:ascii="Times New Roman" w:hAnsi="Times New Roman" w:cs="Times New Roman"/>
          <w:sz w:val="20"/>
          <w:szCs w:val="20"/>
        </w:rPr>
        <w:t>riented tenants. Additionally, the Company provides complementary services that capitalize on the Company’s established retail real estate expertise.</w:t>
      </w:r>
    </w:p>
    <w:p w:rsidR="00000000" w:rsidRDefault="008E203B">
      <w:pPr>
        <w:pStyle w:val="a3"/>
        <w:spacing w:before="0" w:beforeAutospacing="0" w:after="0" w:afterAutospacing="0"/>
        <w:ind w:left="360"/>
        <w:jc w:val="both"/>
        <w:divId w:val="1821535154"/>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ind w:firstLine="360"/>
        <w:jc w:val="both"/>
        <w:divId w:val="1821535154"/>
        <w:rPr>
          <w:rFonts w:ascii="Times New Roman" w:hAnsi="Times New Roman" w:cs="Times New Roman"/>
          <w:sz w:val="20"/>
          <w:szCs w:val="20"/>
        </w:rPr>
      </w:pPr>
      <w:r>
        <w:rPr>
          <w:rFonts w:ascii="Times New Roman" w:hAnsi="Times New Roman" w:cs="Times New Roman"/>
          <w:sz w:val="20"/>
          <w:szCs w:val="20"/>
        </w:rPr>
        <w:t xml:space="preserve">The Company elected status as a Real Estate Investment Trust (a “REIT”) for federal income tax purposes </w:t>
      </w:r>
      <w:r>
        <w:rPr>
          <w:rFonts w:ascii="Times New Roman" w:hAnsi="Times New Roman" w:cs="Times New Roman"/>
          <w:sz w:val="20"/>
          <w:szCs w:val="20"/>
        </w:rPr>
        <w:t>beginning in its taxable year ended December 31, 1991 and operates in a manner that enables the Company to maintain its status as a REIT.  As a REIT, with respect to each taxable year, the Company must distribute at least 90 percent of its taxable income (</w:t>
      </w:r>
      <w:r>
        <w:rPr>
          <w:rFonts w:ascii="Times New Roman" w:hAnsi="Times New Roman" w:cs="Times New Roman"/>
          <w:sz w:val="20"/>
          <w:szCs w:val="20"/>
        </w:rPr>
        <w:t xml:space="preserve">excluding capital gain) and does not pay federal income taxes on the amount distributed to its shareholders.  The Company is not generally subject to federal income taxes if it distributes 100 percent of its taxable income.  Most states, where the Company </w:t>
      </w:r>
      <w:r>
        <w:rPr>
          <w:rFonts w:ascii="Times New Roman" w:hAnsi="Times New Roman" w:cs="Times New Roman"/>
          <w:sz w:val="20"/>
          <w:szCs w:val="20"/>
        </w:rPr>
        <w:t xml:space="preserve">holds investments in real estate, conform to the federal rules recognizing REITs.  Certain subsidiaries have made a joint election with the Company to be treated as taxable REIT subsidiaries (“TRSs”), which permit the Company to engage in certain business </w:t>
      </w:r>
      <w:r>
        <w:rPr>
          <w:rFonts w:ascii="Times New Roman" w:hAnsi="Times New Roman" w:cs="Times New Roman"/>
          <w:sz w:val="20"/>
          <w:szCs w:val="20"/>
        </w:rPr>
        <w:t>activities which the REIT may not conduct directly.  A TRS is subject to federal and state income taxes on its income, and the Company includes, when applicable, a provision for taxes in its condensed consolidated financial statements.  The Company is subj</w:t>
      </w:r>
      <w:r>
        <w:rPr>
          <w:rFonts w:ascii="Times New Roman" w:hAnsi="Times New Roman" w:cs="Times New Roman"/>
          <w:sz w:val="20"/>
          <w:szCs w:val="20"/>
        </w:rPr>
        <w:t>ect to and also includes in its tax provision non-U.S. income taxes on certain investments located in jurisdictions outside the U.S. These investments are held by the Company at the REIT level and not in the Company’s taxable REIT subsidiaries. Accordingly</w:t>
      </w:r>
      <w:r>
        <w:rPr>
          <w:rFonts w:ascii="Times New Roman" w:hAnsi="Times New Roman" w:cs="Times New Roman"/>
          <w:sz w:val="20"/>
          <w:szCs w:val="20"/>
        </w:rPr>
        <w:t>, the Company does not expect a U.S. income tax impact associated with the repatriation of undistributed earnings from the Company’s foreign subsidiaries.</w:t>
      </w:r>
    </w:p>
    <w:p w:rsidR="00000000" w:rsidRDefault="008E203B">
      <w:pPr>
        <w:pStyle w:val="a3"/>
        <w:spacing w:before="0" w:beforeAutospacing="0" w:after="0" w:afterAutospacing="0"/>
        <w:jc w:val="both"/>
        <w:divId w:val="1821535154"/>
        <w:rPr>
          <w:rFonts w:ascii="Times New Roman" w:hAnsi="Times New Roman" w:cs="Times New Roman"/>
          <w:sz w:val="20"/>
          <w:szCs w:val="20"/>
        </w:rPr>
      </w:pPr>
      <w:r>
        <w:rPr>
          <w:rFonts w:ascii="Times New Roman" w:hAnsi="Times New Roman" w:cs="Times New Roman"/>
          <w:sz w:val="20"/>
          <w:szCs w:val="20"/>
        </w:rPr>
        <w:t> </w:t>
      </w:r>
    </w:p>
    <w:p w:rsidR="00000000" w:rsidRDefault="008E203B">
      <w:pPr>
        <w:divId w:val="1165902278"/>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jc w:val="both"/>
        <w:divId w:val="1941180690"/>
        <w:rPr>
          <w:rFonts w:ascii="Times New Roman" w:hAnsi="Times New Roman" w:cs="Times New Roman"/>
          <w:sz w:val="20"/>
          <w:szCs w:val="20"/>
        </w:rPr>
      </w:pPr>
      <w:r>
        <w:rPr>
          <w:rFonts w:ascii="Times New Roman" w:hAnsi="Times New Roman" w:cs="Times New Roman"/>
          <w:sz w:val="20"/>
          <w:szCs w:val="20"/>
        </w:rPr>
        <w:t xml:space="preserve">2. </w:t>
      </w:r>
      <w:r>
        <w:rPr>
          <w:rFonts w:ascii="Times New Roman" w:hAnsi="Times New Roman" w:cs="Times New Roman"/>
          <w:sz w:val="20"/>
          <w:szCs w:val="20"/>
          <w:u w:val="single"/>
        </w:rPr>
        <w:t>Summary of Significant Accounting Policies</w:t>
      </w:r>
    </w:p>
    <w:p w:rsidR="00000000" w:rsidRDefault="008E203B">
      <w:pPr>
        <w:pStyle w:val="a3"/>
        <w:spacing w:before="0" w:beforeAutospacing="0" w:after="0" w:afterAutospacing="0"/>
        <w:jc w:val="both"/>
        <w:divId w:val="1941180690"/>
        <w:rPr>
          <w:rFonts w:ascii="Times New Roman" w:hAnsi="Times New Roman" w:cs="Times New Roman"/>
          <w:sz w:val="20"/>
          <w:szCs w:val="20"/>
        </w:rPr>
      </w:pPr>
      <w:r>
        <w:rPr>
          <w:rFonts w:ascii="Times New Roman" w:hAnsi="Times New Roman" w:cs="Times New Roman"/>
          <w:i/>
          <w:iCs/>
          <w:sz w:val="20"/>
          <w:szCs w:val="20"/>
        </w:rPr>
        <w:t> </w:t>
      </w:r>
    </w:p>
    <w:p w:rsidR="00000000" w:rsidRDefault="008E203B">
      <w:pPr>
        <w:pStyle w:val="a3"/>
        <w:spacing w:before="0" w:beforeAutospacing="0" w:after="0" w:afterAutospacing="0"/>
        <w:jc w:val="both"/>
        <w:divId w:val="1941180690"/>
        <w:rPr>
          <w:rFonts w:ascii="Times New Roman" w:hAnsi="Times New Roman" w:cs="Times New Roman"/>
          <w:sz w:val="20"/>
          <w:szCs w:val="20"/>
        </w:rPr>
      </w:pPr>
      <w:r>
        <w:rPr>
          <w:rFonts w:ascii="Times New Roman" w:hAnsi="Times New Roman" w:cs="Times New Roman"/>
          <w:i/>
          <w:iCs/>
          <w:sz w:val="20"/>
          <w:szCs w:val="20"/>
        </w:rPr>
        <w:t>Principles of Consolidation -</w:t>
      </w:r>
    </w:p>
    <w:p w:rsidR="00000000" w:rsidRDefault="008E203B">
      <w:pPr>
        <w:pStyle w:val="a3"/>
        <w:spacing w:before="0" w:beforeAutospacing="0" w:after="0" w:afterAutospacing="0"/>
        <w:jc w:val="both"/>
        <w:divId w:val="1941180690"/>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ind w:firstLine="360"/>
        <w:jc w:val="both"/>
        <w:divId w:val="1941180690"/>
        <w:rPr>
          <w:rFonts w:ascii="Times New Roman" w:hAnsi="Times New Roman" w:cs="Times New Roman"/>
          <w:sz w:val="20"/>
          <w:szCs w:val="20"/>
        </w:rPr>
      </w:pPr>
      <w:r>
        <w:rPr>
          <w:rFonts w:ascii="Times New Roman" w:hAnsi="Times New Roman" w:cs="Times New Roman"/>
          <w:sz w:val="20"/>
          <w:szCs w:val="20"/>
        </w:rPr>
        <w:t xml:space="preserve">The accompanying </w:t>
      </w:r>
      <w:r>
        <w:rPr>
          <w:rFonts w:ascii="Times New Roman" w:hAnsi="Times New Roman" w:cs="Times New Roman"/>
          <w:sz w:val="20"/>
          <w:szCs w:val="20"/>
        </w:rPr>
        <w:t>Condensed Consolidated Financial Statements include the accounts of the Company. The Company’s subsidiaries include subsidiaries which are wholly-owned or which the Company has a controlling interest, including where the Company has been determined to be a</w:t>
      </w:r>
      <w:r>
        <w:rPr>
          <w:rFonts w:ascii="Times New Roman" w:hAnsi="Times New Roman" w:cs="Times New Roman"/>
          <w:sz w:val="20"/>
          <w:szCs w:val="20"/>
        </w:rPr>
        <w:t xml:space="preserve"> primary beneficiary of a variable interest entity (“VIE”) in accordance with the Consolidation guidance of the Financial Accounting Standards Board (“FASB”) Accounting Standards Codification (“ASC”). All inter-company balances and transactions have been e</w:t>
      </w:r>
      <w:r>
        <w:rPr>
          <w:rFonts w:ascii="Times New Roman" w:hAnsi="Times New Roman" w:cs="Times New Roman"/>
          <w:sz w:val="20"/>
          <w:szCs w:val="20"/>
        </w:rPr>
        <w:t>liminated in consolidation. The information presented in the accompanying Condensed Consolidated Financial Statements is unaudited and reflects all adjustments which are, in the opinion of management, necessary to reflect a fair statement of the results fo</w:t>
      </w:r>
      <w:r>
        <w:rPr>
          <w:rFonts w:ascii="Times New Roman" w:hAnsi="Times New Roman" w:cs="Times New Roman"/>
          <w:sz w:val="20"/>
          <w:szCs w:val="20"/>
        </w:rPr>
        <w:t>r the interim periods presented, and all such adjustments are of a normal recurring nature.  These Condensed Consolidated Financial Statements should be read in conjunction with the Company's audited Annual Report on Form 10-K for the year ended December 3</w:t>
      </w:r>
      <w:r>
        <w:rPr>
          <w:rFonts w:ascii="Times New Roman" w:hAnsi="Times New Roman" w:cs="Times New Roman"/>
          <w:sz w:val="20"/>
          <w:szCs w:val="20"/>
        </w:rPr>
        <w:t>1, 2018 (the “10-K”), as certain disclosures in this Quarterly Report on Form 10-Q for the quarterly period ended March 31, 2019, that would duplicate those included in the 10-K are not included in these Condensed Consolidated Financial Statements.</w:t>
      </w:r>
    </w:p>
    <w:p w:rsidR="00000000" w:rsidRDefault="008E203B">
      <w:pPr>
        <w:pStyle w:val="a3"/>
        <w:spacing w:before="0" w:beforeAutospacing="0" w:after="0" w:afterAutospacing="0"/>
        <w:jc w:val="both"/>
        <w:divId w:val="1941180690"/>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jc w:val="both"/>
        <w:divId w:val="1941180690"/>
        <w:rPr>
          <w:rFonts w:ascii="Times New Roman" w:hAnsi="Times New Roman" w:cs="Times New Roman"/>
          <w:sz w:val="20"/>
          <w:szCs w:val="20"/>
        </w:rPr>
      </w:pPr>
      <w:r>
        <w:rPr>
          <w:rFonts w:ascii="Times New Roman" w:hAnsi="Times New Roman" w:cs="Times New Roman"/>
          <w:i/>
          <w:iCs/>
          <w:sz w:val="20"/>
          <w:szCs w:val="20"/>
        </w:rPr>
        <w:t>Reven</w:t>
      </w:r>
      <w:r>
        <w:rPr>
          <w:rFonts w:ascii="Times New Roman" w:hAnsi="Times New Roman" w:cs="Times New Roman"/>
          <w:i/>
          <w:iCs/>
          <w:sz w:val="20"/>
          <w:szCs w:val="20"/>
        </w:rPr>
        <w:t>ues and Trade Accounts Receivable -</w:t>
      </w:r>
    </w:p>
    <w:p w:rsidR="00000000" w:rsidRDefault="008E203B">
      <w:pPr>
        <w:pStyle w:val="a3"/>
        <w:spacing w:before="0" w:beforeAutospacing="0" w:after="0" w:afterAutospacing="0"/>
        <w:jc w:val="both"/>
        <w:divId w:val="1941180690"/>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ind w:firstLine="360"/>
        <w:jc w:val="both"/>
        <w:divId w:val="1941180690"/>
        <w:rPr>
          <w:rFonts w:ascii="Times New Roman" w:hAnsi="Times New Roman" w:cs="Times New Roman"/>
          <w:sz w:val="20"/>
          <w:szCs w:val="20"/>
        </w:rPr>
      </w:pPr>
      <w:r>
        <w:rPr>
          <w:rFonts w:ascii="Times New Roman" w:hAnsi="Times New Roman" w:cs="Times New Roman"/>
          <w:sz w:val="20"/>
          <w:szCs w:val="20"/>
        </w:rPr>
        <w:t xml:space="preserve">The Company’s primary source of revenues are derived from lease agreements which fall under the scope of ASU 2016-02, </w:t>
      </w:r>
      <w:r>
        <w:rPr>
          <w:rFonts w:ascii="Times New Roman" w:hAnsi="Times New Roman" w:cs="Times New Roman"/>
          <w:i/>
          <w:iCs/>
          <w:sz w:val="20"/>
          <w:szCs w:val="20"/>
        </w:rPr>
        <w:t>Leases (Topic 842),</w:t>
      </w:r>
      <w:r>
        <w:rPr>
          <w:rFonts w:ascii="Times New Roman" w:hAnsi="Times New Roman" w:cs="Times New Roman"/>
          <w:sz w:val="20"/>
          <w:szCs w:val="20"/>
        </w:rPr>
        <w:t xml:space="preserve"> (“Topic 842”) which includes rental income and reimbursement income. The Company</w:t>
      </w:r>
      <w:r>
        <w:rPr>
          <w:rFonts w:ascii="Times New Roman" w:hAnsi="Times New Roman" w:cs="Times New Roman"/>
          <w:sz w:val="20"/>
          <w:szCs w:val="20"/>
        </w:rPr>
        <w:t xml:space="preserve"> also has revenues which are accounted for under ASU 2014-09, </w:t>
      </w:r>
      <w:r>
        <w:rPr>
          <w:rFonts w:ascii="Times New Roman" w:hAnsi="Times New Roman" w:cs="Times New Roman"/>
          <w:i/>
          <w:iCs/>
          <w:sz w:val="20"/>
          <w:szCs w:val="20"/>
        </w:rPr>
        <w:t xml:space="preserve">Revenue from Contracts with Customers (Topic </w:t>
      </w:r>
      <w:r>
        <w:rPr>
          <w:rFonts w:ascii="Times New Roman" w:hAnsi="Times New Roman" w:cs="Times New Roman"/>
          <w:sz w:val="20"/>
          <w:szCs w:val="20"/>
        </w:rPr>
        <w:t>606</w:t>
      </w:r>
      <w:r>
        <w:rPr>
          <w:rFonts w:ascii="Times New Roman" w:hAnsi="Times New Roman" w:cs="Times New Roman"/>
          <w:i/>
          <w:iCs/>
          <w:sz w:val="20"/>
          <w:szCs w:val="20"/>
        </w:rPr>
        <w:t>)</w:t>
      </w:r>
      <w:r>
        <w:rPr>
          <w:rFonts w:ascii="Times New Roman" w:hAnsi="Times New Roman" w:cs="Times New Roman"/>
          <w:sz w:val="20"/>
          <w:szCs w:val="20"/>
        </w:rPr>
        <w:t>, (“Topic 606”) which include fees for services performed at various unconsolidated joint ventures for which the Company is the manager. These fe</w:t>
      </w:r>
      <w:r>
        <w:rPr>
          <w:rFonts w:ascii="Times New Roman" w:hAnsi="Times New Roman" w:cs="Times New Roman"/>
          <w:sz w:val="20"/>
          <w:szCs w:val="20"/>
        </w:rPr>
        <w:t>es primarily include property and asset management fees, leasing fees, development fees and property acquisition/disposition fees. Also affected by Topic 606 are gains on sales of properties and tax increment financing (“TIF”) contracts. The Company presen</w:t>
      </w:r>
      <w:r>
        <w:rPr>
          <w:rFonts w:ascii="Times New Roman" w:hAnsi="Times New Roman" w:cs="Times New Roman"/>
          <w:sz w:val="20"/>
          <w:szCs w:val="20"/>
        </w:rPr>
        <w:t>ts its revenue streams on the Company’s Condensed Consolidated Statements of Income as Revenues from rental properties, net and Management and other fee income.</w:t>
      </w:r>
    </w:p>
    <w:p w:rsidR="00000000" w:rsidRDefault="008E203B">
      <w:pPr>
        <w:pStyle w:val="a3"/>
        <w:spacing w:before="0" w:beforeAutospacing="0" w:after="0" w:afterAutospacing="0"/>
        <w:ind w:firstLine="360"/>
        <w:jc w:val="both"/>
        <w:divId w:val="1941180690"/>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ind w:firstLine="360"/>
        <w:jc w:val="both"/>
        <w:divId w:val="1941180690"/>
        <w:rPr>
          <w:rFonts w:ascii="Times New Roman" w:hAnsi="Times New Roman" w:cs="Times New Roman"/>
          <w:sz w:val="20"/>
          <w:szCs w:val="20"/>
        </w:rPr>
      </w:pPr>
      <w:r>
        <w:rPr>
          <w:rFonts w:ascii="Times New Roman" w:hAnsi="Times New Roman" w:cs="Times New Roman"/>
          <w:sz w:val="20"/>
          <w:szCs w:val="20"/>
          <w:u w:val="single"/>
        </w:rPr>
        <w:t>Revenues from rental properties, net</w:t>
      </w:r>
    </w:p>
    <w:p w:rsidR="00000000" w:rsidRDefault="008E203B">
      <w:pPr>
        <w:pStyle w:val="a3"/>
        <w:spacing w:before="0" w:beforeAutospacing="0" w:after="0" w:afterAutospacing="0"/>
        <w:jc w:val="both"/>
        <w:divId w:val="1941180690"/>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ind w:firstLine="360"/>
        <w:jc w:val="both"/>
        <w:divId w:val="1941180690"/>
        <w:rPr>
          <w:rFonts w:ascii="Times New Roman" w:hAnsi="Times New Roman" w:cs="Times New Roman"/>
          <w:sz w:val="20"/>
          <w:szCs w:val="20"/>
        </w:rPr>
      </w:pPr>
      <w:r>
        <w:rPr>
          <w:rFonts w:ascii="Times New Roman" w:hAnsi="Times New Roman" w:cs="Times New Roman"/>
          <w:sz w:val="20"/>
          <w:szCs w:val="20"/>
        </w:rPr>
        <w:t xml:space="preserve">Revenues from rental properties, net are comprised of </w:t>
      </w:r>
      <w:r>
        <w:rPr>
          <w:rFonts w:ascii="Times New Roman" w:hAnsi="Times New Roman" w:cs="Times New Roman"/>
          <w:sz w:val="20"/>
          <w:szCs w:val="20"/>
        </w:rPr>
        <w:t>minimum base rent, percentage rent, lease termination fee income, amortization of above-market and below-market rent adjustments and straight-line rent adjustments. Upon the adoption of Topic 842, the Company elected the lessor practical expedient to combi</w:t>
      </w:r>
      <w:r>
        <w:rPr>
          <w:rFonts w:ascii="Times New Roman" w:hAnsi="Times New Roman" w:cs="Times New Roman"/>
          <w:sz w:val="20"/>
          <w:szCs w:val="20"/>
        </w:rPr>
        <w:t xml:space="preserve">ne the lease and non-lease components and determined the lease component was the predominant component and as a result accounted for the combined components under Topic 842. Non-lease components include common area maintenance costs, real estate taxes and </w:t>
      </w:r>
      <w:r>
        <w:rPr>
          <w:rFonts w:ascii="Times New Roman" w:hAnsi="Times New Roman" w:cs="Times New Roman"/>
          <w:sz w:val="20"/>
          <w:szCs w:val="20"/>
        </w:rPr>
        <w:t>other operating expenses which are reimbursements paid to the Company from tenants. The combined components are included in Revenues from rental properties, net on the Company’s Condensed Consolidated Statements of Income.</w:t>
      </w:r>
    </w:p>
    <w:p w:rsidR="00000000" w:rsidRDefault="008E203B">
      <w:pPr>
        <w:pStyle w:val="a3"/>
        <w:spacing w:before="0" w:beforeAutospacing="0" w:after="0" w:afterAutospacing="0"/>
        <w:ind w:firstLine="360"/>
        <w:jc w:val="both"/>
        <w:divId w:val="1941180690"/>
        <w:rPr>
          <w:rFonts w:ascii="Times New Roman" w:hAnsi="Times New Roman" w:cs="Times New Roman"/>
          <w:sz w:val="20"/>
          <w:szCs w:val="20"/>
        </w:rPr>
      </w:pPr>
      <w:r>
        <w:rPr>
          <w:rFonts w:ascii="Times New Roman" w:hAnsi="Times New Roman" w:cs="Times New Roman"/>
          <w:sz w:val="20"/>
          <w:szCs w:val="20"/>
        </w:rPr>
        <w:t> </w:t>
      </w:r>
    </w:p>
    <w:p w:rsidR="00000000" w:rsidRDefault="008E203B">
      <w:pPr>
        <w:jc w:val="center"/>
        <w:divId w:val="1618677869"/>
        <w:rPr>
          <w:rFonts w:ascii="Times New Roman" w:hAnsi="Times New Roman" w:cs="Times New Roman"/>
          <w:sz w:val="20"/>
          <w:szCs w:val="20"/>
        </w:rPr>
      </w:pPr>
      <w:r>
        <w:rPr>
          <w:rFonts w:ascii="Times New Roman" w:hAnsi="Times New Roman" w:cs="Times New Roman"/>
          <w:sz w:val="20"/>
          <w:szCs w:val="20"/>
        </w:rPr>
        <w:t>8</w:t>
      </w:r>
    </w:p>
    <w:p w:rsidR="00000000" w:rsidRDefault="008E203B">
      <w:pPr>
        <w:divId w:val="1618677869"/>
        <w:rPr>
          <w:rFonts w:ascii="Times New Roman" w:hAnsi="Times New Roman" w:cs="Times New Roman"/>
          <w:sz w:val="20"/>
          <w:szCs w:val="20"/>
        </w:rPr>
      </w:pPr>
      <w:r>
        <w:rPr>
          <w:rFonts w:ascii="Times New Roman" w:hAnsi="Times New Roman" w:cs="Times New Roman"/>
          <w:sz w:val="20"/>
          <w:szCs w:val="20"/>
        </w:rPr>
        <w:pict>
          <v:rect id="_x0000_i1036" style="width:415.3pt;height:1.5pt" o:hralign="center" o:hrstd="t" o:hrnoshade="t" o:hr="t" fillcolor="black" stroked="f"/>
        </w:pict>
      </w:r>
    </w:p>
    <w:p w:rsidR="00000000" w:rsidRDefault="008E203B">
      <w:pPr>
        <w:divId w:val="1618677869"/>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8E203B">
      <w:pPr>
        <w:pStyle w:val="a3"/>
        <w:spacing w:before="0" w:beforeAutospacing="0" w:after="0" w:afterAutospacing="0"/>
        <w:divId w:val="1941180690"/>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ind w:firstLine="360"/>
        <w:jc w:val="both"/>
        <w:divId w:val="1941180690"/>
        <w:rPr>
          <w:rFonts w:ascii="Times New Roman" w:hAnsi="Times New Roman" w:cs="Times New Roman"/>
          <w:sz w:val="20"/>
          <w:szCs w:val="20"/>
        </w:rPr>
      </w:pPr>
      <w:r>
        <w:rPr>
          <w:rFonts w:ascii="Times New Roman" w:hAnsi="Times New Roman" w:cs="Times New Roman"/>
          <w:sz w:val="20"/>
          <w:szCs w:val="20"/>
        </w:rPr>
        <w:t>Base rental revenues from rental properties are recognized on a straight-line basis over the terms of the related leases. Certain of these leases also provide for percentage rents based upon the level of sales achieved by the lessee.  These percentage rent</w:t>
      </w:r>
      <w:r>
        <w:rPr>
          <w:rFonts w:ascii="Times New Roman" w:hAnsi="Times New Roman" w:cs="Times New Roman"/>
          <w:sz w:val="20"/>
          <w:szCs w:val="20"/>
        </w:rPr>
        <w:t>s are recognized once the required sales level is achieved.  Rental income may also include payments received in connection with lease termination agreements.  Lease termination fee income is recognized when the lessee provides consideration in order to te</w:t>
      </w:r>
      <w:r>
        <w:rPr>
          <w:rFonts w:ascii="Times New Roman" w:hAnsi="Times New Roman" w:cs="Times New Roman"/>
          <w:sz w:val="20"/>
          <w:szCs w:val="20"/>
        </w:rPr>
        <w:t xml:space="preserve">rminate an existing lease agreement and has vacated the leased space. If the lessee continues to occupy the leased space for a period of time after the lease termination is agreed upon, the termination fee is accounted for as a lease modification based on </w:t>
      </w:r>
      <w:r>
        <w:rPr>
          <w:rFonts w:ascii="Times New Roman" w:hAnsi="Times New Roman" w:cs="Times New Roman"/>
          <w:sz w:val="20"/>
          <w:szCs w:val="20"/>
        </w:rPr>
        <w:t>the modified lease term. Upon acquisition of real estate operating properties, the Company estimates the fair value of identified intangible assets and liabilities (including above-market and below-market leases, where applicable). The capitalized above-ma</w:t>
      </w:r>
      <w:r>
        <w:rPr>
          <w:rFonts w:ascii="Times New Roman" w:hAnsi="Times New Roman" w:cs="Times New Roman"/>
          <w:sz w:val="20"/>
          <w:szCs w:val="20"/>
        </w:rPr>
        <w:t>rket or below-market intangible asset or liability is amortized to rental income over the estimated remaining term of the respective leases, which includes the expected renewal option period for below-market leases.</w:t>
      </w:r>
    </w:p>
    <w:p w:rsidR="00000000" w:rsidRDefault="008E203B">
      <w:pPr>
        <w:pStyle w:val="a3"/>
        <w:spacing w:before="0" w:beforeAutospacing="0" w:after="0" w:afterAutospacing="0"/>
        <w:ind w:firstLine="360"/>
        <w:jc w:val="both"/>
        <w:divId w:val="1941180690"/>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ind w:firstLine="360"/>
        <w:jc w:val="both"/>
        <w:divId w:val="1941180690"/>
        <w:rPr>
          <w:rFonts w:ascii="Times New Roman" w:hAnsi="Times New Roman" w:cs="Times New Roman"/>
          <w:sz w:val="20"/>
          <w:szCs w:val="20"/>
        </w:rPr>
      </w:pPr>
      <w:r>
        <w:rPr>
          <w:rFonts w:ascii="Times New Roman" w:hAnsi="Times New Roman" w:cs="Times New Roman"/>
          <w:sz w:val="20"/>
          <w:szCs w:val="20"/>
        </w:rPr>
        <w:t xml:space="preserve">Also included in Revenues from rental </w:t>
      </w:r>
      <w:r>
        <w:rPr>
          <w:rFonts w:ascii="Times New Roman" w:hAnsi="Times New Roman" w:cs="Times New Roman"/>
          <w:sz w:val="20"/>
          <w:szCs w:val="20"/>
        </w:rPr>
        <w:t>properties, net are ancillary income and TIF income. Ancillary income is derived through various agreements relating to parking lots, clothing bins, temporary storage, vending machines, ATMs, trash bins and trash collections, seasonal leases, etc. The majo</w:t>
      </w:r>
      <w:r>
        <w:rPr>
          <w:rFonts w:ascii="Times New Roman" w:hAnsi="Times New Roman" w:cs="Times New Roman"/>
          <w:sz w:val="20"/>
          <w:szCs w:val="20"/>
        </w:rPr>
        <w:t>rity of the revenue derived from these sources are through lease agreements/arrangements and are recognized in accordance with the lease terms described in the lease. The Company has TIF agreements with certain municipalities and receives payments in accor</w:t>
      </w:r>
      <w:r>
        <w:rPr>
          <w:rFonts w:ascii="Times New Roman" w:hAnsi="Times New Roman" w:cs="Times New Roman"/>
          <w:sz w:val="20"/>
          <w:szCs w:val="20"/>
        </w:rPr>
        <w:t>dance with the agreements. TIF reimbursement income is recognized on a cash-basis when received.</w:t>
      </w:r>
    </w:p>
    <w:p w:rsidR="00000000" w:rsidRDefault="008E203B">
      <w:pPr>
        <w:pStyle w:val="a3"/>
        <w:spacing w:before="0" w:beforeAutospacing="0" w:after="0" w:afterAutospacing="0"/>
        <w:jc w:val="both"/>
        <w:divId w:val="1941180690"/>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ind w:firstLine="360"/>
        <w:jc w:val="both"/>
        <w:divId w:val="1941180690"/>
        <w:rPr>
          <w:rFonts w:ascii="Times New Roman" w:hAnsi="Times New Roman" w:cs="Times New Roman"/>
          <w:sz w:val="20"/>
          <w:szCs w:val="20"/>
        </w:rPr>
      </w:pPr>
      <w:r>
        <w:rPr>
          <w:rFonts w:ascii="Times New Roman" w:hAnsi="Times New Roman" w:cs="Times New Roman"/>
          <w:sz w:val="20"/>
          <w:szCs w:val="20"/>
          <w:u w:val="single"/>
        </w:rPr>
        <w:t>Trade Accounts Receivable</w:t>
      </w:r>
    </w:p>
    <w:p w:rsidR="00000000" w:rsidRDefault="008E203B">
      <w:pPr>
        <w:pStyle w:val="a3"/>
        <w:spacing w:before="0" w:beforeAutospacing="0" w:after="0" w:afterAutospacing="0"/>
        <w:jc w:val="both"/>
        <w:divId w:val="1941180690"/>
        <w:rPr>
          <w:rFonts w:ascii="Times New Roman" w:hAnsi="Times New Roman" w:cs="Times New Roman"/>
          <w:sz w:val="20"/>
          <w:szCs w:val="20"/>
        </w:rPr>
      </w:pPr>
      <w:r>
        <w:rPr>
          <w:rFonts w:ascii="Times New Roman" w:hAnsi="Times New Roman" w:cs="Times New Roman"/>
          <w:i/>
          <w:iCs/>
          <w:sz w:val="20"/>
          <w:szCs w:val="20"/>
        </w:rPr>
        <w:t> </w:t>
      </w:r>
    </w:p>
    <w:p w:rsidR="00000000" w:rsidRDefault="008E203B">
      <w:pPr>
        <w:pStyle w:val="a3"/>
        <w:spacing w:before="0" w:beforeAutospacing="0" w:after="0" w:afterAutospacing="0"/>
        <w:ind w:firstLine="360"/>
        <w:jc w:val="both"/>
        <w:divId w:val="1941180690"/>
        <w:rPr>
          <w:rFonts w:ascii="Times New Roman" w:hAnsi="Times New Roman" w:cs="Times New Roman"/>
          <w:sz w:val="20"/>
          <w:szCs w:val="20"/>
        </w:rPr>
      </w:pPr>
      <w:r>
        <w:rPr>
          <w:rFonts w:ascii="Times New Roman" w:hAnsi="Times New Roman" w:cs="Times New Roman"/>
          <w:sz w:val="20"/>
          <w:szCs w:val="20"/>
        </w:rPr>
        <w:t xml:space="preserve">The Company reviews its trade accounts receivable, including its straight-line rent receivable, related to base rents, straight-line rent, expense reimbursements and other revenues for collectability. The Company analyzes its accounts receivable, customer </w:t>
      </w:r>
      <w:r>
        <w:rPr>
          <w:rFonts w:ascii="Times New Roman" w:hAnsi="Times New Roman" w:cs="Times New Roman"/>
          <w:sz w:val="20"/>
          <w:szCs w:val="20"/>
        </w:rPr>
        <w:t>credit worthiness and current economic trends when evaluating the adequacy of the collectability of the lessee’s total accounts receivable balance on a lease by lease basis. In addition, tenants in bankruptcy are analyzed and considerations are made in con</w:t>
      </w:r>
      <w:r>
        <w:rPr>
          <w:rFonts w:ascii="Times New Roman" w:hAnsi="Times New Roman" w:cs="Times New Roman"/>
          <w:sz w:val="20"/>
          <w:szCs w:val="20"/>
        </w:rPr>
        <w:t>nection with the expected recovery of pre-petition and post-petition claims. If a lessee’s accounts receivable balance is considered uncollectible the Company will write-off the receivable balances associated with the lease and cease to recognize lease inc</w:t>
      </w:r>
      <w:r>
        <w:rPr>
          <w:rFonts w:ascii="Times New Roman" w:hAnsi="Times New Roman" w:cs="Times New Roman"/>
          <w:sz w:val="20"/>
          <w:szCs w:val="20"/>
        </w:rPr>
        <w:t xml:space="preserve">ome, including straight-line rent unless cash is received. If the Company subsequently determines that it is probable it will collect the remaining lessee’s lease payments under the lease term, the Company will then reinstate the straight-line balance and </w:t>
      </w:r>
      <w:r>
        <w:rPr>
          <w:rFonts w:ascii="Times New Roman" w:hAnsi="Times New Roman" w:cs="Times New Roman"/>
          <w:sz w:val="20"/>
          <w:szCs w:val="20"/>
        </w:rPr>
        <w:t>the lease income will then be limited to the lesser of (i) the straight-line rental income or (ii) the lease payments that have been collected from the lessee. The Company’s reported net earnings are directly affected by management’s estimate of the collec</w:t>
      </w:r>
      <w:r>
        <w:rPr>
          <w:rFonts w:ascii="Times New Roman" w:hAnsi="Times New Roman" w:cs="Times New Roman"/>
          <w:sz w:val="20"/>
          <w:szCs w:val="20"/>
        </w:rPr>
        <w:t>tability of  its trade accounts receivable. Trade accounts receivable, primarily derived from expense reimbursements, that are being disputed by the lessee will not be written-off as it is presumed the Company will collect these receivables upon resolution</w:t>
      </w:r>
      <w:r>
        <w:rPr>
          <w:rFonts w:ascii="Times New Roman" w:hAnsi="Times New Roman" w:cs="Times New Roman"/>
          <w:sz w:val="20"/>
          <w:szCs w:val="20"/>
        </w:rPr>
        <w:t xml:space="preserve"> with the tenant.</w:t>
      </w:r>
    </w:p>
    <w:p w:rsidR="00000000" w:rsidRDefault="008E203B">
      <w:pPr>
        <w:pStyle w:val="a3"/>
        <w:spacing w:before="0" w:beforeAutospacing="0" w:after="0" w:afterAutospacing="0"/>
        <w:ind w:firstLine="360"/>
        <w:jc w:val="both"/>
        <w:divId w:val="1941180690"/>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jc w:val="both"/>
        <w:divId w:val="1941180690"/>
        <w:rPr>
          <w:rFonts w:ascii="Times New Roman" w:hAnsi="Times New Roman" w:cs="Times New Roman"/>
          <w:sz w:val="20"/>
          <w:szCs w:val="20"/>
        </w:rPr>
      </w:pPr>
      <w:r>
        <w:rPr>
          <w:rFonts w:ascii="Times New Roman" w:hAnsi="Times New Roman" w:cs="Times New Roman"/>
          <w:i/>
          <w:iCs/>
          <w:sz w:val="20"/>
          <w:szCs w:val="20"/>
        </w:rPr>
        <w:t>Leases -</w:t>
      </w:r>
    </w:p>
    <w:p w:rsidR="00000000" w:rsidRDefault="008E203B">
      <w:pPr>
        <w:pStyle w:val="a3"/>
        <w:spacing w:before="0" w:beforeAutospacing="0" w:after="0" w:afterAutospacing="0"/>
        <w:jc w:val="both"/>
        <w:divId w:val="1941180690"/>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ind w:firstLine="360"/>
        <w:jc w:val="both"/>
        <w:divId w:val="1941180690"/>
        <w:rPr>
          <w:rFonts w:ascii="Times New Roman" w:hAnsi="Times New Roman" w:cs="Times New Roman"/>
          <w:sz w:val="20"/>
          <w:szCs w:val="20"/>
        </w:rPr>
      </w:pPr>
      <w:r>
        <w:rPr>
          <w:rFonts w:ascii="Times New Roman" w:hAnsi="Times New Roman" w:cs="Times New Roman"/>
          <w:sz w:val="20"/>
          <w:szCs w:val="20"/>
        </w:rPr>
        <w:t xml:space="preserve">The FASB issued Topic 842, which amended the guidance in former ASC Topic 840, </w:t>
      </w:r>
      <w:r>
        <w:rPr>
          <w:rFonts w:ascii="Times New Roman" w:hAnsi="Times New Roman" w:cs="Times New Roman"/>
          <w:i/>
          <w:iCs/>
          <w:sz w:val="20"/>
          <w:szCs w:val="20"/>
        </w:rPr>
        <w:t>Leases</w:t>
      </w:r>
      <w:r>
        <w:rPr>
          <w:rFonts w:ascii="Times New Roman" w:hAnsi="Times New Roman" w:cs="Times New Roman"/>
          <w:sz w:val="20"/>
          <w:szCs w:val="20"/>
        </w:rPr>
        <w:t>. The new standard increases transparency and comparability by requiring the recognition by lessees of right-of-use (“ROU”) assets and lease</w:t>
      </w:r>
      <w:r>
        <w:rPr>
          <w:rFonts w:ascii="Times New Roman" w:hAnsi="Times New Roman" w:cs="Times New Roman"/>
          <w:sz w:val="20"/>
          <w:szCs w:val="20"/>
        </w:rPr>
        <w:t xml:space="preserve"> liabilities on the balance sheet for those leases classified as operating leases.</w:t>
      </w:r>
    </w:p>
    <w:p w:rsidR="00000000" w:rsidRDefault="008E203B">
      <w:pPr>
        <w:pStyle w:val="a3"/>
        <w:spacing w:before="0" w:beforeAutospacing="0" w:after="0" w:afterAutospacing="0"/>
        <w:ind w:firstLine="360"/>
        <w:jc w:val="both"/>
        <w:divId w:val="1941180690"/>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ind w:firstLine="360"/>
        <w:jc w:val="both"/>
        <w:divId w:val="1941180690"/>
        <w:rPr>
          <w:rFonts w:ascii="Times New Roman" w:hAnsi="Times New Roman" w:cs="Times New Roman"/>
          <w:sz w:val="20"/>
          <w:szCs w:val="20"/>
        </w:rPr>
      </w:pPr>
      <w:r>
        <w:rPr>
          <w:rFonts w:ascii="Times New Roman" w:hAnsi="Times New Roman" w:cs="Times New Roman"/>
          <w:sz w:val="20"/>
          <w:szCs w:val="20"/>
        </w:rPr>
        <w:t>The Company adopted this standard effective January 1, 2019 under the modified retrospective approach and elected the optional transition method to apply the provisions of</w:t>
      </w:r>
      <w:r>
        <w:rPr>
          <w:rFonts w:ascii="Times New Roman" w:hAnsi="Times New Roman" w:cs="Times New Roman"/>
          <w:sz w:val="20"/>
          <w:szCs w:val="20"/>
        </w:rPr>
        <w:t xml:space="preserve"> Topic 842 as of the adoption date, rather than the earliest period presented. As such, the requirements of Topic 842 were not applied in the comparative periods presented in the Company’s Condensed Consolidated Financial Statements. The Company also elect</w:t>
      </w:r>
      <w:r>
        <w:rPr>
          <w:rFonts w:ascii="Times New Roman" w:hAnsi="Times New Roman" w:cs="Times New Roman"/>
          <w:sz w:val="20"/>
          <w:szCs w:val="20"/>
        </w:rPr>
        <w:t>ed the package of practical expedients, which permits it to not reassess (i) whether any expired or existing contracts are or contain leases, (ii) the lease classification for any expired or existing leases and (iii) any initial direct costs for any existi</w:t>
      </w:r>
      <w:r>
        <w:rPr>
          <w:rFonts w:ascii="Times New Roman" w:hAnsi="Times New Roman" w:cs="Times New Roman"/>
          <w:sz w:val="20"/>
          <w:szCs w:val="20"/>
        </w:rPr>
        <w:t>ng leases as of the effective date. The Company did not elect the hindsight practical expedient, which permits entities to use hindsight in determining the lease term and assessing impairment.</w:t>
      </w:r>
    </w:p>
    <w:p w:rsidR="00000000" w:rsidRDefault="008E203B">
      <w:pPr>
        <w:pStyle w:val="a3"/>
        <w:spacing w:before="0" w:beforeAutospacing="0" w:after="0" w:afterAutospacing="0"/>
        <w:ind w:firstLine="360"/>
        <w:jc w:val="both"/>
        <w:divId w:val="1941180690"/>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ind w:firstLine="360"/>
        <w:jc w:val="both"/>
        <w:divId w:val="1941180690"/>
        <w:rPr>
          <w:rFonts w:ascii="Times New Roman" w:hAnsi="Times New Roman" w:cs="Times New Roman"/>
          <w:sz w:val="20"/>
          <w:szCs w:val="20"/>
        </w:rPr>
      </w:pPr>
      <w:r>
        <w:rPr>
          <w:rFonts w:ascii="Times New Roman" w:hAnsi="Times New Roman" w:cs="Times New Roman"/>
          <w:sz w:val="20"/>
          <w:szCs w:val="20"/>
          <w:u w:val="single"/>
        </w:rPr>
        <w:t>Lessor</w:t>
      </w:r>
    </w:p>
    <w:p w:rsidR="00000000" w:rsidRDefault="008E203B">
      <w:pPr>
        <w:pStyle w:val="a3"/>
        <w:spacing w:before="0" w:beforeAutospacing="0" w:after="0" w:afterAutospacing="0"/>
        <w:ind w:firstLine="360"/>
        <w:jc w:val="both"/>
        <w:divId w:val="1941180690"/>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ind w:firstLine="360"/>
        <w:jc w:val="both"/>
        <w:divId w:val="1941180690"/>
        <w:rPr>
          <w:rFonts w:ascii="Times New Roman" w:hAnsi="Times New Roman" w:cs="Times New Roman"/>
          <w:sz w:val="20"/>
          <w:szCs w:val="20"/>
        </w:rPr>
      </w:pPr>
      <w:r>
        <w:rPr>
          <w:rFonts w:ascii="Times New Roman" w:hAnsi="Times New Roman" w:cs="Times New Roman"/>
          <w:sz w:val="20"/>
          <w:szCs w:val="20"/>
        </w:rPr>
        <w:t>In July 2018, the FASB issued guidance codified in A</w:t>
      </w:r>
      <w:r>
        <w:rPr>
          <w:rFonts w:ascii="Times New Roman" w:hAnsi="Times New Roman" w:cs="Times New Roman"/>
          <w:sz w:val="20"/>
          <w:szCs w:val="20"/>
        </w:rPr>
        <w:t xml:space="preserve">SU 2018-11, </w:t>
      </w:r>
      <w:r>
        <w:rPr>
          <w:rFonts w:ascii="Times New Roman" w:hAnsi="Times New Roman" w:cs="Times New Roman"/>
          <w:i/>
          <w:iCs/>
          <w:sz w:val="20"/>
          <w:szCs w:val="20"/>
        </w:rPr>
        <w:t>Leases</w:t>
      </w:r>
      <w:r>
        <w:rPr>
          <w:rFonts w:ascii="Times New Roman" w:hAnsi="Times New Roman" w:cs="Times New Roman"/>
          <w:sz w:val="20"/>
          <w:szCs w:val="20"/>
        </w:rPr>
        <w:t xml:space="preserve"> - Targeted Improvements (“ASU 2018-11”). ASU 2018-11 provides a practical expedient, which allows lessors to combine non-lease components with the related lease components if (i) both the timing and pattern of transfer are the same for t</w:t>
      </w:r>
      <w:r>
        <w:rPr>
          <w:rFonts w:ascii="Times New Roman" w:hAnsi="Times New Roman" w:cs="Times New Roman"/>
          <w:sz w:val="20"/>
          <w:szCs w:val="20"/>
        </w:rPr>
        <w:t>he non-lease component(s) and related lease component, and (ii) the lease component would be classified as an operating lease if accounted for separately. The single combined component is accounted for under Topic 842 if the lease component is the predomin</w:t>
      </w:r>
      <w:r>
        <w:rPr>
          <w:rFonts w:ascii="Times New Roman" w:hAnsi="Times New Roman" w:cs="Times New Roman"/>
          <w:sz w:val="20"/>
          <w:szCs w:val="20"/>
        </w:rPr>
        <w:t>ant component and is accounted for under Topic 606 if the non-lease components are the predominant components. Lessors are permitted to apply the practical expedient to all existing leases on a retrospective or prospective basis. The Company elected the pr</w:t>
      </w:r>
      <w:r>
        <w:rPr>
          <w:rFonts w:ascii="Times New Roman" w:hAnsi="Times New Roman" w:cs="Times New Roman"/>
          <w:sz w:val="20"/>
          <w:szCs w:val="20"/>
        </w:rPr>
        <w:t>actical expedient to combine its lease and non-lease components that meet the defined criteria and will account for the combined lease component under Topic 842 on a prospective basis.</w:t>
      </w:r>
    </w:p>
    <w:p w:rsidR="00000000" w:rsidRDefault="008E203B">
      <w:pPr>
        <w:pStyle w:val="a3"/>
        <w:spacing w:before="0" w:beforeAutospacing="0" w:after="0" w:afterAutospacing="0"/>
        <w:ind w:firstLine="360"/>
        <w:jc w:val="both"/>
        <w:divId w:val="1941180690"/>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ind w:firstLine="360"/>
        <w:jc w:val="both"/>
        <w:divId w:val="1941180690"/>
        <w:rPr>
          <w:rFonts w:ascii="Times New Roman" w:hAnsi="Times New Roman" w:cs="Times New Roman"/>
          <w:sz w:val="20"/>
          <w:szCs w:val="20"/>
        </w:rPr>
      </w:pPr>
      <w:r>
        <w:rPr>
          <w:rFonts w:ascii="Times New Roman" w:hAnsi="Times New Roman" w:cs="Times New Roman"/>
          <w:sz w:val="20"/>
          <w:szCs w:val="20"/>
        </w:rPr>
        <w:t>As a lessor, the recognition of rental revenue remained mainly consis</w:t>
      </w:r>
      <w:r>
        <w:rPr>
          <w:rFonts w:ascii="Times New Roman" w:hAnsi="Times New Roman" w:cs="Times New Roman"/>
          <w:sz w:val="20"/>
          <w:szCs w:val="20"/>
        </w:rPr>
        <w:t>tent with previous guidance, apart from the narrower definition of initial direct costs that can be capitalized. The new standard defines initial direct costs as only the incremental costs that would not have been incurred if the lease had not been obtaine</w:t>
      </w:r>
      <w:r>
        <w:rPr>
          <w:rFonts w:ascii="Times New Roman" w:hAnsi="Times New Roman" w:cs="Times New Roman"/>
          <w:sz w:val="20"/>
          <w:szCs w:val="20"/>
        </w:rPr>
        <w:t>d. Under Topic 842 initial direct costs include commissions paid to third parties, including brokers, leasing and referral agents and internal leasing commissions paid to employees for successful execution of lease agreements. These initial direct costs ar</w:t>
      </w:r>
      <w:r>
        <w:rPr>
          <w:rFonts w:ascii="Times New Roman" w:hAnsi="Times New Roman" w:cs="Times New Roman"/>
          <w:sz w:val="20"/>
          <w:szCs w:val="20"/>
        </w:rPr>
        <w:t>e capitalized and generally amortized over the term of the related leases using the straight-line method. Internal employee compensation, payroll-related benefits and certain external legal fees are considered indirect costs associated with the execution o</w:t>
      </w:r>
      <w:r>
        <w:rPr>
          <w:rFonts w:ascii="Times New Roman" w:hAnsi="Times New Roman" w:cs="Times New Roman"/>
          <w:sz w:val="20"/>
          <w:szCs w:val="20"/>
        </w:rPr>
        <w:t>f lease agreements and will no longer be capitalized; these costs will be included in general and administrative expense. As a result of electing the package of practical expedients described above, existing leases and related initial direct costs have not</w:t>
      </w:r>
      <w:r>
        <w:rPr>
          <w:rFonts w:ascii="Times New Roman" w:hAnsi="Times New Roman" w:cs="Times New Roman"/>
          <w:sz w:val="20"/>
          <w:szCs w:val="20"/>
        </w:rPr>
        <w:t xml:space="preserve"> been reassessed prior to the effective date and therefore adoption of the lease standard did not have an impact on the Company’s previously reported Condensed Consolidated Statements of Income for initial direct costs.</w:t>
      </w:r>
    </w:p>
    <w:p w:rsidR="00000000" w:rsidRDefault="008E203B">
      <w:pPr>
        <w:pStyle w:val="a3"/>
        <w:spacing w:before="0" w:beforeAutospacing="0" w:after="0" w:afterAutospacing="0"/>
        <w:ind w:firstLine="360"/>
        <w:jc w:val="both"/>
        <w:divId w:val="1941180690"/>
        <w:rPr>
          <w:rFonts w:ascii="Times New Roman" w:hAnsi="Times New Roman" w:cs="Times New Roman"/>
          <w:sz w:val="20"/>
          <w:szCs w:val="20"/>
        </w:rPr>
      </w:pPr>
      <w:r>
        <w:rPr>
          <w:rFonts w:ascii="Times New Roman" w:hAnsi="Times New Roman" w:cs="Times New Roman"/>
          <w:sz w:val="20"/>
          <w:szCs w:val="20"/>
        </w:rPr>
        <w:t> </w:t>
      </w:r>
    </w:p>
    <w:p w:rsidR="00000000" w:rsidRDefault="008E203B">
      <w:pPr>
        <w:jc w:val="center"/>
        <w:divId w:val="594827355"/>
        <w:rPr>
          <w:rFonts w:ascii="Times New Roman" w:hAnsi="Times New Roman" w:cs="Times New Roman"/>
          <w:sz w:val="20"/>
          <w:szCs w:val="20"/>
        </w:rPr>
      </w:pPr>
      <w:r>
        <w:rPr>
          <w:rFonts w:ascii="Times New Roman" w:hAnsi="Times New Roman" w:cs="Times New Roman"/>
          <w:sz w:val="20"/>
          <w:szCs w:val="20"/>
        </w:rPr>
        <w:t>9</w:t>
      </w:r>
    </w:p>
    <w:p w:rsidR="00000000" w:rsidRDefault="008E203B">
      <w:pPr>
        <w:divId w:val="594827355"/>
        <w:rPr>
          <w:rFonts w:ascii="Times New Roman" w:hAnsi="Times New Roman" w:cs="Times New Roman"/>
          <w:sz w:val="20"/>
          <w:szCs w:val="20"/>
        </w:rPr>
      </w:pPr>
      <w:r>
        <w:rPr>
          <w:rFonts w:ascii="Times New Roman" w:hAnsi="Times New Roman" w:cs="Times New Roman"/>
          <w:sz w:val="20"/>
          <w:szCs w:val="20"/>
        </w:rPr>
        <w:pict>
          <v:rect id="_x0000_i1037" style="width:415.3pt;height:1.5pt" o:hralign="center" o:hrstd="t" o:hrnoshade="t" o:hr="t" fillcolor="black" stroked="f"/>
        </w:pict>
      </w:r>
    </w:p>
    <w:p w:rsidR="00000000" w:rsidRDefault="008E203B">
      <w:pPr>
        <w:divId w:val="594827355"/>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8E203B">
      <w:pPr>
        <w:pStyle w:val="a3"/>
        <w:spacing w:before="0" w:beforeAutospacing="0" w:after="0" w:afterAutospacing="0"/>
        <w:divId w:val="1941180690"/>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ind w:firstLine="360"/>
        <w:jc w:val="both"/>
        <w:divId w:val="1941180690"/>
        <w:rPr>
          <w:rFonts w:ascii="Times New Roman" w:hAnsi="Times New Roman" w:cs="Times New Roman"/>
          <w:sz w:val="20"/>
          <w:szCs w:val="20"/>
        </w:rPr>
      </w:pPr>
      <w:r>
        <w:rPr>
          <w:rFonts w:ascii="Times New Roman" w:hAnsi="Times New Roman" w:cs="Times New Roman"/>
          <w:sz w:val="20"/>
          <w:szCs w:val="20"/>
          <w:u w:val="single"/>
        </w:rPr>
        <w:t>Lessee</w:t>
      </w:r>
    </w:p>
    <w:p w:rsidR="00000000" w:rsidRDefault="008E203B">
      <w:pPr>
        <w:pStyle w:val="a3"/>
        <w:spacing w:before="0" w:beforeAutospacing="0" w:after="0" w:afterAutospacing="0"/>
        <w:ind w:firstLine="360"/>
        <w:jc w:val="both"/>
        <w:divId w:val="1941180690"/>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ind w:firstLine="360"/>
        <w:jc w:val="both"/>
        <w:divId w:val="1941180690"/>
        <w:rPr>
          <w:rFonts w:ascii="Times New Roman" w:hAnsi="Times New Roman" w:cs="Times New Roman"/>
          <w:sz w:val="20"/>
          <w:szCs w:val="20"/>
        </w:rPr>
      </w:pPr>
      <w:r>
        <w:rPr>
          <w:rFonts w:ascii="Times New Roman" w:hAnsi="Times New Roman" w:cs="Times New Roman"/>
          <w:sz w:val="20"/>
          <w:szCs w:val="20"/>
        </w:rPr>
        <w:t>The Company’</w:t>
      </w:r>
      <w:r>
        <w:rPr>
          <w:rFonts w:ascii="Times New Roman" w:hAnsi="Times New Roman" w:cs="Times New Roman"/>
          <w:sz w:val="20"/>
          <w:szCs w:val="20"/>
        </w:rPr>
        <w:t>s leases where it is the lessee primarily consist of ground leases and administrative office leases. ROU assets represent the Company’s right to use an underlying asset for the lease term and lease liabilities represent the Company’s obligation to make lea</w:t>
      </w:r>
      <w:r>
        <w:rPr>
          <w:rFonts w:ascii="Times New Roman" w:hAnsi="Times New Roman" w:cs="Times New Roman"/>
          <w:sz w:val="20"/>
          <w:szCs w:val="20"/>
        </w:rPr>
        <w:t xml:space="preserve">se payments arising from the lease. ROU assets and lease liabilities are recognized at the commencement date of the lease and are based on the present value of lease payments over the lease term. The Company utilized an incremental borrowing rate based on </w:t>
      </w:r>
      <w:r>
        <w:rPr>
          <w:rFonts w:ascii="Times New Roman" w:hAnsi="Times New Roman" w:cs="Times New Roman"/>
          <w:sz w:val="20"/>
          <w:szCs w:val="20"/>
        </w:rPr>
        <w:t xml:space="preserve">the information available at adoption of Topic 842 in determining the present value of lease payments since these leases do not provide an implicit rate. Variable lease payments are excluded from the lease liabilities and corresponding ROU assets, as they </w:t>
      </w:r>
      <w:r>
        <w:rPr>
          <w:rFonts w:ascii="Times New Roman" w:hAnsi="Times New Roman" w:cs="Times New Roman"/>
          <w:sz w:val="20"/>
          <w:szCs w:val="20"/>
        </w:rPr>
        <w:t>are recognized in the period in which the obligation for those payments is incurred. Many of the Company’s lessee agreements include options to extend the lease, which it did not include in its minimum lease terms unless they are reasonably certain to be e</w:t>
      </w:r>
      <w:r>
        <w:rPr>
          <w:rFonts w:ascii="Times New Roman" w:hAnsi="Times New Roman" w:cs="Times New Roman"/>
          <w:sz w:val="20"/>
          <w:szCs w:val="20"/>
        </w:rPr>
        <w:t>xercised. Rental expense for lease payments related to operating leases is recognized on a straight-line basis over the lease term. Upon the adoption of Topic 842, the Company recognized $106.0 million of ROU assets, including net intangible assets of $7.3</w:t>
      </w:r>
      <w:r>
        <w:rPr>
          <w:rFonts w:ascii="Times New Roman" w:hAnsi="Times New Roman" w:cs="Times New Roman"/>
          <w:sz w:val="20"/>
          <w:szCs w:val="20"/>
        </w:rPr>
        <w:t xml:space="preserve"> million, which were reclassified from Real estate, net to Operating lease right-of-use assets, net and $98.7 million of corresponding Operating lease liabilities for its operating leases on the Company’s Condensed Consolidated Balance Sheets. See Footnote</w:t>
      </w:r>
      <w:r>
        <w:rPr>
          <w:rFonts w:ascii="Times New Roman" w:hAnsi="Times New Roman" w:cs="Times New Roman"/>
          <w:sz w:val="20"/>
          <w:szCs w:val="20"/>
        </w:rPr>
        <w:t xml:space="preserve"> 7 to the Notes to the Company’s Condensed Consolidated Financial Statements for further details.</w:t>
      </w:r>
    </w:p>
    <w:p w:rsidR="00000000" w:rsidRDefault="008E203B">
      <w:pPr>
        <w:pStyle w:val="a3"/>
        <w:spacing w:before="0" w:beforeAutospacing="0" w:after="0" w:afterAutospacing="0"/>
        <w:jc w:val="both"/>
        <w:divId w:val="1941180690"/>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jc w:val="both"/>
        <w:divId w:val="1941180690"/>
        <w:rPr>
          <w:rFonts w:ascii="Times New Roman" w:hAnsi="Times New Roman" w:cs="Times New Roman"/>
          <w:sz w:val="20"/>
          <w:szCs w:val="20"/>
        </w:rPr>
      </w:pPr>
      <w:r>
        <w:rPr>
          <w:rFonts w:ascii="Times New Roman" w:hAnsi="Times New Roman" w:cs="Times New Roman"/>
          <w:i/>
          <w:iCs/>
          <w:sz w:val="20"/>
          <w:szCs w:val="20"/>
        </w:rPr>
        <w:t>Reclassifications -</w:t>
      </w:r>
    </w:p>
    <w:p w:rsidR="00000000" w:rsidRDefault="008E203B">
      <w:pPr>
        <w:pStyle w:val="a3"/>
        <w:spacing w:before="0" w:beforeAutospacing="0" w:after="0" w:afterAutospacing="0"/>
        <w:jc w:val="both"/>
        <w:divId w:val="1941180690"/>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jc w:val="both"/>
        <w:divId w:val="1941180690"/>
        <w:rPr>
          <w:rFonts w:ascii="Times New Roman" w:hAnsi="Times New Roman" w:cs="Times New Roman"/>
          <w:sz w:val="20"/>
          <w:szCs w:val="20"/>
        </w:rPr>
      </w:pPr>
      <w:r>
        <w:rPr>
          <w:rFonts w:ascii="Times New Roman" w:hAnsi="Times New Roman" w:cs="Times New Roman"/>
          <w:sz w:val="20"/>
          <w:szCs w:val="20"/>
        </w:rPr>
        <w:t>      Certain amounts in the prior period have been reclassified in order to conform with the current period’s presentation. In conjun</w:t>
      </w:r>
      <w:r>
        <w:rPr>
          <w:rFonts w:ascii="Times New Roman" w:hAnsi="Times New Roman" w:cs="Times New Roman"/>
          <w:sz w:val="20"/>
          <w:szCs w:val="20"/>
        </w:rPr>
        <w:t>ction with the adoption of Topic 842 discussed above, the Company reclassified $63.7 million of Reimbursement income and $5.6 million of Other rental property income to Revenues from rental properties, net on the Company’s Condensed Consolidated Statement </w:t>
      </w:r>
      <w:r>
        <w:rPr>
          <w:rFonts w:ascii="Times New Roman" w:hAnsi="Times New Roman" w:cs="Times New Roman"/>
          <w:sz w:val="20"/>
          <w:szCs w:val="20"/>
        </w:rPr>
        <w:t>of Income for the three months ended March 31, 2018. The reclassification is solely for comparative purposes and the Company has not elected to adopt Topic 842 retrospectively.</w:t>
      </w:r>
    </w:p>
    <w:p w:rsidR="00000000" w:rsidRDefault="008E203B">
      <w:pPr>
        <w:pStyle w:val="a3"/>
        <w:spacing w:before="0" w:beforeAutospacing="0" w:after="0" w:afterAutospacing="0"/>
        <w:jc w:val="both"/>
        <w:divId w:val="1941180690"/>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jc w:val="both"/>
        <w:divId w:val="1941180690"/>
        <w:rPr>
          <w:rFonts w:ascii="Times New Roman" w:hAnsi="Times New Roman" w:cs="Times New Roman"/>
          <w:sz w:val="20"/>
          <w:szCs w:val="20"/>
        </w:rPr>
      </w:pPr>
      <w:r>
        <w:rPr>
          <w:rFonts w:ascii="Times New Roman" w:hAnsi="Times New Roman" w:cs="Times New Roman"/>
          <w:i/>
          <w:iCs/>
          <w:sz w:val="20"/>
          <w:szCs w:val="20"/>
        </w:rPr>
        <w:t>Subsequent Events -</w:t>
      </w:r>
    </w:p>
    <w:p w:rsidR="00000000" w:rsidRDefault="008E203B">
      <w:pPr>
        <w:pStyle w:val="a3"/>
        <w:spacing w:before="0" w:beforeAutospacing="0" w:after="0" w:afterAutospacing="0"/>
        <w:jc w:val="both"/>
        <w:divId w:val="1941180690"/>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ind w:firstLine="360"/>
        <w:jc w:val="both"/>
        <w:divId w:val="1941180690"/>
        <w:rPr>
          <w:rFonts w:ascii="Times New Roman" w:hAnsi="Times New Roman" w:cs="Times New Roman"/>
          <w:sz w:val="20"/>
          <w:szCs w:val="20"/>
        </w:rPr>
      </w:pPr>
      <w:r>
        <w:rPr>
          <w:rFonts w:ascii="Times New Roman" w:hAnsi="Times New Roman" w:cs="Times New Roman"/>
          <w:sz w:val="20"/>
          <w:szCs w:val="20"/>
        </w:rPr>
        <w:t>The Company has evaluated subsequent events and transac</w:t>
      </w:r>
      <w:r>
        <w:rPr>
          <w:rFonts w:ascii="Times New Roman" w:hAnsi="Times New Roman" w:cs="Times New Roman"/>
          <w:sz w:val="20"/>
          <w:szCs w:val="20"/>
        </w:rPr>
        <w:t>tions for potential recognition or disclosure in its condensed consolidated financial statements.</w:t>
      </w:r>
    </w:p>
    <w:p w:rsidR="00000000" w:rsidRDefault="008E203B">
      <w:pPr>
        <w:pStyle w:val="a3"/>
        <w:spacing w:before="0" w:beforeAutospacing="0" w:after="0" w:afterAutospacing="0"/>
        <w:jc w:val="both"/>
        <w:divId w:val="1941180690"/>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divId w:val="1941180690"/>
        <w:rPr>
          <w:rFonts w:ascii="Times New Roman" w:hAnsi="Times New Roman" w:cs="Times New Roman"/>
          <w:sz w:val="20"/>
          <w:szCs w:val="20"/>
        </w:rPr>
      </w:pPr>
      <w:r>
        <w:rPr>
          <w:rFonts w:ascii="Times New Roman" w:hAnsi="Times New Roman" w:cs="Times New Roman"/>
          <w:i/>
          <w:iCs/>
          <w:sz w:val="20"/>
          <w:szCs w:val="20"/>
        </w:rPr>
        <w:t>New Accounting Pronouncements -</w:t>
      </w:r>
    </w:p>
    <w:p w:rsidR="00000000" w:rsidRDefault="008E203B">
      <w:pPr>
        <w:pStyle w:val="a3"/>
        <w:spacing w:before="0" w:beforeAutospacing="0" w:after="0" w:afterAutospacing="0"/>
        <w:divId w:val="1941180690"/>
        <w:rPr>
          <w:rFonts w:ascii="Times New Roman" w:hAnsi="Times New Roman" w:cs="Times New Roman"/>
          <w:sz w:val="20"/>
          <w:szCs w:val="20"/>
        </w:rPr>
      </w:pPr>
      <w:r>
        <w:rPr>
          <w:rFonts w:ascii="Times New Roman" w:hAnsi="Times New Roman" w:cs="Times New Roman"/>
          <w:i/>
          <w:iCs/>
          <w:sz w:val="20"/>
          <w:szCs w:val="20"/>
        </w:rPr>
        <w:t> </w:t>
      </w:r>
    </w:p>
    <w:p w:rsidR="00000000" w:rsidRDefault="008E203B">
      <w:pPr>
        <w:pStyle w:val="a3"/>
        <w:spacing w:before="0" w:beforeAutospacing="0" w:after="0" w:afterAutospacing="0"/>
        <w:jc w:val="both"/>
        <w:divId w:val="1941180690"/>
        <w:rPr>
          <w:rFonts w:ascii="Times New Roman" w:hAnsi="Times New Roman" w:cs="Times New Roman"/>
          <w:sz w:val="20"/>
          <w:szCs w:val="20"/>
        </w:rPr>
      </w:pPr>
      <w:r>
        <w:rPr>
          <w:rFonts w:ascii="Times New Roman" w:hAnsi="Times New Roman" w:cs="Times New Roman"/>
          <w:sz w:val="20"/>
          <w:szCs w:val="20"/>
        </w:rPr>
        <w:t>       The following table represents ASUs to the FASB’s ASC that, as of March 31, 2019, are not yet effective for the Com</w:t>
      </w:r>
      <w:r>
        <w:rPr>
          <w:rFonts w:ascii="Times New Roman" w:hAnsi="Times New Roman" w:cs="Times New Roman"/>
          <w:sz w:val="20"/>
          <w:szCs w:val="20"/>
        </w:rPr>
        <w:t>pany and for which the Company has not elected early adoption, where permitted:</w:t>
      </w:r>
    </w:p>
    <w:p w:rsidR="00000000" w:rsidRDefault="008E203B">
      <w:pPr>
        <w:pStyle w:val="a3"/>
        <w:spacing w:before="0" w:beforeAutospacing="0" w:after="0" w:afterAutospacing="0"/>
        <w:jc w:val="both"/>
        <w:divId w:val="1941180690"/>
        <w:rPr>
          <w:rFonts w:ascii="Times New Roman" w:hAnsi="Times New Roman" w:cs="Times New Roman"/>
          <w:sz w:val="20"/>
          <w:szCs w:val="20"/>
        </w:rPr>
      </w:pPr>
      <w:r>
        <w:rPr>
          <w:rFonts w:ascii="Times New Roman" w:hAnsi="Times New Roman" w:cs="Times New Roman"/>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935"/>
        <w:gridCol w:w="3579"/>
        <w:gridCol w:w="892"/>
        <w:gridCol w:w="1884"/>
      </w:tblGrid>
      <w:tr w:rsidR="00000000">
        <w:trPr>
          <w:divId w:val="1941180690"/>
          <w:tblCellSpacing w:w="15" w:type="dxa"/>
        </w:trPr>
        <w:tc>
          <w:tcPr>
            <w:tcW w:w="1100" w:type="pct"/>
            <w:tcBorders>
              <w:top w:val="single" w:sz="6" w:space="0" w:color="000000"/>
              <w:left w:val="single" w:sz="6" w:space="0" w:color="000000"/>
              <w:bottom w:val="single" w:sz="6" w:space="0" w:color="000000"/>
            </w:tcBorders>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ASU</w:t>
            </w:r>
          </w:p>
        </w:tc>
        <w:tc>
          <w:tcPr>
            <w:tcW w:w="2200" w:type="pct"/>
            <w:tcBorders>
              <w:top w:val="single" w:sz="6" w:space="0" w:color="000000"/>
              <w:left w:val="single" w:sz="6" w:space="0" w:color="000000"/>
              <w:bottom w:val="single" w:sz="6" w:space="0" w:color="000000"/>
              <w:right w:val="single" w:sz="6" w:space="0" w:color="000000"/>
            </w:tcBorders>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Description</w:t>
            </w:r>
          </w:p>
        </w:tc>
        <w:tc>
          <w:tcPr>
            <w:tcW w:w="550" w:type="pct"/>
            <w:tcBorders>
              <w:top w:val="single" w:sz="6" w:space="0" w:color="000000"/>
              <w:bottom w:val="single" w:sz="6" w:space="0" w:color="000000"/>
              <w:right w:val="single" w:sz="6" w:space="0" w:color="000000"/>
            </w:tcBorders>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 xml:space="preserve">Effective </w:t>
            </w:r>
          </w:p>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Date</w:t>
            </w:r>
          </w:p>
        </w:tc>
        <w:tc>
          <w:tcPr>
            <w:tcW w:w="1150" w:type="pct"/>
            <w:tcBorders>
              <w:top w:val="single" w:sz="6" w:space="0" w:color="000000"/>
              <w:bottom w:val="single" w:sz="6" w:space="0" w:color="000000"/>
              <w:right w:val="single" w:sz="6" w:space="0" w:color="000000"/>
            </w:tcBorders>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 xml:space="preserve">Effect on the financial </w:t>
            </w:r>
          </w:p>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statements or other significant</w:t>
            </w:r>
          </w:p>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matters</w:t>
            </w:r>
          </w:p>
        </w:tc>
      </w:tr>
      <w:tr w:rsidR="00000000">
        <w:trPr>
          <w:divId w:val="1941180690"/>
          <w:tblCellSpacing w:w="15" w:type="dxa"/>
        </w:trPr>
        <w:tc>
          <w:tcPr>
            <w:tcW w:w="1100" w:type="pct"/>
            <w:tcBorders>
              <w:left w:val="single" w:sz="6" w:space="0" w:color="000000"/>
              <w:bottom w:val="single" w:sz="6" w:space="0" w:color="000000"/>
            </w:tcBorders>
            <w:shd w:val="clear" w:color="auto" w:fill="CCEEFF"/>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ASU 2018-17, Consolidation (Topic 810) – </w:t>
            </w:r>
            <w:r>
              <w:rPr>
                <w:rFonts w:ascii="Times New Roman" w:hAnsi="Times New Roman" w:cs="Times New Roman"/>
                <w:sz w:val="20"/>
                <w:szCs w:val="20"/>
              </w:rPr>
              <w:t>Targeted Improvements to Related Party Guidance for Variable Interest Entities</w:t>
            </w:r>
          </w:p>
        </w:tc>
        <w:tc>
          <w:tcPr>
            <w:tcW w:w="2200" w:type="pct"/>
            <w:tcBorders>
              <w:left w:val="single" w:sz="6" w:space="0" w:color="000000"/>
              <w:bottom w:val="single" w:sz="6" w:space="0" w:color="000000"/>
              <w:right w:val="single" w:sz="6" w:space="0" w:color="000000"/>
            </w:tcBorders>
            <w:shd w:val="clear" w:color="auto" w:fill="CCEEFF"/>
            <w:hideMark/>
          </w:tcPr>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The amendment to Topic 810 clarifies the following areas:</w:t>
            </w:r>
          </w:p>
          <w:p w:rsidR="00000000" w:rsidRDefault="008E203B">
            <w:pPr>
              <w:pStyle w:val="a3"/>
              <w:spacing w:before="0" w:beforeAutospacing="0" w:after="0" w:afterAutospacing="0"/>
              <w:ind w:left="360" w:hanging="360"/>
              <w:jc w:val="both"/>
              <w:rPr>
                <w:rFonts w:ascii="Times New Roman" w:hAnsi="Times New Roman" w:cs="Times New Roman"/>
                <w:sz w:val="20"/>
                <w:szCs w:val="20"/>
              </w:rPr>
            </w:pPr>
            <w:r>
              <w:rPr>
                <w:rFonts w:ascii="Times New Roman" w:hAnsi="Times New Roman" w:cs="Times New Roman"/>
                <w:sz w:val="20"/>
                <w:szCs w:val="20"/>
              </w:rPr>
              <w:t>(i)   Applying the variable interest entity (VIE) guidance to private companies under common control, and</w:t>
            </w:r>
          </w:p>
          <w:p w:rsidR="00000000" w:rsidRDefault="008E203B">
            <w:pPr>
              <w:pStyle w:val="a3"/>
              <w:spacing w:before="0" w:beforeAutospacing="0" w:after="0" w:afterAutospacing="0"/>
              <w:ind w:left="360" w:hanging="360"/>
              <w:jc w:val="both"/>
              <w:rPr>
                <w:rFonts w:ascii="Times New Roman" w:hAnsi="Times New Roman" w:cs="Times New Roman"/>
                <w:sz w:val="20"/>
                <w:szCs w:val="20"/>
              </w:rPr>
            </w:pPr>
            <w:r>
              <w:rPr>
                <w:rFonts w:ascii="Times New Roman" w:hAnsi="Times New Roman" w:cs="Times New Roman"/>
                <w:sz w:val="20"/>
                <w:szCs w:val="20"/>
              </w:rPr>
              <w:t>(ii)  Conside</w:t>
            </w:r>
            <w:r>
              <w:rPr>
                <w:rFonts w:ascii="Times New Roman" w:hAnsi="Times New Roman" w:cs="Times New Roman"/>
                <w:sz w:val="20"/>
                <w:szCs w:val="20"/>
              </w:rPr>
              <w:t>ring indirect interests held through related parties under common control, and for determining whether fees paid to decision makers and service providers are variable interests.</w:t>
            </w:r>
          </w:p>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This update improves the accounting for those areas, thereby improving gener</w:t>
            </w:r>
            <w:r>
              <w:rPr>
                <w:rFonts w:ascii="Times New Roman" w:hAnsi="Times New Roman" w:cs="Times New Roman"/>
                <w:sz w:val="20"/>
                <w:szCs w:val="20"/>
              </w:rPr>
              <w:t>al purpose financial reporting. Retrospective adoption is required.</w:t>
            </w:r>
          </w:p>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 </w:t>
            </w:r>
          </w:p>
        </w:tc>
        <w:tc>
          <w:tcPr>
            <w:tcW w:w="550" w:type="pct"/>
            <w:tcBorders>
              <w:bottom w:val="single" w:sz="6" w:space="0" w:color="000000"/>
              <w:right w:val="single" w:sz="6" w:space="0" w:color="000000"/>
            </w:tcBorders>
            <w:shd w:val="clear" w:color="auto" w:fill="CCEEFF"/>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January 1, 2020; Early adoption permitted</w:t>
            </w:r>
          </w:p>
        </w:tc>
        <w:tc>
          <w:tcPr>
            <w:tcW w:w="1150" w:type="pct"/>
            <w:tcBorders>
              <w:bottom w:val="single" w:sz="6" w:space="0" w:color="000000"/>
              <w:right w:val="single" w:sz="6" w:space="0" w:color="000000"/>
            </w:tcBorders>
            <w:shd w:val="clear" w:color="auto" w:fill="CCEEFF"/>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The adoption of this ASU is not expected to have a material impact on the Company’s financial position and/or results of operations.</w:t>
            </w:r>
          </w:p>
        </w:tc>
      </w:tr>
      <w:tr w:rsidR="00000000">
        <w:trPr>
          <w:divId w:val="1941180690"/>
          <w:tblCellSpacing w:w="15" w:type="dxa"/>
        </w:trPr>
        <w:tc>
          <w:tcPr>
            <w:tcW w:w="1100" w:type="pct"/>
            <w:tcBorders>
              <w:left w:val="single" w:sz="6" w:space="0" w:color="000000"/>
              <w:bottom w:val="single" w:sz="6" w:space="0" w:color="000000"/>
            </w:tcBorders>
            <w:shd w:val="clear" w:color="auto" w:fill="FFFFFF"/>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ASU 2018-1</w:t>
            </w:r>
            <w:r>
              <w:rPr>
                <w:rFonts w:ascii="Times New Roman" w:hAnsi="Times New Roman" w:cs="Times New Roman"/>
                <w:sz w:val="20"/>
                <w:szCs w:val="20"/>
              </w:rPr>
              <w:t>5, Intangibles – Goodwill and Other – Internal-Use Software (Subtopic 350-40): Customer’s Accounting for Implementation Costs Incurred in a Cloud Computing Arrangement that is a Service Contract</w:t>
            </w:r>
          </w:p>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2200" w:type="pct"/>
            <w:tcBorders>
              <w:left w:val="single" w:sz="6" w:space="0" w:color="000000"/>
              <w:bottom w:val="single" w:sz="6" w:space="0" w:color="000000"/>
              <w:right w:val="single" w:sz="6" w:space="0" w:color="000000"/>
            </w:tcBorders>
            <w:shd w:val="clear" w:color="auto" w:fill="FFFFFF"/>
            <w:hideMark/>
          </w:tcPr>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The amendment aligns the requirements for capitalizing impl</w:t>
            </w:r>
            <w:r>
              <w:rPr>
                <w:rFonts w:ascii="Times New Roman" w:hAnsi="Times New Roman" w:cs="Times New Roman"/>
                <w:sz w:val="20"/>
                <w:szCs w:val="20"/>
              </w:rPr>
              <w:t>ementation costs incurred in a hosting arrangement that is a service contract with the requirements for capitalizing implementation costs incurred to develop or obtain internal-use software.</w:t>
            </w:r>
          </w:p>
        </w:tc>
        <w:tc>
          <w:tcPr>
            <w:tcW w:w="550" w:type="pct"/>
            <w:tcBorders>
              <w:bottom w:val="single" w:sz="6" w:space="0" w:color="000000"/>
              <w:right w:val="single" w:sz="6" w:space="0" w:color="000000"/>
            </w:tcBorders>
            <w:shd w:val="clear" w:color="auto" w:fill="FFFFFF"/>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January 1, 2020; Early adoption permitted</w:t>
            </w:r>
          </w:p>
        </w:tc>
        <w:tc>
          <w:tcPr>
            <w:tcW w:w="1150" w:type="pct"/>
            <w:tcBorders>
              <w:bottom w:val="single" w:sz="6" w:space="0" w:color="000000"/>
              <w:right w:val="single" w:sz="6" w:space="0" w:color="000000"/>
            </w:tcBorders>
            <w:shd w:val="clear" w:color="auto" w:fill="FFFFFF"/>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The adoption of this ASU is not expected to have a material impact on the Company’s financial position and/or results of operations.</w:t>
            </w:r>
          </w:p>
        </w:tc>
      </w:tr>
    </w:tbl>
    <w:p w:rsidR="00000000" w:rsidRDefault="008E203B">
      <w:pPr>
        <w:pStyle w:val="a3"/>
        <w:spacing w:before="0" w:beforeAutospacing="0" w:after="0" w:afterAutospacing="0"/>
        <w:divId w:val="1941180690"/>
        <w:rPr>
          <w:rFonts w:ascii="Times New Roman" w:hAnsi="Times New Roman" w:cs="Times New Roman"/>
          <w:sz w:val="20"/>
          <w:szCs w:val="20"/>
        </w:rPr>
      </w:pPr>
      <w:r>
        <w:rPr>
          <w:rFonts w:ascii="Times New Roman" w:hAnsi="Times New Roman" w:cs="Times New Roman"/>
          <w:sz w:val="20"/>
          <w:szCs w:val="20"/>
        </w:rPr>
        <w:t> </w:t>
      </w:r>
    </w:p>
    <w:p w:rsidR="00000000" w:rsidRDefault="008E203B">
      <w:pPr>
        <w:jc w:val="center"/>
        <w:divId w:val="493571850"/>
        <w:rPr>
          <w:rFonts w:ascii="Times New Roman" w:hAnsi="Times New Roman" w:cs="Times New Roman"/>
          <w:sz w:val="20"/>
          <w:szCs w:val="20"/>
        </w:rPr>
      </w:pPr>
      <w:r>
        <w:rPr>
          <w:rFonts w:ascii="Times New Roman" w:hAnsi="Times New Roman" w:cs="Times New Roman"/>
          <w:sz w:val="20"/>
          <w:szCs w:val="20"/>
        </w:rPr>
        <w:t>10</w:t>
      </w:r>
    </w:p>
    <w:p w:rsidR="00000000" w:rsidRDefault="008E203B">
      <w:pPr>
        <w:divId w:val="493571850"/>
        <w:rPr>
          <w:rFonts w:ascii="Times New Roman" w:hAnsi="Times New Roman" w:cs="Times New Roman"/>
          <w:sz w:val="20"/>
          <w:szCs w:val="20"/>
        </w:rPr>
      </w:pPr>
      <w:r>
        <w:rPr>
          <w:rFonts w:ascii="Times New Roman" w:hAnsi="Times New Roman" w:cs="Times New Roman"/>
          <w:sz w:val="20"/>
          <w:szCs w:val="20"/>
        </w:rPr>
        <w:pict>
          <v:rect id="_x0000_i1038" style="width:415.3pt;height:1.5pt" o:hralign="center" o:hrstd="t" o:hrnoshade="t" o:hr="t" fillcolor="black" stroked="f"/>
        </w:pict>
      </w:r>
    </w:p>
    <w:p w:rsidR="00000000" w:rsidRDefault="008E203B">
      <w:pPr>
        <w:divId w:val="493571850"/>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8E203B">
      <w:pPr>
        <w:pStyle w:val="a3"/>
        <w:spacing w:before="0" w:beforeAutospacing="0" w:after="0" w:afterAutospacing="0"/>
        <w:divId w:val="1941180690"/>
        <w:rPr>
          <w:rFonts w:ascii="Times New Roman" w:hAnsi="Times New Roman" w:cs="Times New Roman"/>
          <w:sz w:val="20"/>
          <w:szCs w:val="20"/>
        </w:rPr>
      </w:pPr>
      <w:r>
        <w:rPr>
          <w:rFonts w:ascii="Times New Roman" w:hAnsi="Times New Roman" w:cs="Times New Roman"/>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36"/>
        <w:gridCol w:w="3612"/>
        <w:gridCol w:w="925"/>
        <w:gridCol w:w="1917"/>
      </w:tblGrid>
      <w:tr w:rsidR="00000000">
        <w:trPr>
          <w:divId w:val="1941180690"/>
          <w:tblCellSpacing w:w="15" w:type="dxa"/>
        </w:trPr>
        <w:tc>
          <w:tcPr>
            <w:tcW w:w="1100" w:type="pct"/>
            <w:tcBorders>
              <w:top w:val="single" w:sz="6" w:space="0" w:color="000000"/>
              <w:left w:val="single" w:sz="6" w:space="0" w:color="000000"/>
              <w:bottom w:val="single" w:sz="6" w:space="0" w:color="000000"/>
            </w:tcBorders>
            <w:shd w:val="clear" w:color="auto" w:fill="CCEEFF"/>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ASU 2018-13, Fair Value Measurement (Topic 820): Disclosure Framework – Changes to the Disclosure Requirements for Fair Value Measurement</w:t>
            </w:r>
          </w:p>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2200" w:type="pct"/>
            <w:tcBorders>
              <w:top w:val="single" w:sz="6" w:space="0" w:color="000000"/>
              <w:left w:val="single" w:sz="6" w:space="0" w:color="000000"/>
              <w:bottom w:val="single" w:sz="6" w:space="0" w:color="000000"/>
              <w:right w:val="single" w:sz="6" w:space="0" w:color="000000"/>
            </w:tcBorders>
            <w:shd w:val="clear" w:color="auto" w:fill="CCEEFF"/>
            <w:hideMark/>
          </w:tcPr>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The amendment modifies the disclosure requirements for fair value measurements in Topic 820, based on the concepts i</w:t>
            </w:r>
            <w:r>
              <w:rPr>
                <w:rFonts w:ascii="Times New Roman" w:hAnsi="Times New Roman" w:cs="Times New Roman"/>
                <w:sz w:val="20"/>
                <w:szCs w:val="20"/>
              </w:rPr>
              <w:t xml:space="preserve">n the FASB Concepts Statement, </w:t>
            </w:r>
            <w:r>
              <w:rPr>
                <w:rFonts w:ascii="Times New Roman" w:hAnsi="Times New Roman" w:cs="Times New Roman"/>
                <w:i/>
                <w:iCs/>
                <w:sz w:val="20"/>
                <w:szCs w:val="20"/>
              </w:rPr>
              <w:t xml:space="preserve">Conceptual Framework for Financial Reporting – Chapter </w:t>
            </w:r>
            <w:r>
              <w:rPr>
                <w:rFonts w:ascii="Times New Roman" w:hAnsi="Times New Roman" w:cs="Times New Roman"/>
                <w:sz w:val="20"/>
                <w:szCs w:val="20"/>
              </w:rPr>
              <w:t>8:</w:t>
            </w:r>
            <w:r>
              <w:rPr>
                <w:rFonts w:ascii="Times New Roman" w:hAnsi="Times New Roman" w:cs="Times New Roman"/>
                <w:i/>
                <w:iCs/>
                <w:sz w:val="20"/>
                <w:szCs w:val="20"/>
              </w:rPr>
              <w:t xml:space="preserve"> Notes to Financial Statements</w:t>
            </w:r>
            <w:r>
              <w:rPr>
                <w:rFonts w:ascii="Times New Roman" w:hAnsi="Times New Roman" w:cs="Times New Roman"/>
                <w:sz w:val="20"/>
                <w:szCs w:val="20"/>
              </w:rPr>
              <w:t>, including the consideration of costs and benefits.</w:t>
            </w:r>
          </w:p>
        </w:tc>
        <w:tc>
          <w:tcPr>
            <w:tcW w:w="550" w:type="pct"/>
            <w:tcBorders>
              <w:top w:val="single" w:sz="6" w:space="0" w:color="000000"/>
              <w:bottom w:val="single" w:sz="6" w:space="0" w:color="000000"/>
              <w:right w:val="single" w:sz="6" w:space="0" w:color="000000"/>
            </w:tcBorders>
            <w:shd w:val="clear" w:color="auto" w:fill="CCEEFF"/>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January 1, 2020; Early adoption permitted</w:t>
            </w:r>
          </w:p>
        </w:tc>
        <w:tc>
          <w:tcPr>
            <w:tcW w:w="1150" w:type="pct"/>
            <w:tcBorders>
              <w:top w:val="single" w:sz="6" w:space="0" w:color="000000"/>
              <w:bottom w:val="single" w:sz="6" w:space="0" w:color="000000"/>
              <w:right w:val="single" w:sz="6" w:space="0" w:color="000000"/>
            </w:tcBorders>
            <w:shd w:val="clear" w:color="auto" w:fill="CCEEFF"/>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The adoption of this ASU is not expected to</w:t>
            </w:r>
            <w:r>
              <w:rPr>
                <w:rFonts w:ascii="Times New Roman" w:hAnsi="Times New Roman" w:cs="Times New Roman"/>
                <w:sz w:val="20"/>
                <w:szCs w:val="20"/>
              </w:rPr>
              <w:t xml:space="preserve"> have a material impact on the Company’s financial position and/or results of operations.</w:t>
            </w:r>
          </w:p>
        </w:tc>
      </w:tr>
      <w:tr w:rsidR="00000000">
        <w:trPr>
          <w:divId w:val="1941180690"/>
          <w:tblCellSpacing w:w="15" w:type="dxa"/>
        </w:trPr>
        <w:tc>
          <w:tcPr>
            <w:tcW w:w="1100" w:type="pct"/>
            <w:tcBorders>
              <w:left w:val="single" w:sz="6" w:space="0" w:color="000000"/>
              <w:bottom w:val="single" w:sz="6" w:space="0" w:color="000000"/>
            </w:tcBorders>
            <w:shd w:val="clear" w:color="auto" w:fill="FFFFFF"/>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ASU 2016-13, Financial Instruments – Credit Losses (Topic 326): Measurement of Credit Losses on Financial Instruments</w:t>
            </w:r>
          </w:p>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ASU 2018-19, Codification Improvements to Topic 326, Financial Instruments – Credit Losses</w:t>
            </w:r>
          </w:p>
        </w:tc>
        <w:tc>
          <w:tcPr>
            <w:tcW w:w="2200" w:type="pct"/>
            <w:tcBorders>
              <w:left w:val="single" w:sz="6" w:space="0" w:color="000000"/>
              <w:bottom w:val="single" w:sz="6" w:space="0" w:color="000000"/>
              <w:right w:val="single" w:sz="6" w:space="0" w:color="000000"/>
            </w:tcBorders>
            <w:shd w:val="clear" w:color="auto" w:fill="FFFFFF"/>
            <w:hideMark/>
          </w:tcPr>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The new guidance introduces a new model for estimating credit losses for certain types of financial instruments, including loans receivable, held-to-maturity debt se</w:t>
            </w:r>
            <w:r>
              <w:rPr>
                <w:rFonts w:ascii="Times New Roman" w:hAnsi="Times New Roman" w:cs="Times New Roman"/>
                <w:sz w:val="20"/>
                <w:szCs w:val="20"/>
              </w:rPr>
              <w:t xml:space="preserve">curities, and net investments in direct financing leases, amongst other financial instruments. ASU 2016-13 also modifies the impairment model for available-for-sale debt securities and expands the disclosure requirements regarding an entity’s assumptions, </w:t>
            </w:r>
            <w:r>
              <w:rPr>
                <w:rFonts w:ascii="Times New Roman" w:hAnsi="Times New Roman" w:cs="Times New Roman"/>
                <w:sz w:val="20"/>
                <w:szCs w:val="20"/>
              </w:rPr>
              <w:t>models, and methods for estimating the allowance for losses.</w:t>
            </w:r>
          </w:p>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In November 2018, the FASB issued ASU 2018-19, which includes amendments to (i) clarify receivables arising from operating leases are within the scope of the new leasing standard (Topic 842) di</w:t>
            </w:r>
            <w:r>
              <w:rPr>
                <w:rFonts w:ascii="Times New Roman" w:hAnsi="Times New Roman" w:cs="Times New Roman"/>
                <w:sz w:val="20"/>
                <w:szCs w:val="20"/>
              </w:rPr>
              <w:t>scussed below and (ii) align the implementation date for nonpublic entities’ annual financial statements with the implementation date for their interim financial statements. Early adoption is permitted as of the original effective date.</w:t>
            </w:r>
          </w:p>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 </w:t>
            </w:r>
          </w:p>
        </w:tc>
        <w:tc>
          <w:tcPr>
            <w:tcW w:w="550" w:type="pct"/>
            <w:tcBorders>
              <w:bottom w:val="single" w:sz="6" w:space="0" w:color="000000"/>
              <w:right w:val="single" w:sz="6" w:space="0" w:color="000000"/>
            </w:tcBorders>
            <w:shd w:val="clear" w:color="auto" w:fill="FFFFFF"/>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January 1, 2020; </w:t>
            </w:r>
            <w:r>
              <w:rPr>
                <w:rFonts w:ascii="Times New Roman" w:hAnsi="Times New Roman" w:cs="Times New Roman"/>
                <w:sz w:val="20"/>
                <w:szCs w:val="20"/>
              </w:rPr>
              <w:t>Early adoption permitted</w:t>
            </w:r>
          </w:p>
        </w:tc>
        <w:tc>
          <w:tcPr>
            <w:tcW w:w="1150" w:type="pct"/>
            <w:tcBorders>
              <w:bottom w:val="single" w:sz="6" w:space="0" w:color="000000"/>
              <w:right w:val="single" w:sz="6" w:space="0" w:color="000000"/>
            </w:tcBorders>
            <w:shd w:val="clear" w:color="auto" w:fill="FFFFFF"/>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The Company is still assessing the impact on its financial position and/or results of operations.</w:t>
            </w:r>
          </w:p>
        </w:tc>
      </w:tr>
    </w:tbl>
    <w:p w:rsidR="00000000" w:rsidRDefault="008E203B">
      <w:pPr>
        <w:pStyle w:val="a3"/>
        <w:spacing w:before="0" w:beforeAutospacing="0" w:after="0" w:afterAutospacing="0"/>
        <w:ind w:firstLine="360"/>
        <w:jc w:val="both"/>
        <w:divId w:val="1941180690"/>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ind w:left="360"/>
        <w:jc w:val="both"/>
        <w:divId w:val="1941180690"/>
        <w:rPr>
          <w:rFonts w:ascii="Times New Roman" w:hAnsi="Times New Roman" w:cs="Times New Roman"/>
          <w:sz w:val="20"/>
          <w:szCs w:val="20"/>
        </w:rPr>
      </w:pPr>
      <w:r>
        <w:rPr>
          <w:rFonts w:ascii="Times New Roman" w:hAnsi="Times New Roman" w:cs="Times New Roman"/>
          <w:sz w:val="20"/>
          <w:szCs w:val="20"/>
        </w:rPr>
        <w:t>The following ASUs to the FASB’s ASC have been adopted by the Company as of January 1, 2019:</w:t>
      </w:r>
    </w:p>
    <w:p w:rsidR="00000000" w:rsidRDefault="008E203B">
      <w:pPr>
        <w:pStyle w:val="a3"/>
        <w:spacing w:before="0" w:beforeAutospacing="0" w:after="0" w:afterAutospacing="0"/>
        <w:divId w:val="1941180690"/>
        <w:rPr>
          <w:rFonts w:ascii="Times New Roman" w:hAnsi="Times New Roman" w:cs="Times New Roman"/>
          <w:sz w:val="20"/>
          <w:szCs w:val="20"/>
        </w:rPr>
      </w:pPr>
      <w:r>
        <w:rPr>
          <w:rFonts w:ascii="Times New Roman" w:hAnsi="Times New Roman" w:cs="Times New Roman"/>
          <w:i/>
          <w:iCs/>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36"/>
        <w:gridCol w:w="3612"/>
        <w:gridCol w:w="925"/>
        <w:gridCol w:w="1917"/>
      </w:tblGrid>
      <w:tr w:rsidR="00000000">
        <w:trPr>
          <w:divId w:val="1941180690"/>
          <w:tblCellSpacing w:w="15" w:type="dxa"/>
        </w:trPr>
        <w:tc>
          <w:tcPr>
            <w:tcW w:w="1100" w:type="pct"/>
            <w:tcBorders>
              <w:top w:val="single" w:sz="6" w:space="0" w:color="000000"/>
              <w:left w:val="single" w:sz="6" w:space="0" w:color="000000"/>
              <w:bottom w:val="single" w:sz="6" w:space="0" w:color="000000"/>
              <w:right w:val="single" w:sz="6" w:space="0" w:color="000000"/>
            </w:tcBorders>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ASU</w:t>
            </w:r>
          </w:p>
        </w:tc>
        <w:tc>
          <w:tcPr>
            <w:tcW w:w="2200" w:type="pct"/>
            <w:tcBorders>
              <w:top w:val="single" w:sz="6" w:space="0" w:color="000000"/>
              <w:bottom w:val="single" w:sz="6" w:space="0" w:color="000000"/>
            </w:tcBorders>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Description</w:t>
            </w:r>
          </w:p>
        </w:tc>
        <w:tc>
          <w:tcPr>
            <w:tcW w:w="550" w:type="pct"/>
            <w:tcBorders>
              <w:top w:val="single" w:sz="6" w:space="0" w:color="000000"/>
              <w:left w:val="single" w:sz="6" w:space="0" w:color="000000"/>
              <w:bottom w:val="single" w:sz="6" w:space="0" w:color="000000"/>
              <w:right w:val="single" w:sz="6" w:space="0" w:color="000000"/>
            </w:tcBorders>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Adoption</w:t>
            </w:r>
          </w:p>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Date</w:t>
            </w:r>
          </w:p>
        </w:tc>
        <w:tc>
          <w:tcPr>
            <w:tcW w:w="1150" w:type="pct"/>
            <w:tcBorders>
              <w:top w:val="single" w:sz="6" w:space="0" w:color="000000"/>
              <w:bottom w:val="single" w:sz="6" w:space="0" w:color="000000"/>
              <w:right w:val="single" w:sz="6" w:space="0" w:color="000000"/>
            </w:tcBorders>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Effec</w:t>
            </w:r>
            <w:r>
              <w:rPr>
                <w:rFonts w:ascii="Times New Roman" w:hAnsi="Times New Roman" w:cs="Times New Roman"/>
                <w:b/>
                <w:bCs/>
                <w:sz w:val="20"/>
                <w:szCs w:val="20"/>
              </w:rPr>
              <w:t>t on the financial</w:t>
            </w:r>
          </w:p>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statements or other significant</w:t>
            </w:r>
          </w:p>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matters</w:t>
            </w:r>
          </w:p>
        </w:tc>
      </w:tr>
      <w:tr w:rsidR="00000000">
        <w:trPr>
          <w:divId w:val="1941180690"/>
          <w:tblCellSpacing w:w="15" w:type="dxa"/>
        </w:trPr>
        <w:tc>
          <w:tcPr>
            <w:tcW w:w="1100" w:type="pct"/>
            <w:tcBorders>
              <w:left w:val="single" w:sz="6" w:space="0" w:color="000000"/>
              <w:bottom w:val="single" w:sz="6" w:space="0" w:color="000000"/>
              <w:right w:val="single" w:sz="6" w:space="0" w:color="000000"/>
            </w:tcBorders>
            <w:shd w:val="clear" w:color="auto" w:fill="CCEEFF"/>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ASU 2016-02, Leases (Topic 842)</w:t>
            </w:r>
          </w:p>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ASU 2018-01, Leases (Topic 842): Land Easement Practical Expedient for Transition to Topic 842</w:t>
            </w:r>
          </w:p>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ASU 2018-10, Codification Improvements to Topic 842, Leases</w:t>
            </w:r>
          </w:p>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ASU 2018-11, Leases (Topic 842): Targeted Improvements</w:t>
            </w:r>
          </w:p>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ASU 2018-20, Leases (Topic 842): Narrow-</w:t>
            </w:r>
            <w:r>
              <w:rPr>
                <w:rFonts w:ascii="Times New Roman" w:hAnsi="Times New Roman" w:cs="Times New Roman"/>
                <w:sz w:val="20"/>
                <w:szCs w:val="20"/>
              </w:rPr>
              <w:t>Scope Improvements for Lessors</w:t>
            </w:r>
          </w:p>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ASU 2019-01, Leases (Topic 842): Codification Improvements</w:t>
            </w:r>
          </w:p>
        </w:tc>
        <w:tc>
          <w:tcPr>
            <w:tcW w:w="2200" w:type="pct"/>
            <w:tcBorders>
              <w:bottom w:val="single" w:sz="6" w:space="0" w:color="000000"/>
            </w:tcBorders>
            <w:shd w:val="clear" w:color="auto" w:fill="CCEEFF"/>
            <w:hideMark/>
          </w:tcPr>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 xml:space="preserve">This ASU sets out the principles for the recognition, measurement, presentation and disclosure of leases for both parties to a contract (i.e. lessees and lessors). </w:t>
            </w:r>
            <w:r>
              <w:rPr>
                <w:rFonts w:ascii="Times New Roman" w:hAnsi="Times New Roman" w:cs="Times New Roman"/>
                <w:sz w:val="20"/>
                <w:szCs w:val="20"/>
              </w:rPr>
              <w:t>The new standard requires lessees to apply a dual approach, classifying leases as either finance or operating leases based on the principle of whether or not the lease is effectively a financed purchase by the lessee. This classification will determine whe</w:t>
            </w:r>
            <w:r>
              <w:rPr>
                <w:rFonts w:ascii="Times New Roman" w:hAnsi="Times New Roman" w:cs="Times New Roman"/>
                <w:sz w:val="20"/>
                <w:szCs w:val="20"/>
              </w:rPr>
              <w:t>ther lease expense is recognized based on an effective interest method or on a straight-line basis over the term of the lease. A lessee is also required to record a right-of-use asset and a lease liability for all leases with a term of greater than 12 mont</w:t>
            </w:r>
            <w:r>
              <w:rPr>
                <w:rFonts w:ascii="Times New Roman" w:hAnsi="Times New Roman" w:cs="Times New Roman"/>
                <w:sz w:val="20"/>
                <w:szCs w:val="20"/>
              </w:rPr>
              <w:t>hs regardless of their classification. Leases with a term of 12 months or less will be accounted for similar to existing guidance for operating leases today. The new standard requires lessors to account for leases using an approach that is substantially eq</w:t>
            </w:r>
            <w:r>
              <w:rPr>
                <w:rFonts w:ascii="Times New Roman" w:hAnsi="Times New Roman" w:cs="Times New Roman"/>
                <w:sz w:val="20"/>
                <w:szCs w:val="20"/>
              </w:rPr>
              <w:t>uivalent to existing guidance for sales-type leases, direct financing leases and operating leases. ASU 2016-02 supersedes the previous leases standard, Leases (Topic 840).</w:t>
            </w:r>
          </w:p>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In January 2018, the FASB issued ASU 2018-01, which includes amendments to clarify</w:t>
            </w:r>
            <w:r>
              <w:rPr>
                <w:rFonts w:ascii="Times New Roman" w:hAnsi="Times New Roman" w:cs="Times New Roman"/>
                <w:sz w:val="20"/>
                <w:szCs w:val="20"/>
              </w:rPr>
              <w:t xml:space="preserve"> that land easements are within the scope of the new leasing standard (Topic 842) and provide an optional transition practical expedient to not evaluate whether existing and expired land easements that were not previously accounted for as leases under curr</w:t>
            </w:r>
            <w:r>
              <w:rPr>
                <w:rFonts w:ascii="Times New Roman" w:hAnsi="Times New Roman" w:cs="Times New Roman"/>
                <w:sz w:val="20"/>
                <w:szCs w:val="20"/>
              </w:rPr>
              <w:t>ent lease guidance in Topic 840 are to be accounted for or contain leases under Topic 842. Early adoption is permitted as of the original effective date.</w:t>
            </w:r>
          </w:p>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In July 2018, the FASB issued ASU 2018-10, which includes amendments to clarify certain aspects of t</w:t>
            </w:r>
            <w:r>
              <w:rPr>
                <w:rFonts w:ascii="Times New Roman" w:hAnsi="Times New Roman" w:cs="Times New Roman"/>
                <w:sz w:val="20"/>
                <w:szCs w:val="20"/>
              </w:rPr>
              <w:t>he new leasing standard. These amendments address the rate implicit in the lease, impairment of the net investment in the lease, lessee reassessment of lease classification, lessor reassessment of lease term and purchase options, variable payments that dep</w:t>
            </w:r>
            <w:r>
              <w:rPr>
                <w:rFonts w:ascii="Times New Roman" w:hAnsi="Times New Roman" w:cs="Times New Roman"/>
                <w:sz w:val="20"/>
                <w:szCs w:val="20"/>
              </w:rPr>
              <w:t>end on an index or rate and certain transition adjustments. </w:t>
            </w:r>
          </w:p>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 </w:t>
            </w:r>
          </w:p>
        </w:tc>
        <w:tc>
          <w:tcPr>
            <w:tcW w:w="550" w:type="pct"/>
            <w:tcBorders>
              <w:left w:val="single" w:sz="6" w:space="0" w:color="000000"/>
              <w:bottom w:val="single" w:sz="6" w:space="0" w:color="000000"/>
              <w:right w:val="single" w:sz="6" w:space="0" w:color="000000"/>
            </w:tcBorders>
            <w:shd w:val="clear" w:color="auto" w:fill="CCEEFF"/>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January 1, 2019</w:t>
            </w:r>
          </w:p>
        </w:tc>
        <w:tc>
          <w:tcPr>
            <w:tcW w:w="1150" w:type="pct"/>
            <w:tcBorders>
              <w:bottom w:val="single" w:sz="6" w:space="0" w:color="000000"/>
              <w:right w:val="single" w:sz="6" w:space="0" w:color="000000"/>
            </w:tcBorders>
            <w:shd w:val="clear" w:color="auto" w:fill="CCEEFF"/>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The Company adopted this standard using the modified retrospective approach. </w:t>
            </w:r>
          </w:p>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The Company has identified certain leases and accounting policies which the adoption impacted, including its ground leases, administrative office leases, initial leasing costs and non-lease components.</w:t>
            </w:r>
          </w:p>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See above for further details.</w:t>
            </w:r>
          </w:p>
        </w:tc>
      </w:tr>
    </w:tbl>
    <w:p w:rsidR="00000000" w:rsidRDefault="008E203B">
      <w:pPr>
        <w:pStyle w:val="a3"/>
        <w:spacing w:before="0" w:beforeAutospacing="0" w:after="0" w:afterAutospacing="0"/>
        <w:divId w:val="1941180690"/>
        <w:rPr>
          <w:rFonts w:ascii="Times New Roman" w:hAnsi="Times New Roman" w:cs="Times New Roman"/>
          <w:sz w:val="20"/>
          <w:szCs w:val="20"/>
        </w:rPr>
      </w:pPr>
      <w:r>
        <w:rPr>
          <w:rFonts w:ascii="Times New Roman" w:hAnsi="Times New Roman" w:cs="Times New Roman"/>
          <w:sz w:val="20"/>
          <w:szCs w:val="20"/>
        </w:rPr>
        <w:t> </w:t>
      </w:r>
    </w:p>
    <w:p w:rsidR="00000000" w:rsidRDefault="008E203B">
      <w:pPr>
        <w:jc w:val="center"/>
        <w:divId w:val="592321309"/>
        <w:rPr>
          <w:rFonts w:ascii="Times New Roman" w:hAnsi="Times New Roman" w:cs="Times New Roman"/>
          <w:sz w:val="20"/>
          <w:szCs w:val="20"/>
        </w:rPr>
      </w:pPr>
      <w:r>
        <w:rPr>
          <w:rFonts w:ascii="Times New Roman" w:hAnsi="Times New Roman" w:cs="Times New Roman"/>
          <w:sz w:val="20"/>
          <w:szCs w:val="20"/>
        </w:rPr>
        <w:t>11</w:t>
      </w:r>
    </w:p>
    <w:p w:rsidR="00000000" w:rsidRDefault="008E203B">
      <w:pPr>
        <w:divId w:val="592321309"/>
        <w:rPr>
          <w:rFonts w:ascii="Times New Roman" w:hAnsi="Times New Roman" w:cs="Times New Roman"/>
          <w:sz w:val="20"/>
          <w:szCs w:val="20"/>
        </w:rPr>
      </w:pPr>
      <w:r>
        <w:rPr>
          <w:rFonts w:ascii="Times New Roman" w:hAnsi="Times New Roman" w:cs="Times New Roman"/>
          <w:sz w:val="20"/>
          <w:szCs w:val="20"/>
        </w:rPr>
        <w:pict>
          <v:rect id="_x0000_i1039" style="width:415.3pt;height:1.5pt" o:hralign="center" o:hrstd="t" o:hrnoshade="t" o:hr="t" fillcolor="black" stroked="f"/>
        </w:pict>
      </w:r>
    </w:p>
    <w:p w:rsidR="00000000" w:rsidRDefault="008E203B">
      <w:pPr>
        <w:divId w:val="592321309"/>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8E203B">
      <w:pPr>
        <w:pStyle w:val="a3"/>
        <w:spacing w:before="0" w:beforeAutospacing="0" w:after="0" w:afterAutospacing="0"/>
        <w:divId w:val="1941180690"/>
        <w:rPr>
          <w:rFonts w:ascii="Times New Roman" w:hAnsi="Times New Roman" w:cs="Times New Roman"/>
          <w:sz w:val="20"/>
          <w:szCs w:val="20"/>
        </w:rPr>
      </w:pPr>
      <w:r>
        <w:rPr>
          <w:rFonts w:ascii="Times New Roman" w:hAnsi="Times New Roman" w:cs="Times New Roman"/>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36"/>
        <w:gridCol w:w="3612"/>
        <w:gridCol w:w="925"/>
        <w:gridCol w:w="1917"/>
      </w:tblGrid>
      <w:tr w:rsidR="00000000">
        <w:trPr>
          <w:divId w:val="1941180690"/>
          <w:tblCellSpacing w:w="15" w:type="dxa"/>
        </w:trPr>
        <w:tc>
          <w:tcPr>
            <w:tcW w:w="1100" w:type="pct"/>
            <w:tcBorders>
              <w:top w:val="single" w:sz="6" w:space="0" w:color="000000"/>
              <w:left w:val="single" w:sz="6" w:space="0" w:color="000000"/>
              <w:bottom w:val="single" w:sz="6" w:space="0" w:color="000000"/>
              <w:right w:val="single" w:sz="6" w:space="0" w:color="000000"/>
            </w:tcBorders>
            <w:shd w:val="clear" w:color="auto" w:fill="CCEEFF"/>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2200" w:type="pct"/>
            <w:tcBorders>
              <w:top w:val="single" w:sz="6" w:space="0" w:color="000000"/>
              <w:bottom w:val="single" w:sz="6" w:space="0" w:color="000000"/>
            </w:tcBorders>
            <w:shd w:val="clear" w:color="auto" w:fill="CCEEFF"/>
            <w:hideMark/>
          </w:tcPr>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Additionally, during July 20</w:t>
            </w:r>
            <w:r>
              <w:rPr>
                <w:rFonts w:ascii="Times New Roman" w:hAnsi="Times New Roman" w:cs="Times New Roman"/>
                <w:sz w:val="20"/>
                <w:szCs w:val="20"/>
              </w:rPr>
              <w:t>18, the FASB issued ASU 2018-11, which includes (i) an additional transition method to provide transition relief on comparative reporting at adoption and (ii) an amendment to provide lessors with a practical expedient to combine lease and non-lease compone</w:t>
            </w:r>
            <w:r>
              <w:rPr>
                <w:rFonts w:ascii="Times New Roman" w:hAnsi="Times New Roman" w:cs="Times New Roman"/>
                <w:sz w:val="20"/>
                <w:szCs w:val="20"/>
              </w:rPr>
              <w:t>nts of a contract if certain criteria are met. Under the transition option, companies can opt to not apply the new guidance, including its disclosure requirements, in the comparative periods they present in their financial statements in the year of adoptio</w:t>
            </w:r>
            <w:r>
              <w:rPr>
                <w:rFonts w:ascii="Times New Roman" w:hAnsi="Times New Roman" w:cs="Times New Roman"/>
                <w:sz w:val="20"/>
                <w:szCs w:val="20"/>
              </w:rPr>
              <w:t>n. The practical expedient allows lessors to elect, by class of underlying asset, to combine non-lease and associated lease components when certain criteria are met and requires them to account for the combined component in accordance with new revenue stan</w:t>
            </w:r>
            <w:r>
              <w:rPr>
                <w:rFonts w:ascii="Times New Roman" w:hAnsi="Times New Roman" w:cs="Times New Roman"/>
                <w:sz w:val="20"/>
                <w:szCs w:val="20"/>
              </w:rPr>
              <w:t>dard (Topic 606) if the non-lease components are the predominant component; conversely, if a lessor determines that the lease components are the predominant component, it requires them to account for the combined component as an operating lease in accordan</w:t>
            </w:r>
            <w:r>
              <w:rPr>
                <w:rFonts w:ascii="Times New Roman" w:hAnsi="Times New Roman" w:cs="Times New Roman"/>
                <w:sz w:val="20"/>
                <w:szCs w:val="20"/>
              </w:rPr>
              <w:t>ce with the new leasing standard (Topic 842).</w:t>
            </w:r>
          </w:p>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In December 2018, the FASB issued ASU 2018-20, which includes narrow-scope improvements for lessors. The FASB amended the new leasing standard to allow lessors to make an accounting policy election not to eva</w:t>
            </w:r>
            <w:r>
              <w:rPr>
                <w:rFonts w:ascii="Times New Roman" w:hAnsi="Times New Roman" w:cs="Times New Roman"/>
                <w:sz w:val="20"/>
                <w:szCs w:val="20"/>
              </w:rPr>
              <w:t>luate whether sales taxes and similar taxes imposed by a governmental authority on a specific lease revenue-producing transaction are the primary obligation of the lessor as owner of the underlying leased asset. The amendments also require a lessor to excl</w:t>
            </w:r>
            <w:r>
              <w:rPr>
                <w:rFonts w:ascii="Times New Roman" w:hAnsi="Times New Roman" w:cs="Times New Roman"/>
                <w:sz w:val="20"/>
                <w:szCs w:val="20"/>
              </w:rPr>
              <w:t>ude lessor costs paid directly by a lessee to third parties on the lessor’s behalf from variable payments and include lessor costs that are paid by the lessor and reimbursed by the lessee in the measurement of variable lease revenue and the associated expe</w:t>
            </w:r>
            <w:r>
              <w:rPr>
                <w:rFonts w:ascii="Times New Roman" w:hAnsi="Times New Roman" w:cs="Times New Roman"/>
                <w:sz w:val="20"/>
                <w:szCs w:val="20"/>
              </w:rPr>
              <w:t xml:space="preserve">nse. In addition, the amendments clarify that when lessors allocate variable payments to lease and non-lease components they are required to follow the recognition guidance in the new leasing standard for the lease component and other applicable guidance, </w:t>
            </w:r>
            <w:r>
              <w:rPr>
                <w:rFonts w:ascii="Times New Roman" w:hAnsi="Times New Roman" w:cs="Times New Roman"/>
                <w:sz w:val="20"/>
                <w:szCs w:val="20"/>
              </w:rPr>
              <w:t>such as the new revenue standard, for the non-lease component.</w:t>
            </w:r>
          </w:p>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In February 2019, the FASB issued 2019-01, which includes amendments to address the following:</w:t>
            </w:r>
          </w:p>
          <w:p w:rsidR="00000000" w:rsidRDefault="008E203B">
            <w:pPr>
              <w:pStyle w:val="a3"/>
              <w:spacing w:before="0" w:beforeAutospacing="0" w:after="0" w:afterAutospacing="0"/>
              <w:ind w:left="720" w:hanging="540"/>
              <w:jc w:val="both"/>
              <w:rPr>
                <w:rFonts w:ascii="Times New Roman" w:hAnsi="Times New Roman" w:cs="Times New Roman"/>
                <w:sz w:val="20"/>
                <w:szCs w:val="20"/>
              </w:rPr>
            </w:pPr>
            <w:r>
              <w:rPr>
                <w:rFonts w:ascii="Times New Roman" w:hAnsi="Times New Roman" w:cs="Times New Roman"/>
                <w:sz w:val="20"/>
                <w:szCs w:val="20"/>
              </w:rPr>
              <w:t xml:space="preserve">(i) Determining the fair value of the underlying asset by lessors that are not manufacturers or </w:t>
            </w:r>
            <w:r>
              <w:rPr>
                <w:rFonts w:ascii="Times New Roman" w:hAnsi="Times New Roman" w:cs="Times New Roman"/>
                <w:sz w:val="20"/>
                <w:szCs w:val="20"/>
              </w:rPr>
              <w:t>dealers;</w:t>
            </w:r>
          </w:p>
          <w:p w:rsidR="00000000" w:rsidRDefault="008E203B">
            <w:pPr>
              <w:pStyle w:val="a3"/>
              <w:spacing w:before="0" w:beforeAutospacing="0" w:after="0" w:afterAutospacing="0"/>
              <w:ind w:left="720" w:hanging="540"/>
              <w:jc w:val="both"/>
              <w:rPr>
                <w:rFonts w:ascii="Times New Roman" w:hAnsi="Times New Roman" w:cs="Times New Roman"/>
                <w:sz w:val="20"/>
                <w:szCs w:val="20"/>
              </w:rPr>
            </w:pPr>
            <w:r>
              <w:rPr>
                <w:rFonts w:ascii="Times New Roman" w:hAnsi="Times New Roman" w:cs="Times New Roman"/>
                <w:sz w:val="20"/>
                <w:szCs w:val="20"/>
              </w:rPr>
              <w:t>(ii) Presentation on the statement of cash flows for sales-type and direct financing leases; and</w:t>
            </w:r>
          </w:p>
          <w:p w:rsidR="00000000" w:rsidRDefault="008E203B">
            <w:pPr>
              <w:pStyle w:val="a3"/>
              <w:spacing w:before="0" w:beforeAutospacing="0" w:after="0" w:afterAutospacing="0"/>
              <w:ind w:left="720" w:hanging="540"/>
              <w:jc w:val="both"/>
              <w:rPr>
                <w:rFonts w:ascii="Times New Roman" w:hAnsi="Times New Roman" w:cs="Times New Roman"/>
                <w:sz w:val="20"/>
                <w:szCs w:val="20"/>
              </w:rPr>
            </w:pPr>
            <w:r>
              <w:rPr>
                <w:rFonts w:ascii="Times New Roman" w:hAnsi="Times New Roman" w:cs="Times New Roman"/>
                <w:sz w:val="20"/>
                <w:szCs w:val="20"/>
              </w:rPr>
              <w:t>(iii) Transition disclosures related to Topic 250, Accounting Changes and Error Corrections.</w:t>
            </w:r>
          </w:p>
        </w:tc>
        <w:tc>
          <w:tcPr>
            <w:tcW w:w="550" w:type="pct"/>
            <w:tcBorders>
              <w:top w:val="single" w:sz="6" w:space="0" w:color="000000"/>
              <w:left w:val="single" w:sz="6" w:space="0" w:color="000000"/>
              <w:bottom w:val="single" w:sz="6" w:space="0" w:color="000000"/>
              <w:right w:val="single" w:sz="6" w:space="0" w:color="000000"/>
            </w:tcBorders>
            <w:shd w:val="clear" w:color="auto" w:fill="CCEEFF"/>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1150" w:type="pct"/>
            <w:tcBorders>
              <w:top w:val="single" w:sz="6" w:space="0" w:color="000000"/>
              <w:bottom w:val="single" w:sz="6" w:space="0" w:color="000000"/>
              <w:right w:val="single" w:sz="6" w:space="0" w:color="000000"/>
            </w:tcBorders>
            <w:shd w:val="clear" w:color="auto" w:fill="CCEEFF"/>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bl>
    <w:p w:rsidR="00000000" w:rsidRDefault="008E203B">
      <w:pPr>
        <w:pStyle w:val="a3"/>
        <w:spacing w:before="0" w:beforeAutospacing="0" w:after="0" w:afterAutospacing="0"/>
        <w:jc w:val="both"/>
        <w:divId w:val="1941180690"/>
        <w:rPr>
          <w:rFonts w:ascii="Times New Roman" w:hAnsi="Times New Roman" w:cs="Times New Roman"/>
          <w:sz w:val="20"/>
          <w:szCs w:val="20"/>
        </w:rPr>
      </w:pPr>
      <w:r>
        <w:rPr>
          <w:rFonts w:ascii="Times New Roman" w:hAnsi="Times New Roman" w:cs="Times New Roman"/>
          <w:sz w:val="20"/>
          <w:szCs w:val="20"/>
        </w:rPr>
        <w:t> </w:t>
      </w:r>
    </w:p>
    <w:p w:rsidR="00000000" w:rsidRDefault="008E203B">
      <w:pPr>
        <w:divId w:val="1932617020"/>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jc w:val="both"/>
        <w:divId w:val="1141120768"/>
        <w:rPr>
          <w:rFonts w:ascii="Times New Roman" w:hAnsi="Times New Roman" w:cs="Times New Roman"/>
          <w:sz w:val="20"/>
          <w:szCs w:val="20"/>
        </w:rPr>
      </w:pPr>
      <w:r>
        <w:rPr>
          <w:rFonts w:ascii="Times New Roman" w:hAnsi="Times New Roman" w:cs="Times New Roman"/>
          <w:sz w:val="20"/>
          <w:szCs w:val="20"/>
        </w:rPr>
        <w:t xml:space="preserve">3. </w:t>
      </w:r>
      <w:r>
        <w:rPr>
          <w:rFonts w:ascii="Times New Roman" w:hAnsi="Times New Roman" w:cs="Times New Roman"/>
          <w:sz w:val="20"/>
          <w:szCs w:val="20"/>
          <w:u w:val="single"/>
        </w:rPr>
        <w:t>Operating Property Activities</w:t>
      </w:r>
    </w:p>
    <w:p w:rsidR="00000000" w:rsidRDefault="008E203B">
      <w:pPr>
        <w:pStyle w:val="a3"/>
        <w:spacing w:before="0" w:beforeAutospacing="0" w:after="0" w:afterAutospacing="0"/>
        <w:jc w:val="both"/>
        <w:divId w:val="1141120768"/>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jc w:val="both"/>
        <w:divId w:val="1141120768"/>
        <w:rPr>
          <w:rFonts w:ascii="Times New Roman" w:hAnsi="Times New Roman" w:cs="Times New Roman"/>
          <w:sz w:val="20"/>
          <w:szCs w:val="20"/>
        </w:rPr>
      </w:pPr>
      <w:r>
        <w:rPr>
          <w:rFonts w:ascii="Times New Roman" w:hAnsi="Times New Roman" w:cs="Times New Roman"/>
          <w:i/>
          <w:iCs/>
          <w:sz w:val="20"/>
          <w:szCs w:val="20"/>
        </w:rPr>
        <w:t>Acquisitions of Operating Properties -</w:t>
      </w:r>
    </w:p>
    <w:p w:rsidR="00000000" w:rsidRDefault="008E203B">
      <w:pPr>
        <w:pStyle w:val="a3"/>
        <w:spacing w:before="0" w:beforeAutospacing="0" w:after="0" w:afterAutospacing="0"/>
        <w:jc w:val="both"/>
        <w:divId w:val="1141120768"/>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ind w:firstLine="360"/>
        <w:jc w:val="both"/>
        <w:divId w:val="1141120768"/>
        <w:rPr>
          <w:rFonts w:ascii="Times New Roman" w:hAnsi="Times New Roman" w:cs="Times New Roman"/>
          <w:sz w:val="20"/>
          <w:szCs w:val="20"/>
        </w:rPr>
      </w:pPr>
      <w:r>
        <w:rPr>
          <w:rFonts w:ascii="Times New Roman" w:hAnsi="Times New Roman" w:cs="Times New Roman"/>
          <w:sz w:val="20"/>
          <w:szCs w:val="20"/>
        </w:rPr>
        <w:t>During the three months ended March 31, 2019, the Company acquired the following operating properties, in separate transactions, through direct asset purchases (in thousands):</w:t>
      </w:r>
    </w:p>
    <w:p w:rsidR="00000000" w:rsidRDefault="008E203B">
      <w:pPr>
        <w:pStyle w:val="a3"/>
        <w:spacing w:before="0" w:beforeAutospacing="0" w:after="0" w:afterAutospacing="0"/>
        <w:ind w:left="360"/>
        <w:jc w:val="both"/>
        <w:divId w:val="1141120768"/>
        <w:rPr>
          <w:rFonts w:ascii="Times New Roman" w:hAnsi="Times New Roman" w:cs="Times New Roman"/>
          <w:sz w:val="20"/>
          <w:szCs w:val="20"/>
        </w:rPr>
      </w:pPr>
      <w:r>
        <w:rPr>
          <w:rFonts w:ascii="Times New Roman" w:hAnsi="Times New Roman" w:cs="Times New Roman"/>
          <w:sz w:val="20"/>
          <w:szCs w:val="20"/>
        </w:rPr>
        <w:t> </w:t>
      </w:r>
    </w:p>
    <w:tbl>
      <w:tblPr>
        <w:tblW w:w="4250" w:type="pct"/>
        <w:tblCellSpacing w:w="0" w:type="dxa"/>
        <w:tblInd w:w="7" w:type="dxa"/>
        <w:tblCellMar>
          <w:left w:w="0" w:type="dxa"/>
          <w:right w:w="0" w:type="dxa"/>
        </w:tblCellMar>
        <w:tblLook w:val="04A0" w:firstRow="1" w:lastRow="0" w:firstColumn="1" w:lastColumn="0" w:noHBand="0" w:noVBand="1"/>
      </w:tblPr>
      <w:tblGrid>
        <w:gridCol w:w="2539"/>
        <w:gridCol w:w="68"/>
        <w:gridCol w:w="1409"/>
        <w:gridCol w:w="68"/>
        <w:gridCol w:w="985"/>
        <w:gridCol w:w="68"/>
        <w:gridCol w:w="101"/>
        <w:gridCol w:w="774"/>
        <w:gridCol w:w="68"/>
        <w:gridCol w:w="68"/>
        <w:gridCol w:w="68"/>
        <w:gridCol w:w="775"/>
        <w:gridCol w:w="69"/>
      </w:tblGrid>
      <w:tr w:rsidR="00000000">
        <w:trPr>
          <w:divId w:val="1978342406"/>
          <w:tblCellSpacing w:w="0" w:type="dxa"/>
        </w:trPr>
        <w:tc>
          <w:tcPr>
            <w:tcW w:w="1800" w:type="pct"/>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1000" w:type="pct"/>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700" w:type="pct"/>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gridSpan w:val="2"/>
            <w:tcBorders>
              <w:bottom w:val="single" w:sz="6" w:space="0" w:color="000000"/>
            </w:tcBorders>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Purchase Price</w:t>
            </w:r>
          </w:p>
        </w:tc>
        <w:tc>
          <w:tcPr>
            <w:tcW w:w="50" w:type="pct"/>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vAlign w:val="bottom"/>
            <w:hideMark/>
          </w:tcPr>
          <w:p w:rsidR="00000000" w:rsidRDefault="008E203B">
            <w:pPr>
              <w:rPr>
                <w:rFonts w:ascii="Times New Roman" w:hAnsi="Times New Roman" w:cs="Times New Roman"/>
                <w:sz w:val="20"/>
                <w:szCs w:val="20"/>
              </w:rPr>
            </w:pPr>
            <w:r>
              <w:rPr>
                <w:rFonts w:ascii="Times New Roman" w:hAnsi="Times New Roman" w:cs="Times New Roman"/>
                <w:b/>
                <w:bCs/>
                <w:sz w:val="20"/>
                <w:szCs w:val="20"/>
              </w:rPr>
              <w:t> </w:t>
            </w:r>
          </w:p>
        </w:tc>
        <w:tc>
          <w:tcPr>
            <w:tcW w:w="550" w:type="pct"/>
            <w:vAlign w:val="bottom"/>
            <w:hideMark/>
          </w:tcPr>
          <w:p w:rsidR="00000000" w:rsidRDefault="008E203B">
            <w:pPr>
              <w:jc w:val="center"/>
              <w:rPr>
                <w:rFonts w:ascii="Times New Roman" w:hAnsi="Times New Roman" w:cs="Times New Roman"/>
                <w:sz w:val="20"/>
                <w:szCs w:val="20"/>
              </w:rPr>
            </w:pPr>
            <w:r>
              <w:rPr>
                <w:rFonts w:ascii="Times New Roman" w:hAnsi="Times New Roman" w:cs="Times New Roman"/>
                <w:b/>
                <w:bCs/>
                <w:sz w:val="20"/>
                <w:szCs w:val="20"/>
              </w:rPr>
              <w:t> </w:t>
            </w:r>
          </w:p>
        </w:tc>
        <w:tc>
          <w:tcPr>
            <w:tcW w:w="50" w:type="pct"/>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b/>
                <w:bCs/>
                <w:sz w:val="20"/>
                <w:szCs w:val="20"/>
              </w:rPr>
              <w:t> </w:t>
            </w:r>
          </w:p>
        </w:tc>
      </w:tr>
      <w:tr w:rsidR="00000000">
        <w:trPr>
          <w:divId w:val="1978342406"/>
          <w:tblCellSpacing w:w="0" w:type="dxa"/>
        </w:trPr>
        <w:tc>
          <w:tcPr>
            <w:tcW w:w="1800" w:type="pct"/>
            <w:tcBorders>
              <w:bottom w:val="single" w:sz="6" w:space="0" w:color="000000"/>
            </w:tcBorders>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Property Name</w:t>
            </w:r>
          </w:p>
        </w:tc>
        <w:tc>
          <w:tcPr>
            <w:tcW w:w="50" w:type="pct"/>
            <w:tcBorders>
              <w:bottom w:val="single" w:sz="6" w:space="0" w:color="000000"/>
            </w:tcBorders>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1000" w:type="pct"/>
            <w:tcBorders>
              <w:bottom w:val="single" w:sz="6" w:space="0" w:color="000000"/>
            </w:tcBorders>
            <w:vAlign w:val="bottom"/>
            <w:hideMark/>
          </w:tcPr>
          <w:p w:rsidR="00000000" w:rsidRDefault="008E203B">
            <w:pPr>
              <w:jc w:val="center"/>
              <w:rPr>
                <w:rFonts w:ascii="Times New Roman" w:hAnsi="Times New Roman" w:cs="Times New Roman"/>
                <w:sz w:val="20"/>
                <w:szCs w:val="20"/>
              </w:rPr>
            </w:pPr>
            <w:r>
              <w:rPr>
                <w:rFonts w:ascii="Times New Roman" w:hAnsi="Times New Roman" w:cs="Times New Roman"/>
                <w:b/>
                <w:bCs/>
                <w:sz w:val="20"/>
                <w:szCs w:val="20"/>
              </w:rPr>
              <w:t>Location</w:t>
            </w:r>
          </w:p>
        </w:tc>
        <w:tc>
          <w:tcPr>
            <w:tcW w:w="50" w:type="pct"/>
            <w:tcBorders>
              <w:bottom w:val="single" w:sz="6" w:space="0" w:color="000000"/>
            </w:tcBorders>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700" w:type="pct"/>
            <w:tcBorders>
              <w:bottom w:val="single" w:sz="6" w:space="0" w:color="000000"/>
            </w:tcBorders>
            <w:vAlign w:val="bottom"/>
            <w:hideMark/>
          </w:tcPr>
          <w:p w:rsidR="00000000" w:rsidRDefault="008E203B">
            <w:pPr>
              <w:jc w:val="center"/>
              <w:rPr>
                <w:rFonts w:ascii="Times New Roman" w:hAnsi="Times New Roman" w:cs="Times New Roman"/>
                <w:sz w:val="20"/>
                <w:szCs w:val="20"/>
              </w:rPr>
            </w:pPr>
            <w:r>
              <w:rPr>
                <w:rFonts w:ascii="Times New Roman" w:hAnsi="Times New Roman" w:cs="Times New Roman"/>
                <w:b/>
                <w:bCs/>
                <w:sz w:val="20"/>
                <w:szCs w:val="20"/>
              </w:rPr>
              <w:t>Month Acquired</w:t>
            </w:r>
          </w:p>
        </w:tc>
        <w:tc>
          <w:tcPr>
            <w:tcW w:w="50" w:type="pct"/>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gridSpan w:val="2"/>
            <w:tcBorders>
              <w:bottom w:val="single" w:sz="6" w:space="0" w:color="000000"/>
            </w:tcBorders>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Cash*</w:t>
            </w:r>
          </w:p>
        </w:tc>
        <w:tc>
          <w:tcPr>
            <w:tcW w:w="50" w:type="pct"/>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gridSpan w:val="2"/>
            <w:tcBorders>
              <w:bottom w:val="single" w:sz="6" w:space="0" w:color="000000"/>
            </w:tcBorders>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GLA**</w:t>
            </w:r>
          </w:p>
        </w:tc>
        <w:tc>
          <w:tcPr>
            <w:tcW w:w="50" w:type="pct"/>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978342406"/>
          <w:tblCellSpacing w:w="0" w:type="dxa"/>
        </w:trPr>
        <w:tc>
          <w:tcPr>
            <w:tcW w:w="1800" w:type="pct"/>
            <w:shd w:val="clear" w:color="auto" w:fill="CCEEFF"/>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Bell Camino Out-parcel</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100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Sun City, AZ</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700" w:type="pct"/>
            <w:shd w:val="clear" w:color="auto" w:fill="CCEEFF"/>
            <w:vAlign w:val="bottom"/>
            <w:hideMark/>
          </w:tcPr>
          <w:p w:rsidR="00000000" w:rsidRDefault="008E203B">
            <w:pPr>
              <w:jc w:val="center"/>
              <w:rPr>
                <w:rFonts w:ascii="Times New Roman" w:hAnsi="Times New Roman" w:cs="Times New Roman"/>
                <w:sz w:val="20"/>
                <w:szCs w:val="20"/>
              </w:rPr>
            </w:pPr>
            <w:r>
              <w:rPr>
                <w:rFonts w:ascii="Times New Roman" w:hAnsi="Times New Roman" w:cs="Times New Roman"/>
                <w:sz w:val="20"/>
                <w:szCs w:val="20"/>
              </w:rPr>
              <w:t>Jan-19</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55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5,678</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5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45</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978342406"/>
          <w:tblCellSpacing w:w="0" w:type="dxa"/>
        </w:trPr>
        <w:tc>
          <w:tcPr>
            <w:tcW w:w="1800" w:type="pct"/>
            <w:shd w:val="clear" w:color="auto" w:fill="FFFFFF"/>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Gateway at Donner Pass Out-parcel</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100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Truckee, CA</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700" w:type="pct"/>
            <w:shd w:val="clear" w:color="auto" w:fill="FFFFFF"/>
            <w:vAlign w:val="bottom"/>
            <w:hideMark/>
          </w:tcPr>
          <w:p w:rsidR="00000000" w:rsidRDefault="008E203B">
            <w:pPr>
              <w:jc w:val="center"/>
              <w:rPr>
                <w:rFonts w:ascii="Times New Roman" w:hAnsi="Times New Roman" w:cs="Times New Roman"/>
                <w:sz w:val="20"/>
                <w:szCs w:val="20"/>
              </w:rPr>
            </w:pPr>
            <w:r>
              <w:rPr>
                <w:rFonts w:ascii="Times New Roman" w:hAnsi="Times New Roman" w:cs="Times New Roman"/>
                <w:sz w:val="20"/>
                <w:szCs w:val="20"/>
              </w:rPr>
              <w:t>Jan-19</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5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13,527</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5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40</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978342406"/>
          <w:tblCellSpacing w:w="0" w:type="dxa"/>
        </w:trPr>
        <w:tc>
          <w:tcPr>
            <w:tcW w:w="1800" w:type="pct"/>
            <w:shd w:val="clear" w:color="auto" w:fill="CCEEFF"/>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Rancho Penasquitos Out-parcel</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100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San Diego, CA</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700" w:type="pct"/>
            <w:shd w:val="clear" w:color="auto" w:fill="CCEEFF"/>
            <w:vAlign w:val="bottom"/>
            <w:hideMark/>
          </w:tcPr>
          <w:p w:rsidR="00000000" w:rsidRDefault="008E203B">
            <w:pPr>
              <w:jc w:val="center"/>
              <w:rPr>
                <w:rFonts w:ascii="Times New Roman" w:hAnsi="Times New Roman" w:cs="Times New Roman"/>
                <w:sz w:val="20"/>
                <w:szCs w:val="20"/>
              </w:rPr>
            </w:pPr>
            <w:r>
              <w:rPr>
                <w:rFonts w:ascii="Times New Roman" w:hAnsi="Times New Roman" w:cs="Times New Roman"/>
                <w:sz w:val="20"/>
                <w:szCs w:val="20"/>
              </w:rPr>
              <w:t>Jan-19</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single" w:sz="6" w:space="0" w:color="000000"/>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50" w:type="pct"/>
            <w:tcBorders>
              <w:bottom w:val="single" w:sz="6" w:space="0" w:color="000000"/>
            </w:tcBorders>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12,064</w:t>
            </w:r>
          </w:p>
        </w:tc>
        <w:tc>
          <w:tcPr>
            <w:tcW w:w="50" w:type="pct"/>
            <w:shd w:val="clear" w:color="auto" w:fill="CCEEFF"/>
            <w:noWrap/>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single" w:sz="6" w:space="0" w:color="000000"/>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50" w:type="pct"/>
            <w:tcBorders>
              <w:bottom w:val="single" w:sz="6" w:space="0" w:color="000000"/>
            </w:tcBorders>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40</w:t>
            </w:r>
          </w:p>
        </w:tc>
        <w:tc>
          <w:tcPr>
            <w:tcW w:w="50" w:type="pct"/>
            <w:shd w:val="clear" w:color="auto" w:fill="CCEEFF"/>
            <w:noWrap/>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978342406"/>
          <w:tblCellSpacing w:w="0" w:type="dxa"/>
        </w:trPr>
        <w:tc>
          <w:tcPr>
            <w:tcW w:w="180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100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70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double" w:sz="6" w:space="0" w:color="000000"/>
            </w:tcBorders>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b/>
                <w:bCs/>
                <w:sz w:val="20"/>
                <w:szCs w:val="20"/>
              </w:rPr>
              <w:t>$</w:t>
            </w:r>
          </w:p>
        </w:tc>
        <w:tc>
          <w:tcPr>
            <w:tcW w:w="550" w:type="pct"/>
            <w:tcBorders>
              <w:bottom w:val="double" w:sz="6" w:space="0" w:color="000000"/>
            </w:tcBorders>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b/>
                <w:bCs/>
                <w:sz w:val="20"/>
                <w:szCs w:val="20"/>
              </w:rPr>
              <w:t>31,269</w:t>
            </w:r>
          </w:p>
        </w:tc>
        <w:tc>
          <w:tcPr>
            <w:tcW w:w="50" w:type="pct"/>
            <w:shd w:val="clear" w:color="auto" w:fill="FFFFFF"/>
            <w:noWrap/>
            <w:tcMar>
              <w:top w:w="0" w:type="dxa"/>
              <w:left w:w="0" w:type="dxa"/>
              <w:bottom w:w="4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double" w:sz="6" w:space="0" w:color="000000"/>
            </w:tcBorders>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b/>
                <w:bCs/>
                <w:sz w:val="20"/>
                <w:szCs w:val="20"/>
              </w:rPr>
              <w:t> </w:t>
            </w:r>
          </w:p>
        </w:tc>
        <w:tc>
          <w:tcPr>
            <w:tcW w:w="550" w:type="pct"/>
            <w:tcBorders>
              <w:bottom w:val="double" w:sz="6" w:space="0" w:color="000000"/>
            </w:tcBorders>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b/>
                <w:bCs/>
                <w:sz w:val="20"/>
                <w:szCs w:val="20"/>
              </w:rPr>
              <w:t>125</w:t>
            </w:r>
          </w:p>
        </w:tc>
        <w:tc>
          <w:tcPr>
            <w:tcW w:w="50" w:type="pct"/>
            <w:shd w:val="clear" w:color="auto" w:fill="FFFFFF"/>
            <w:noWrap/>
            <w:tcMar>
              <w:top w:w="0" w:type="dxa"/>
              <w:left w:w="0" w:type="dxa"/>
              <w:bottom w:w="4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bl>
    <w:p w:rsidR="00000000" w:rsidRDefault="008E203B">
      <w:pPr>
        <w:pStyle w:val="a3"/>
        <w:spacing w:before="0" w:beforeAutospacing="0" w:after="0" w:afterAutospacing="0"/>
        <w:divId w:val="1141120768"/>
        <w:rPr>
          <w:rFonts w:ascii="Times New Roman" w:hAnsi="Times New Roman" w:cs="Times New Roman"/>
          <w:sz w:val="20"/>
          <w:szCs w:val="20"/>
        </w:rPr>
      </w:pPr>
      <w:r>
        <w:rPr>
          <w:rFonts w:ascii="Times New Roman" w:hAnsi="Times New Roman" w:cs="Times New Roman"/>
          <w:sz w:val="20"/>
          <w:szCs w:val="20"/>
        </w:rPr>
        <w:br/>
      </w:r>
      <w:r>
        <w:rPr>
          <w:rFonts w:ascii="Times New Roman" w:hAnsi="Times New Roman" w:cs="Times New Roman"/>
          <w:sz w:val="20"/>
          <w:szCs w:val="20"/>
        </w:rPr>
        <w:t>* The Company utilized an aggregate $31.0 million associated with Internal Revenue Code §1031 sales proceeds.</w:t>
      </w:r>
    </w:p>
    <w:p w:rsidR="00000000" w:rsidRDefault="008E203B">
      <w:pPr>
        <w:pStyle w:val="a3"/>
        <w:spacing w:before="0" w:beforeAutospacing="0" w:after="0" w:afterAutospacing="0"/>
        <w:divId w:val="1141120768"/>
        <w:rPr>
          <w:rFonts w:ascii="Times New Roman" w:hAnsi="Times New Roman" w:cs="Times New Roman"/>
          <w:sz w:val="20"/>
          <w:szCs w:val="20"/>
        </w:rPr>
      </w:pPr>
      <w:r>
        <w:rPr>
          <w:rFonts w:ascii="Times New Roman" w:hAnsi="Times New Roman" w:cs="Times New Roman"/>
          <w:sz w:val="20"/>
          <w:szCs w:val="20"/>
        </w:rPr>
        <w:t>** Gross leasable area ("GLA")</w:t>
      </w:r>
    </w:p>
    <w:p w:rsidR="00000000" w:rsidRDefault="008E203B">
      <w:pPr>
        <w:pStyle w:val="a3"/>
        <w:spacing w:before="0" w:beforeAutospacing="0" w:after="0" w:afterAutospacing="0"/>
        <w:ind w:left="720"/>
        <w:jc w:val="both"/>
        <w:divId w:val="1141120768"/>
        <w:rPr>
          <w:rFonts w:ascii="Times New Roman" w:hAnsi="Times New Roman" w:cs="Times New Roman"/>
          <w:sz w:val="20"/>
          <w:szCs w:val="20"/>
        </w:rPr>
      </w:pPr>
      <w:r>
        <w:rPr>
          <w:rFonts w:ascii="Times New Roman" w:hAnsi="Times New Roman" w:cs="Times New Roman"/>
          <w:sz w:val="20"/>
          <w:szCs w:val="20"/>
        </w:rPr>
        <w:t> </w:t>
      </w:r>
    </w:p>
    <w:p w:rsidR="00000000" w:rsidRDefault="008E203B">
      <w:pPr>
        <w:jc w:val="center"/>
        <w:divId w:val="495540897"/>
        <w:rPr>
          <w:rFonts w:ascii="Times New Roman" w:hAnsi="Times New Roman" w:cs="Times New Roman"/>
          <w:sz w:val="20"/>
          <w:szCs w:val="20"/>
        </w:rPr>
      </w:pPr>
      <w:r>
        <w:rPr>
          <w:rFonts w:ascii="Times New Roman" w:hAnsi="Times New Roman" w:cs="Times New Roman"/>
          <w:sz w:val="20"/>
          <w:szCs w:val="20"/>
        </w:rPr>
        <w:t>12</w:t>
      </w:r>
    </w:p>
    <w:p w:rsidR="00000000" w:rsidRDefault="008E203B">
      <w:pPr>
        <w:divId w:val="495540897"/>
        <w:rPr>
          <w:rFonts w:ascii="Times New Roman" w:hAnsi="Times New Roman" w:cs="Times New Roman"/>
          <w:sz w:val="20"/>
          <w:szCs w:val="20"/>
        </w:rPr>
      </w:pPr>
      <w:r>
        <w:rPr>
          <w:rFonts w:ascii="Times New Roman" w:hAnsi="Times New Roman" w:cs="Times New Roman"/>
          <w:sz w:val="20"/>
          <w:szCs w:val="20"/>
        </w:rPr>
        <w:pict>
          <v:rect id="_x0000_i1040" style="width:415.3pt;height:1.5pt" o:hralign="center" o:hrstd="t" o:hrnoshade="t" o:hr="t" fillcolor="black" stroked="f"/>
        </w:pict>
      </w:r>
    </w:p>
    <w:p w:rsidR="00000000" w:rsidRDefault="008E203B">
      <w:pPr>
        <w:divId w:val="495540897"/>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8E203B">
      <w:pPr>
        <w:pStyle w:val="a3"/>
        <w:spacing w:before="0" w:beforeAutospacing="0" w:after="0" w:afterAutospacing="0"/>
        <w:divId w:val="1141120768"/>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ind w:firstLine="360"/>
        <w:jc w:val="both"/>
        <w:divId w:val="1141120768"/>
        <w:rPr>
          <w:rFonts w:ascii="Times New Roman" w:hAnsi="Times New Roman" w:cs="Times New Roman"/>
          <w:sz w:val="20"/>
          <w:szCs w:val="20"/>
        </w:rPr>
      </w:pPr>
      <w:r>
        <w:rPr>
          <w:rFonts w:ascii="Times New Roman" w:hAnsi="Times New Roman" w:cs="Times New Roman"/>
          <w:sz w:val="20"/>
          <w:szCs w:val="20"/>
        </w:rPr>
        <w:t>Included in Revenues from rent</w:t>
      </w:r>
      <w:r>
        <w:rPr>
          <w:rFonts w:ascii="Times New Roman" w:hAnsi="Times New Roman" w:cs="Times New Roman"/>
          <w:sz w:val="20"/>
          <w:szCs w:val="20"/>
        </w:rPr>
        <w:t>al properties, net on the Company’s Condensed Consolidated Statements of Income for the three months ended March 31, 2019 is $0.3 million in revenue resulting from these acquisitions.</w:t>
      </w:r>
    </w:p>
    <w:p w:rsidR="00000000" w:rsidRDefault="008E203B">
      <w:pPr>
        <w:pStyle w:val="a3"/>
        <w:spacing w:before="0" w:beforeAutospacing="0" w:after="0" w:afterAutospacing="0"/>
        <w:ind w:firstLine="360"/>
        <w:jc w:val="both"/>
        <w:divId w:val="1141120768"/>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jc w:val="both"/>
        <w:divId w:val="1141120768"/>
        <w:rPr>
          <w:rFonts w:ascii="Times New Roman" w:hAnsi="Times New Roman" w:cs="Times New Roman"/>
          <w:sz w:val="20"/>
          <w:szCs w:val="20"/>
        </w:rPr>
      </w:pPr>
      <w:r>
        <w:rPr>
          <w:rFonts w:ascii="Times New Roman" w:hAnsi="Times New Roman" w:cs="Times New Roman"/>
          <w:i/>
          <w:iCs/>
          <w:sz w:val="20"/>
          <w:szCs w:val="20"/>
        </w:rPr>
        <w:t>Purchase Price Allocations -</w:t>
      </w:r>
    </w:p>
    <w:p w:rsidR="00000000" w:rsidRDefault="008E203B">
      <w:pPr>
        <w:pStyle w:val="a3"/>
        <w:spacing w:before="0" w:beforeAutospacing="0" w:after="0" w:afterAutospacing="0"/>
        <w:ind w:firstLine="360"/>
        <w:jc w:val="both"/>
        <w:divId w:val="1141120768"/>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ind w:firstLine="360"/>
        <w:jc w:val="both"/>
        <w:divId w:val="1141120768"/>
        <w:rPr>
          <w:rFonts w:ascii="Times New Roman" w:hAnsi="Times New Roman" w:cs="Times New Roman"/>
          <w:sz w:val="20"/>
          <w:szCs w:val="20"/>
        </w:rPr>
      </w:pPr>
      <w:r>
        <w:rPr>
          <w:rFonts w:ascii="Times New Roman" w:hAnsi="Times New Roman" w:cs="Times New Roman"/>
          <w:sz w:val="20"/>
          <w:szCs w:val="20"/>
        </w:rPr>
        <w:t>The purchase price for these acquisitions is allocated to real estate and related intangible assets acquired and liabilities assumed, as applicable, in accordance with our accounting policies for asset acquisitions. The purchase price allocations for prope</w:t>
      </w:r>
      <w:r>
        <w:rPr>
          <w:rFonts w:ascii="Times New Roman" w:hAnsi="Times New Roman" w:cs="Times New Roman"/>
          <w:sz w:val="20"/>
          <w:szCs w:val="20"/>
        </w:rPr>
        <w:t>rties acquired during the three months ended March 31, 2019, are as follows (in thousands): </w:t>
      </w:r>
    </w:p>
    <w:p w:rsidR="00000000" w:rsidRDefault="008E203B">
      <w:pPr>
        <w:pStyle w:val="a3"/>
        <w:spacing w:before="0" w:beforeAutospacing="0" w:after="0" w:afterAutospacing="0"/>
        <w:ind w:firstLine="360"/>
        <w:jc w:val="both"/>
        <w:divId w:val="1141120768"/>
        <w:rPr>
          <w:rFonts w:ascii="Times New Roman" w:hAnsi="Times New Roman" w:cs="Times New Roman"/>
          <w:sz w:val="20"/>
          <w:szCs w:val="20"/>
        </w:rPr>
      </w:pPr>
      <w:r>
        <w:rPr>
          <w:rFonts w:ascii="Times New Roman" w:hAnsi="Times New Roman" w:cs="Times New Roman"/>
          <w:sz w:val="20"/>
          <w:szCs w:val="20"/>
        </w:rPr>
        <w:t> </w:t>
      </w:r>
    </w:p>
    <w:tbl>
      <w:tblPr>
        <w:tblW w:w="4000" w:type="pct"/>
        <w:tblCellSpacing w:w="0" w:type="dxa"/>
        <w:tblInd w:w="10" w:type="dxa"/>
        <w:tblCellMar>
          <w:left w:w="0" w:type="dxa"/>
          <w:right w:w="0" w:type="dxa"/>
        </w:tblCellMar>
        <w:tblLook w:val="04A0" w:firstRow="1" w:lastRow="0" w:firstColumn="1" w:lastColumn="0" w:noHBand="0" w:noVBand="1"/>
      </w:tblPr>
      <w:tblGrid>
        <w:gridCol w:w="3334"/>
        <w:gridCol w:w="50"/>
        <w:gridCol w:w="101"/>
        <w:gridCol w:w="1249"/>
        <w:gridCol w:w="50"/>
        <w:gridCol w:w="50"/>
        <w:gridCol w:w="104"/>
        <w:gridCol w:w="1657"/>
        <w:gridCol w:w="50"/>
      </w:tblGrid>
      <w:tr w:rsidR="00000000">
        <w:trPr>
          <w:divId w:val="2108381732"/>
          <w:tblCellSpacing w:w="0" w:type="dxa"/>
        </w:trPr>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pct"/>
            <w:gridSpan w:val="2"/>
            <w:tcBorders>
              <w:bottom w:val="single" w:sz="6" w:space="0" w:color="000000"/>
            </w:tcBorders>
            <w:noWrap/>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Allocation as of</w:t>
            </w:r>
          </w:p>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March 31, 2019</w:t>
            </w:r>
          </w:p>
        </w:tc>
        <w:tc>
          <w:tcPr>
            <w:tcW w:w="0" w:type="auto"/>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pct"/>
            <w:gridSpan w:val="2"/>
            <w:tcBorders>
              <w:bottom w:val="single" w:sz="6" w:space="0" w:color="000000"/>
            </w:tcBorders>
            <w:noWrap/>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Weighted-Average</w:t>
            </w:r>
            <w:r>
              <w:rPr>
                <w:rFonts w:ascii="Times New Roman" w:hAnsi="Times New Roman" w:cs="Times New Roman"/>
                <w:b/>
                <w:bCs/>
                <w:sz w:val="20"/>
                <w:szCs w:val="20"/>
              </w:rPr>
              <w:br/>
              <w:t>Amortization Period</w:t>
            </w:r>
            <w:r>
              <w:rPr>
                <w:rFonts w:ascii="Times New Roman" w:hAnsi="Times New Roman" w:cs="Times New Roman"/>
                <w:b/>
                <w:bCs/>
                <w:sz w:val="20"/>
                <w:szCs w:val="20"/>
              </w:rPr>
              <w:br/>
              <w:t>(in Years)</w:t>
            </w:r>
          </w:p>
        </w:tc>
        <w:tc>
          <w:tcPr>
            <w:tcW w:w="0" w:type="auto"/>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2108381732"/>
          <w:tblCellSpacing w:w="0" w:type="dxa"/>
        </w:trPr>
        <w:tc>
          <w:tcPr>
            <w:tcW w:w="3100" w:type="pct"/>
            <w:shd w:val="clear" w:color="auto" w:fill="CCEEFF"/>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Land</w:t>
            </w:r>
          </w:p>
        </w:tc>
        <w:tc>
          <w:tcPr>
            <w:tcW w:w="50" w:type="pct"/>
            <w:tcBorders>
              <w:bottom w:val="nil"/>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nil"/>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800" w:type="pct"/>
            <w:tcBorders>
              <w:bottom w:val="nil"/>
            </w:tcBorders>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8,266</w:t>
            </w:r>
          </w:p>
        </w:tc>
        <w:tc>
          <w:tcPr>
            <w:tcW w:w="50" w:type="pct"/>
            <w:tcBorders>
              <w:bottom w:val="nil"/>
            </w:tcBorders>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nil"/>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nil"/>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800" w:type="pct"/>
            <w:tcBorders>
              <w:bottom w:val="nil"/>
            </w:tcBorders>
            <w:shd w:val="clear" w:color="auto" w:fill="CCEEFF"/>
            <w:vAlign w:val="bottom"/>
            <w:hideMark/>
          </w:tcPr>
          <w:p w:rsidR="00000000" w:rsidRDefault="008E203B">
            <w:pPr>
              <w:jc w:val="center"/>
              <w:rPr>
                <w:rFonts w:ascii="Times New Roman" w:hAnsi="Times New Roman" w:cs="Times New Roman"/>
                <w:sz w:val="20"/>
                <w:szCs w:val="20"/>
              </w:rPr>
            </w:pPr>
            <w:r>
              <w:rPr>
                <w:rFonts w:ascii="Times New Roman" w:hAnsi="Times New Roman" w:cs="Times New Roman"/>
                <w:sz w:val="20"/>
                <w:szCs w:val="20"/>
              </w:rPr>
              <w:t>n/a</w:t>
            </w:r>
          </w:p>
        </w:tc>
        <w:tc>
          <w:tcPr>
            <w:tcW w:w="50" w:type="pct"/>
            <w:tcBorders>
              <w:bottom w:val="nil"/>
            </w:tcBorders>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2108381732"/>
          <w:tblCellSpacing w:w="0" w:type="dxa"/>
        </w:trPr>
        <w:tc>
          <w:tcPr>
            <w:tcW w:w="0" w:type="auto"/>
            <w:shd w:val="clear" w:color="auto" w:fill="FFFFFF"/>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Buildings</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80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15,935</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800" w:type="pct"/>
            <w:shd w:val="clear" w:color="auto" w:fill="FFFFFF"/>
            <w:vAlign w:val="bottom"/>
            <w:hideMark/>
          </w:tcPr>
          <w:p w:rsidR="00000000" w:rsidRDefault="008E203B">
            <w:pPr>
              <w:jc w:val="center"/>
              <w:rPr>
                <w:rFonts w:ascii="Times New Roman" w:hAnsi="Times New Roman" w:cs="Times New Roman"/>
                <w:sz w:val="20"/>
                <w:szCs w:val="20"/>
              </w:rPr>
            </w:pPr>
            <w:r>
              <w:rPr>
                <w:rFonts w:ascii="Times New Roman" w:hAnsi="Times New Roman" w:cs="Times New Roman"/>
                <w:sz w:val="20"/>
                <w:szCs w:val="20"/>
              </w:rPr>
              <w:t>50.0</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2108381732"/>
          <w:tblCellSpacing w:w="0" w:type="dxa"/>
        </w:trPr>
        <w:tc>
          <w:tcPr>
            <w:tcW w:w="0" w:type="auto"/>
            <w:shd w:val="clear" w:color="auto" w:fill="CCEEFF"/>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Building improvements</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80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1,313</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800" w:type="pct"/>
            <w:shd w:val="clear" w:color="auto" w:fill="CCEEFF"/>
            <w:vAlign w:val="bottom"/>
            <w:hideMark/>
          </w:tcPr>
          <w:p w:rsidR="00000000" w:rsidRDefault="008E203B">
            <w:pPr>
              <w:jc w:val="center"/>
              <w:rPr>
                <w:rFonts w:ascii="Times New Roman" w:hAnsi="Times New Roman" w:cs="Times New Roman"/>
                <w:sz w:val="20"/>
                <w:szCs w:val="20"/>
              </w:rPr>
            </w:pPr>
            <w:r>
              <w:rPr>
                <w:rFonts w:ascii="Times New Roman" w:hAnsi="Times New Roman" w:cs="Times New Roman"/>
                <w:sz w:val="20"/>
                <w:szCs w:val="20"/>
              </w:rPr>
              <w:t>45.0</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2108381732"/>
          <w:tblCellSpacing w:w="0" w:type="dxa"/>
        </w:trPr>
        <w:tc>
          <w:tcPr>
            <w:tcW w:w="0" w:type="auto"/>
            <w:shd w:val="clear" w:color="auto" w:fill="FFFFFF"/>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Tenant improvements</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80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1,637</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800" w:type="pct"/>
            <w:shd w:val="clear" w:color="auto" w:fill="FFFFFF"/>
            <w:vAlign w:val="bottom"/>
            <w:hideMark/>
          </w:tcPr>
          <w:p w:rsidR="00000000" w:rsidRDefault="008E203B">
            <w:pPr>
              <w:jc w:val="center"/>
              <w:rPr>
                <w:rFonts w:ascii="Times New Roman" w:hAnsi="Times New Roman" w:cs="Times New Roman"/>
                <w:sz w:val="20"/>
                <w:szCs w:val="20"/>
              </w:rPr>
            </w:pPr>
            <w:r>
              <w:rPr>
                <w:rFonts w:ascii="Times New Roman" w:hAnsi="Times New Roman" w:cs="Times New Roman"/>
                <w:sz w:val="20"/>
                <w:szCs w:val="20"/>
              </w:rPr>
              <w:t>20.0</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2108381732"/>
          <w:tblCellSpacing w:w="0" w:type="dxa"/>
        </w:trPr>
        <w:tc>
          <w:tcPr>
            <w:tcW w:w="0" w:type="auto"/>
            <w:shd w:val="clear" w:color="auto" w:fill="CCEEFF"/>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In-place leases</w:t>
            </w:r>
          </w:p>
        </w:tc>
        <w:tc>
          <w:tcPr>
            <w:tcW w:w="50" w:type="pct"/>
            <w:shd w:val="clear" w:color="auto" w:fill="CCEEFF"/>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single" w:sz="6" w:space="0" w:color="000000"/>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800" w:type="pct"/>
            <w:tcBorders>
              <w:bottom w:val="single" w:sz="6" w:space="0" w:color="000000"/>
            </w:tcBorders>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4,118</w:t>
            </w:r>
          </w:p>
        </w:tc>
        <w:tc>
          <w:tcPr>
            <w:tcW w:w="50" w:type="pct"/>
            <w:shd w:val="clear" w:color="auto" w:fill="CCEEFF"/>
            <w:noWrap/>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800" w:type="pct"/>
            <w:shd w:val="clear" w:color="auto" w:fill="CCEEFF"/>
            <w:vAlign w:val="bottom"/>
            <w:hideMark/>
          </w:tcPr>
          <w:p w:rsidR="00000000" w:rsidRDefault="008E203B">
            <w:pPr>
              <w:jc w:val="center"/>
              <w:rPr>
                <w:rFonts w:ascii="Times New Roman" w:hAnsi="Times New Roman" w:cs="Times New Roman"/>
                <w:sz w:val="20"/>
                <w:szCs w:val="20"/>
              </w:rPr>
            </w:pPr>
            <w:r>
              <w:rPr>
                <w:rFonts w:ascii="Times New Roman" w:hAnsi="Times New Roman" w:cs="Times New Roman"/>
                <w:sz w:val="20"/>
                <w:szCs w:val="20"/>
              </w:rPr>
              <w:t>20.0</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2108381732"/>
          <w:tblCellSpacing w:w="0" w:type="dxa"/>
        </w:trPr>
        <w:tc>
          <w:tcPr>
            <w:tcW w:w="0" w:type="auto"/>
            <w:shd w:val="clear" w:color="auto" w:fill="FFFFFF"/>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20"/>
                <w:szCs w:val="20"/>
              </w:rPr>
              <w:t>Net assets acquired</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double" w:sz="6" w:space="0" w:color="000000"/>
            </w:tcBorders>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b/>
                <w:bCs/>
                <w:sz w:val="20"/>
                <w:szCs w:val="20"/>
              </w:rPr>
              <w:t>$</w:t>
            </w:r>
          </w:p>
        </w:tc>
        <w:tc>
          <w:tcPr>
            <w:tcW w:w="800" w:type="pct"/>
            <w:tcBorders>
              <w:bottom w:val="double" w:sz="6" w:space="0" w:color="000000"/>
            </w:tcBorders>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b/>
                <w:bCs/>
                <w:sz w:val="20"/>
                <w:szCs w:val="20"/>
              </w:rPr>
              <w:t>31,269</w:t>
            </w:r>
          </w:p>
        </w:tc>
        <w:tc>
          <w:tcPr>
            <w:tcW w:w="50" w:type="pct"/>
            <w:shd w:val="clear" w:color="auto" w:fill="FFFFFF"/>
            <w:noWrap/>
            <w:tcMar>
              <w:top w:w="0" w:type="dxa"/>
              <w:left w:w="0" w:type="dxa"/>
              <w:bottom w:w="4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b/>
                <w:bCs/>
                <w:sz w:val="20"/>
                <w:szCs w:val="20"/>
              </w:rPr>
              <w:t> </w:t>
            </w:r>
          </w:p>
        </w:tc>
        <w:tc>
          <w:tcPr>
            <w:tcW w:w="0" w:type="auto"/>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b/>
                <w:bCs/>
                <w:sz w:val="20"/>
                <w:szCs w:val="20"/>
              </w:rPr>
              <w:t> </w:t>
            </w:r>
          </w:p>
        </w:tc>
        <w:tc>
          <w:tcPr>
            <w:tcW w:w="0" w:type="auto"/>
            <w:shd w:val="clear" w:color="auto" w:fill="FFFFFF"/>
            <w:tcMar>
              <w:top w:w="0" w:type="dxa"/>
              <w:left w:w="0" w:type="dxa"/>
              <w:bottom w:w="4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b/>
                <w:bCs/>
                <w:sz w:val="20"/>
                <w:szCs w:val="20"/>
              </w:rPr>
              <w:t> </w:t>
            </w:r>
          </w:p>
        </w:tc>
      </w:tr>
    </w:tbl>
    <w:p w:rsidR="00000000" w:rsidRDefault="008E203B">
      <w:pPr>
        <w:pStyle w:val="a3"/>
        <w:spacing w:before="0" w:beforeAutospacing="0" w:after="0" w:afterAutospacing="0"/>
        <w:jc w:val="both"/>
        <w:divId w:val="1141120768"/>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jc w:val="both"/>
        <w:divId w:val="1141120768"/>
        <w:rPr>
          <w:rFonts w:ascii="Times New Roman" w:hAnsi="Times New Roman" w:cs="Times New Roman"/>
          <w:sz w:val="20"/>
          <w:szCs w:val="20"/>
        </w:rPr>
      </w:pPr>
      <w:r>
        <w:rPr>
          <w:rFonts w:ascii="Times New Roman" w:hAnsi="Times New Roman" w:cs="Times New Roman"/>
          <w:i/>
          <w:iCs/>
          <w:sz w:val="20"/>
          <w:szCs w:val="20"/>
        </w:rPr>
        <w:t>Dispositions -</w:t>
      </w:r>
    </w:p>
    <w:p w:rsidR="00000000" w:rsidRDefault="008E203B">
      <w:pPr>
        <w:pStyle w:val="a3"/>
        <w:spacing w:before="0" w:beforeAutospacing="0" w:after="0" w:afterAutospacing="0"/>
        <w:ind w:firstLine="360"/>
        <w:jc w:val="both"/>
        <w:divId w:val="1141120768"/>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ind w:firstLine="360"/>
        <w:jc w:val="both"/>
        <w:divId w:val="1141120768"/>
        <w:rPr>
          <w:rFonts w:ascii="Times New Roman" w:hAnsi="Times New Roman" w:cs="Times New Roman"/>
          <w:sz w:val="20"/>
          <w:szCs w:val="20"/>
        </w:rPr>
      </w:pPr>
      <w:r>
        <w:rPr>
          <w:rFonts w:ascii="Times New Roman" w:hAnsi="Times New Roman" w:cs="Times New Roman"/>
          <w:sz w:val="20"/>
          <w:szCs w:val="20"/>
        </w:rPr>
        <w:t>The table below summarizes the Company’s disposition activity relating to consolidated operating properties and parcels (dollars in millions):</w:t>
      </w:r>
    </w:p>
    <w:p w:rsidR="00000000" w:rsidRDefault="008E203B">
      <w:pPr>
        <w:pStyle w:val="a3"/>
        <w:spacing w:before="0" w:beforeAutospacing="0" w:after="0" w:afterAutospacing="0"/>
        <w:ind w:firstLine="360"/>
        <w:jc w:val="both"/>
        <w:divId w:val="1141120768"/>
        <w:rPr>
          <w:rFonts w:ascii="Times New Roman" w:hAnsi="Times New Roman" w:cs="Times New Roman"/>
          <w:sz w:val="20"/>
          <w:szCs w:val="20"/>
        </w:rPr>
      </w:pPr>
      <w:r>
        <w:rPr>
          <w:rFonts w:ascii="Times New Roman" w:hAnsi="Times New Roman" w:cs="Times New Roman"/>
          <w:sz w:val="20"/>
          <w:szCs w:val="20"/>
        </w:rPr>
        <w:t> </w:t>
      </w:r>
    </w:p>
    <w:tbl>
      <w:tblPr>
        <w:tblW w:w="4250" w:type="pct"/>
        <w:tblCellSpacing w:w="15" w:type="dxa"/>
        <w:tblInd w:w="7" w:type="dxa"/>
        <w:tblCellMar>
          <w:top w:w="15" w:type="dxa"/>
          <w:left w:w="15" w:type="dxa"/>
          <w:bottom w:w="15" w:type="dxa"/>
          <w:right w:w="15" w:type="dxa"/>
        </w:tblCellMar>
        <w:tblLook w:val="04A0" w:firstRow="1" w:lastRow="0" w:firstColumn="1" w:lastColumn="0" w:noHBand="0" w:noVBand="1"/>
      </w:tblPr>
      <w:tblGrid>
        <w:gridCol w:w="4177"/>
        <w:gridCol w:w="110"/>
        <w:gridCol w:w="160"/>
        <w:gridCol w:w="1054"/>
        <w:gridCol w:w="110"/>
        <w:gridCol w:w="110"/>
        <w:gridCol w:w="160"/>
        <w:gridCol w:w="1054"/>
        <w:gridCol w:w="125"/>
      </w:tblGrid>
      <w:tr w:rsidR="00000000">
        <w:trPr>
          <w:divId w:val="544216901"/>
          <w:tblCellSpacing w:w="15" w:type="dxa"/>
        </w:trPr>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gridSpan w:val="6"/>
            <w:tcBorders>
              <w:bottom w:val="single" w:sz="6" w:space="0" w:color="000000"/>
            </w:tcBorders>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Three Months Ended March 31,</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544216901"/>
          <w:tblCellSpacing w:w="15" w:type="dxa"/>
        </w:trPr>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gridSpan w:val="2"/>
            <w:tcBorders>
              <w:bottom w:val="single" w:sz="6" w:space="0" w:color="000000"/>
            </w:tcBorders>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2019</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gridSpan w:val="2"/>
            <w:tcBorders>
              <w:bottom w:val="single" w:sz="6" w:space="0" w:color="000000"/>
            </w:tcBorders>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2018</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544216901"/>
          <w:tblCellSpacing w:w="15" w:type="dxa"/>
        </w:trPr>
        <w:tc>
          <w:tcPr>
            <w:tcW w:w="3100" w:type="pct"/>
            <w:shd w:val="clear" w:color="auto" w:fill="CCEEFF"/>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Aggregate sales price/gross fair value</w:t>
            </w:r>
          </w:p>
        </w:tc>
        <w:tc>
          <w:tcPr>
            <w:tcW w:w="50" w:type="pct"/>
            <w:tcBorders>
              <w:bottom w:val="nil"/>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nil"/>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800" w:type="pct"/>
            <w:tcBorders>
              <w:bottom w:val="nil"/>
            </w:tcBorders>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74.2</w:t>
            </w:r>
          </w:p>
        </w:tc>
        <w:tc>
          <w:tcPr>
            <w:tcW w:w="50" w:type="pct"/>
            <w:tcBorders>
              <w:bottom w:val="nil"/>
            </w:tcBorders>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nil"/>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nil"/>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800" w:type="pct"/>
            <w:tcBorders>
              <w:bottom w:val="nil"/>
            </w:tcBorders>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522.5</w:t>
            </w:r>
          </w:p>
        </w:tc>
        <w:tc>
          <w:tcPr>
            <w:tcW w:w="50" w:type="pct"/>
            <w:tcBorders>
              <w:bottom w:val="nil"/>
            </w:tcBorders>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544216901"/>
          <w:tblCellSpacing w:w="15" w:type="dxa"/>
        </w:trPr>
        <w:tc>
          <w:tcPr>
            <w:tcW w:w="0" w:type="auto"/>
            <w:shd w:val="clear" w:color="auto" w:fill="FFFFFF"/>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Gain on sale of properties/change in control of interests</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80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23.6</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80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57.0</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544216901"/>
          <w:tblCellSpacing w:w="15" w:type="dxa"/>
        </w:trPr>
        <w:tc>
          <w:tcPr>
            <w:tcW w:w="0" w:type="auto"/>
            <w:shd w:val="clear" w:color="auto" w:fill="CCEEFF"/>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Impairment charges</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80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1.0</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80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2.4</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544216901"/>
          <w:tblCellSpacing w:w="15" w:type="dxa"/>
        </w:trPr>
        <w:tc>
          <w:tcPr>
            <w:tcW w:w="0" w:type="auto"/>
            <w:shd w:val="clear" w:color="auto" w:fill="FFFFFF"/>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Number of operating properties sold/deconsolidated</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80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5</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80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20</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544216901"/>
          <w:tblCellSpacing w:w="15" w:type="dxa"/>
        </w:trPr>
        <w:tc>
          <w:tcPr>
            <w:tcW w:w="0" w:type="auto"/>
            <w:shd w:val="clear" w:color="auto" w:fill="CCEEFF"/>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Number of out-parcels sold</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80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2</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80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1</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bl>
    <w:p w:rsidR="00000000" w:rsidRDefault="008E203B">
      <w:pPr>
        <w:pStyle w:val="a3"/>
        <w:spacing w:before="0" w:beforeAutospacing="0" w:after="0" w:afterAutospacing="0"/>
        <w:ind w:firstLine="720"/>
        <w:jc w:val="both"/>
        <w:divId w:val="1141120768"/>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jc w:val="both"/>
        <w:divId w:val="1141120768"/>
        <w:rPr>
          <w:rFonts w:ascii="Times New Roman" w:hAnsi="Times New Roman" w:cs="Times New Roman"/>
          <w:sz w:val="20"/>
          <w:szCs w:val="20"/>
        </w:rPr>
      </w:pPr>
      <w:r>
        <w:rPr>
          <w:rFonts w:ascii="Times New Roman" w:hAnsi="Times New Roman" w:cs="Times New Roman"/>
          <w:i/>
          <w:iCs/>
          <w:sz w:val="20"/>
          <w:szCs w:val="20"/>
        </w:rPr>
        <w:t>Impairments -</w:t>
      </w:r>
    </w:p>
    <w:p w:rsidR="00000000" w:rsidRDefault="008E203B">
      <w:pPr>
        <w:pStyle w:val="a3"/>
        <w:spacing w:before="0" w:beforeAutospacing="0" w:after="0" w:afterAutospacing="0"/>
        <w:jc w:val="both"/>
        <w:divId w:val="1141120768"/>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ind w:firstLine="360"/>
        <w:jc w:val="both"/>
        <w:divId w:val="1141120768"/>
        <w:rPr>
          <w:rFonts w:ascii="Times New Roman" w:hAnsi="Times New Roman" w:cs="Times New Roman"/>
          <w:sz w:val="20"/>
          <w:szCs w:val="20"/>
        </w:rPr>
      </w:pPr>
      <w:r>
        <w:rPr>
          <w:rFonts w:ascii="Times New Roman" w:hAnsi="Times New Roman" w:cs="Times New Roman"/>
          <w:sz w:val="20"/>
          <w:szCs w:val="20"/>
        </w:rPr>
        <w:t xml:space="preserve">During the three months ended March 31, 2019, the Company recognized aggregate impairment charges of $4.2 million. These impairment charges consist of (i) $3.2 million related to adjustments to property carrying values for properties which the Company has </w:t>
      </w:r>
      <w:r>
        <w:rPr>
          <w:rFonts w:ascii="Times New Roman" w:hAnsi="Times New Roman" w:cs="Times New Roman"/>
          <w:sz w:val="20"/>
          <w:szCs w:val="20"/>
        </w:rPr>
        <w:t>marketed for sale as part of its active capital recycling program and as such has adjusted the anticipated hold period for such properties and (ii) $1.0 million related to the sale of certain operating properties, as discussed above. The Company’s estimate</w:t>
      </w:r>
      <w:r>
        <w:rPr>
          <w:rFonts w:ascii="Times New Roman" w:hAnsi="Times New Roman" w:cs="Times New Roman"/>
          <w:sz w:val="20"/>
          <w:szCs w:val="20"/>
        </w:rPr>
        <w:t xml:space="preserve">d fair values of these properties were primarily based upon estimated sales prices from signed contracts or letters of intent from third party offers. See Footnote 12 to the Notes to the Company’s Condensed Consolidated Financial Statements for fair value </w:t>
      </w:r>
      <w:r>
        <w:rPr>
          <w:rFonts w:ascii="Times New Roman" w:hAnsi="Times New Roman" w:cs="Times New Roman"/>
          <w:sz w:val="20"/>
          <w:szCs w:val="20"/>
        </w:rPr>
        <w:t>disclosure.</w:t>
      </w:r>
    </w:p>
    <w:p w:rsidR="00000000" w:rsidRDefault="008E203B">
      <w:pPr>
        <w:pStyle w:val="a3"/>
        <w:spacing w:before="0" w:beforeAutospacing="0" w:after="0" w:afterAutospacing="0"/>
        <w:ind w:firstLine="360"/>
        <w:jc w:val="both"/>
        <w:divId w:val="1141120768"/>
        <w:rPr>
          <w:rFonts w:ascii="Times New Roman" w:hAnsi="Times New Roman" w:cs="Times New Roman"/>
          <w:sz w:val="20"/>
          <w:szCs w:val="20"/>
        </w:rPr>
      </w:pPr>
      <w:r>
        <w:rPr>
          <w:rFonts w:ascii="Times New Roman" w:hAnsi="Times New Roman" w:cs="Times New Roman"/>
          <w:sz w:val="20"/>
          <w:szCs w:val="20"/>
        </w:rPr>
        <w:t> </w:t>
      </w:r>
    </w:p>
    <w:p w:rsidR="00000000" w:rsidRDefault="008E203B">
      <w:pPr>
        <w:divId w:val="1725980678"/>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jc w:val="both"/>
        <w:divId w:val="45104329"/>
        <w:rPr>
          <w:rFonts w:ascii="Times New Roman" w:hAnsi="Times New Roman" w:cs="Times New Roman"/>
          <w:sz w:val="20"/>
          <w:szCs w:val="20"/>
        </w:rPr>
      </w:pPr>
      <w:r>
        <w:rPr>
          <w:rFonts w:ascii="Times New Roman" w:hAnsi="Times New Roman" w:cs="Times New Roman"/>
          <w:sz w:val="20"/>
          <w:szCs w:val="20"/>
        </w:rPr>
        <w:t xml:space="preserve">4. </w:t>
      </w:r>
      <w:r>
        <w:rPr>
          <w:rFonts w:ascii="Times New Roman" w:hAnsi="Times New Roman" w:cs="Times New Roman"/>
          <w:sz w:val="20"/>
          <w:szCs w:val="20"/>
          <w:u w:val="single"/>
        </w:rPr>
        <w:t>Real Estate Under Development</w:t>
      </w:r>
    </w:p>
    <w:p w:rsidR="00000000" w:rsidRDefault="008E203B">
      <w:pPr>
        <w:pStyle w:val="a3"/>
        <w:spacing w:before="0" w:beforeAutospacing="0" w:after="0" w:afterAutospacing="0"/>
        <w:jc w:val="both"/>
        <w:divId w:val="45104329"/>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ind w:firstLine="360"/>
        <w:jc w:val="both"/>
        <w:divId w:val="45104329"/>
        <w:rPr>
          <w:rFonts w:ascii="Times New Roman" w:hAnsi="Times New Roman" w:cs="Times New Roman"/>
          <w:sz w:val="20"/>
          <w:szCs w:val="20"/>
        </w:rPr>
      </w:pPr>
      <w:r>
        <w:rPr>
          <w:rFonts w:ascii="Times New Roman" w:hAnsi="Times New Roman" w:cs="Times New Roman"/>
          <w:sz w:val="20"/>
          <w:szCs w:val="20"/>
        </w:rPr>
        <w:t>The Company is engaged in various real estate development projects for long-term investment. The costs incurred to date for these real estate development projects are as follows (in thousands):</w:t>
      </w:r>
    </w:p>
    <w:p w:rsidR="00000000" w:rsidRDefault="008E203B">
      <w:pPr>
        <w:pStyle w:val="a3"/>
        <w:spacing w:before="0" w:beforeAutospacing="0" w:after="0" w:afterAutospacing="0"/>
        <w:ind w:firstLine="360"/>
        <w:jc w:val="both"/>
        <w:divId w:val="45104329"/>
        <w:rPr>
          <w:rFonts w:ascii="Times New Roman" w:hAnsi="Times New Roman" w:cs="Times New Roman"/>
          <w:sz w:val="20"/>
          <w:szCs w:val="20"/>
        </w:rPr>
      </w:pPr>
      <w:r>
        <w:rPr>
          <w:rFonts w:ascii="Times New Roman" w:hAnsi="Times New Roman" w:cs="Times New Roman"/>
          <w:sz w:val="20"/>
          <w:szCs w:val="20"/>
        </w:rPr>
        <w:t> </w:t>
      </w:r>
    </w:p>
    <w:tbl>
      <w:tblPr>
        <w:tblW w:w="4500" w:type="pct"/>
        <w:tblCellSpacing w:w="0" w:type="dxa"/>
        <w:tblInd w:w="5" w:type="dxa"/>
        <w:tblCellMar>
          <w:left w:w="0" w:type="dxa"/>
          <w:right w:w="0" w:type="dxa"/>
        </w:tblCellMar>
        <w:tblLook w:val="04A0" w:firstRow="1" w:lastRow="0" w:firstColumn="1" w:lastColumn="0" w:noHBand="0" w:noVBand="1"/>
      </w:tblPr>
      <w:tblGrid>
        <w:gridCol w:w="3520"/>
        <w:gridCol w:w="50"/>
        <w:gridCol w:w="1293"/>
        <w:gridCol w:w="50"/>
        <w:gridCol w:w="100"/>
        <w:gridCol w:w="695"/>
        <w:gridCol w:w="50"/>
        <w:gridCol w:w="50"/>
        <w:gridCol w:w="125"/>
        <w:gridCol w:w="1492"/>
        <w:gridCol w:w="50"/>
      </w:tblGrid>
      <w:tr w:rsidR="00000000">
        <w:trPr>
          <w:divId w:val="736434978"/>
          <w:tblCellSpacing w:w="0" w:type="dxa"/>
        </w:trPr>
        <w:tc>
          <w:tcPr>
            <w:tcW w:w="2450" w:type="pct"/>
            <w:tcBorders>
              <w:bottom w:val="single" w:sz="6" w:space="0" w:color="000000"/>
            </w:tcBorders>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20"/>
                <w:szCs w:val="20"/>
              </w:rPr>
              <w:t>Property Name</w:t>
            </w:r>
          </w:p>
        </w:tc>
        <w:tc>
          <w:tcPr>
            <w:tcW w:w="50" w:type="pct"/>
            <w:tcBorders>
              <w:bottom w:val="single" w:sz="6" w:space="0" w:color="000000"/>
            </w:tcBorders>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1000" w:type="pct"/>
            <w:tcBorders>
              <w:bottom w:val="single" w:sz="6" w:space="0" w:color="000000"/>
            </w:tcBorders>
            <w:vAlign w:val="bottom"/>
            <w:hideMark/>
          </w:tcPr>
          <w:p w:rsidR="00000000" w:rsidRDefault="008E203B">
            <w:pPr>
              <w:rPr>
                <w:rFonts w:ascii="Times New Roman" w:hAnsi="Times New Roman" w:cs="Times New Roman"/>
                <w:sz w:val="20"/>
                <w:szCs w:val="20"/>
              </w:rPr>
            </w:pPr>
            <w:r>
              <w:rPr>
                <w:rFonts w:ascii="Times New Roman" w:hAnsi="Times New Roman" w:cs="Times New Roman"/>
                <w:b/>
                <w:bCs/>
                <w:sz w:val="20"/>
                <w:szCs w:val="20"/>
              </w:rPr>
              <w:t>Location</w:t>
            </w:r>
          </w:p>
        </w:tc>
        <w:tc>
          <w:tcPr>
            <w:tcW w:w="50" w:type="pct"/>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gridSpan w:val="2"/>
            <w:tcBorders>
              <w:bottom w:val="single" w:sz="6" w:space="0" w:color="000000"/>
            </w:tcBorders>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March 31, 2019</w:t>
            </w:r>
          </w:p>
        </w:tc>
        <w:tc>
          <w:tcPr>
            <w:tcW w:w="50" w:type="pct"/>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gridSpan w:val="2"/>
            <w:tcBorders>
              <w:bottom w:val="single" w:sz="6" w:space="0" w:color="000000"/>
            </w:tcBorders>
            <w:noWrap/>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 xml:space="preserve">December 31, </w:t>
            </w:r>
            <w:r>
              <w:rPr>
                <w:rFonts w:ascii="Times New Roman" w:hAnsi="Times New Roman" w:cs="Times New Roman"/>
                <w:b/>
                <w:bCs/>
                <w:sz w:val="20"/>
                <w:szCs w:val="20"/>
              </w:rPr>
              <w:t>2018</w:t>
            </w:r>
          </w:p>
        </w:tc>
        <w:tc>
          <w:tcPr>
            <w:tcW w:w="50" w:type="pct"/>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736434978"/>
          <w:tblCellSpacing w:w="0" w:type="dxa"/>
        </w:trPr>
        <w:tc>
          <w:tcPr>
            <w:tcW w:w="2450" w:type="pct"/>
            <w:tcBorders>
              <w:bottom w:val="nil"/>
            </w:tcBorders>
            <w:shd w:val="clear" w:color="auto" w:fill="CCEEFF"/>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Dania Pointe – Phases II, III and IV</w:t>
            </w:r>
          </w:p>
        </w:tc>
        <w:tc>
          <w:tcPr>
            <w:tcW w:w="50" w:type="pct"/>
            <w:tcBorders>
              <w:bottom w:val="nil"/>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1000" w:type="pct"/>
            <w:tcBorders>
              <w:bottom w:val="nil"/>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Dania Beach, FL</w:t>
            </w:r>
          </w:p>
        </w:tc>
        <w:tc>
          <w:tcPr>
            <w:tcW w:w="50" w:type="pct"/>
            <w:tcBorders>
              <w:bottom w:val="nil"/>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nil"/>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b/>
                <w:bCs/>
                <w:sz w:val="20"/>
                <w:szCs w:val="20"/>
              </w:rPr>
              <w:t>$</w:t>
            </w:r>
          </w:p>
        </w:tc>
        <w:tc>
          <w:tcPr>
            <w:tcW w:w="600" w:type="pct"/>
            <w:tcBorders>
              <w:bottom w:val="nil"/>
            </w:tcBorders>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180,216</w:t>
            </w:r>
          </w:p>
        </w:tc>
        <w:tc>
          <w:tcPr>
            <w:tcW w:w="50" w:type="pct"/>
            <w:tcBorders>
              <w:bottom w:val="nil"/>
            </w:tcBorders>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nil"/>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nil"/>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b/>
                <w:bCs/>
                <w:sz w:val="20"/>
                <w:szCs w:val="20"/>
              </w:rPr>
              <w:t>$</w:t>
            </w:r>
          </w:p>
        </w:tc>
        <w:tc>
          <w:tcPr>
            <w:tcW w:w="600" w:type="pct"/>
            <w:tcBorders>
              <w:bottom w:val="nil"/>
            </w:tcBorders>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152,111</w:t>
            </w:r>
          </w:p>
        </w:tc>
        <w:tc>
          <w:tcPr>
            <w:tcW w:w="50" w:type="pct"/>
            <w:tcBorders>
              <w:bottom w:val="nil"/>
            </w:tcBorders>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736434978"/>
          <w:tblCellSpacing w:w="0" w:type="dxa"/>
        </w:trPr>
        <w:tc>
          <w:tcPr>
            <w:tcW w:w="2450" w:type="pct"/>
            <w:shd w:val="clear" w:color="auto" w:fill="FFFFFF"/>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Mill Station</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100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Owings Mills, MD</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62,187</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55,771</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736434978"/>
          <w:tblCellSpacing w:w="0" w:type="dxa"/>
        </w:trPr>
        <w:tc>
          <w:tcPr>
            <w:tcW w:w="2450" w:type="pct"/>
            <w:shd w:val="clear" w:color="auto" w:fill="CCEEFF"/>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Promenade at Christiana (1)</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100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New Castle, DE</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single" w:sz="6" w:space="0" w:color="000000"/>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tcBorders>
              <w:bottom w:val="single" w:sz="6" w:space="0" w:color="000000"/>
            </w:tcBorders>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33,511</w:t>
            </w:r>
          </w:p>
        </w:tc>
        <w:tc>
          <w:tcPr>
            <w:tcW w:w="50" w:type="pct"/>
            <w:shd w:val="clear" w:color="auto" w:fill="CCEEFF"/>
            <w:noWrap/>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single" w:sz="6" w:space="0" w:color="000000"/>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tcBorders>
              <w:bottom w:val="single" w:sz="6" w:space="0" w:color="000000"/>
            </w:tcBorders>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33,502</w:t>
            </w:r>
          </w:p>
        </w:tc>
        <w:tc>
          <w:tcPr>
            <w:tcW w:w="50" w:type="pct"/>
            <w:shd w:val="clear" w:color="auto" w:fill="CCEEFF"/>
            <w:noWrap/>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736434978"/>
          <w:tblCellSpacing w:w="0" w:type="dxa"/>
        </w:trPr>
        <w:tc>
          <w:tcPr>
            <w:tcW w:w="2450" w:type="pct"/>
            <w:shd w:val="clear" w:color="auto" w:fill="FFFFFF"/>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20"/>
                <w:szCs w:val="20"/>
              </w:rPr>
              <w:t>Total*</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100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double" w:sz="6" w:space="0" w:color="000000"/>
            </w:tcBorders>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b/>
                <w:bCs/>
                <w:sz w:val="20"/>
                <w:szCs w:val="20"/>
              </w:rPr>
              <w:t>$</w:t>
            </w:r>
          </w:p>
        </w:tc>
        <w:tc>
          <w:tcPr>
            <w:tcW w:w="600" w:type="pct"/>
            <w:tcBorders>
              <w:bottom w:val="double" w:sz="6" w:space="0" w:color="000000"/>
            </w:tcBorders>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b/>
                <w:bCs/>
                <w:sz w:val="20"/>
                <w:szCs w:val="20"/>
              </w:rPr>
              <w:t>275,914</w:t>
            </w:r>
          </w:p>
        </w:tc>
        <w:tc>
          <w:tcPr>
            <w:tcW w:w="50" w:type="pct"/>
            <w:shd w:val="clear" w:color="auto" w:fill="FFFFFF"/>
            <w:noWrap/>
            <w:tcMar>
              <w:top w:w="0" w:type="dxa"/>
              <w:left w:w="0" w:type="dxa"/>
              <w:bottom w:w="4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double" w:sz="6" w:space="0" w:color="000000"/>
            </w:tcBorders>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b/>
                <w:bCs/>
                <w:sz w:val="20"/>
                <w:szCs w:val="20"/>
              </w:rPr>
              <w:t>$</w:t>
            </w:r>
          </w:p>
        </w:tc>
        <w:tc>
          <w:tcPr>
            <w:tcW w:w="600" w:type="pct"/>
            <w:tcBorders>
              <w:bottom w:val="double" w:sz="6" w:space="0" w:color="000000"/>
            </w:tcBorders>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b/>
                <w:bCs/>
                <w:sz w:val="20"/>
                <w:szCs w:val="20"/>
              </w:rPr>
              <w:t>241,384</w:t>
            </w:r>
          </w:p>
        </w:tc>
        <w:tc>
          <w:tcPr>
            <w:tcW w:w="50" w:type="pct"/>
            <w:shd w:val="clear" w:color="auto" w:fill="FFFFFF"/>
            <w:noWrap/>
            <w:tcMar>
              <w:top w:w="0" w:type="dxa"/>
              <w:left w:w="0" w:type="dxa"/>
              <w:bottom w:w="4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bl>
    <w:p w:rsidR="00000000" w:rsidRDefault="008E203B">
      <w:pPr>
        <w:pStyle w:val="a3"/>
        <w:spacing w:before="0" w:beforeAutospacing="0" w:after="0" w:afterAutospacing="0"/>
        <w:ind w:left="720"/>
        <w:jc w:val="both"/>
        <w:divId w:val="45104329"/>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ind w:left="540" w:hanging="180"/>
        <w:jc w:val="both"/>
        <w:divId w:val="45104329"/>
        <w:rPr>
          <w:rFonts w:ascii="Times New Roman" w:hAnsi="Times New Roman" w:cs="Times New Roman"/>
          <w:sz w:val="20"/>
          <w:szCs w:val="20"/>
        </w:rPr>
      </w:pPr>
      <w:r>
        <w:rPr>
          <w:rFonts w:ascii="Times New Roman" w:hAnsi="Times New Roman" w:cs="Times New Roman"/>
          <w:sz w:val="20"/>
          <w:szCs w:val="20"/>
        </w:rPr>
        <w:t>* Includes capitalized costs of interest, real estate taxes, insurance, legal costs and payroll of $27.6 million and $24.9 million, as of March 31, 2019 and December 31, 2018, respectively.</w:t>
      </w:r>
    </w:p>
    <w:p w:rsidR="00000000" w:rsidRDefault="008E203B">
      <w:pPr>
        <w:pStyle w:val="a3"/>
        <w:spacing w:before="0" w:beforeAutospacing="0" w:after="0" w:afterAutospacing="0"/>
        <w:ind w:left="360"/>
        <w:jc w:val="both"/>
        <w:divId w:val="45104329"/>
        <w:rPr>
          <w:rFonts w:ascii="Times New Roman" w:hAnsi="Times New Roman" w:cs="Times New Roman"/>
          <w:sz w:val="20"/>
          <w:szCs w:val="20"/>
        </w:rPr>
      </w:pPr>
      <w:r>
        <w:rPr>
          <w:rFonts w:ascii="Times New Roman" w:hAnsi="Times New Roman" w:cs="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divId w:val="45104329"/>
          <w:tblCellSpacing w:w="0" w:type="dxa"/>
        </w:trPr>
        <w:tc>
          <w:tcPr>
            <w:tcW w:w="360" w:type="dxa"/>
            <w:vAlign w:val="center"/>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360" w:type="dxa"/>
            <w:hideMark/>
          </w:tcPr>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(1)</w:t>
            </w:r>
          </w:p>
        </w:tc>
        <w:tc>
          <w:tcPr>
            <w:tcW w:w="0" w:type="auto"/>
            <w:hideMark/>
          </w:tcPr>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Project to be developed in the future.</w:t>
            </w:r>
          </w:p>
        </w:tc>
      </w:tr>
    </w:tbl>
    <w:p w:rsidR="00000000" w:rsidRDefault="008E203B">
      <w:pPr>
        <w:pStyle w:val="a3"/>
        <w:spacing w:before="0" w:beforeAutospacing="0" w:after="0" w:afterAutospacing="0"/>
        <w:ind w:left="720"/>
        <w:jc w:val="both"/>
        <w:divId w:val="45104329"/>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ind w:firstLine="360"/>
        <w:jc w:val="both"/>
        <w:divId w:val="45104329"/>
        <w:rPr>
          <w:rFonts w:ascii="Times New Roman" w:hAnsi="Times New Roman" w:cs="Times New Roman"/>
          <w:sz w:val="20"/>
          <w:szCs w:val="20"/>
        </w:rPr>
      </w:pPr>
      <w:r>
        <w:rPr>
          <w:rFonts w:ascii="Times New Roman" w:hAnsi="Times New Roman" w:cs="Times New Roman"/>
          <w:sz w:val="20"/>
          <w:szCs w:val="20"/>
        </w:rPr>
        <w:t>During the three months ended March 31, 2019, the Company capitalized (i) interest of $1.9 million, (ii) real estate taxes, insurance and legal costs of $0.3 million, and (iii) payroll of $0.5 million in connection with these real estate development projec</w:t>
      </w:r>
      <w:r>
        <w:rPr>
          <w:rFonts w:ascii="Times New Roman" w:hAnsi="Times New Roman" w:cs="Times New Roman"/>
          <w:sz w:val="20"/>
          <w:szCs w:val="20"/>
        </w:rPr>
        <w:t>ts.</w:t>
      </w:r>
    </w:p>
    <w:p w:rsidR="00000000" w:rsidRDefault="008E203B">
      <w:pPr>
        <w:pStyle w:val="a3"/>
        <w:spacing w:before="0" w:beforeAutospacing="0" w:after="0" w:afterAutospacing="0"/>
        <w:ind w:firstLine="360"/>
        <w:jc w:val="both"/>
        <w:divId w:val="45104329"/>
        <w:rPr>
          <w:rFonts w:ascii="Times New Roman" w:hAnsi="Times New Roman" w:cs="Times New Roman"/>
          <w:sz w:val="20"/>
          <w:szCs w:val="20"/>
        </w:rPr>
      </w:pPr>
      <w:r>
        <w:rPr>
          <w:rFonts w:ascii="Times New Roman" w:hAnsi="Times New Roman" w:cs="Times New Roman"/>
          <w:sz w:val="20"/>
          <w:szCs w:val="20"/>
        </w:rPr>
        <w:t> </w:t>
      </w:r>
    </w:p>
    <w:p w:rsidR="00000000" w:rsidRDefault="008E203B">
      <w:pPr>
        <w:jc w:val="center"/>
        <w:divId w:val="1576472057"/>
        <w:rPr>
          <w:rFonts w:ascii="Times New Roman" w:hAnsi="Times New Roman" w:cs="Times New Roman"/>
          <w:sz w:val="20"/>
          <w:szCs w:val="20"/>
        </w:rPr>
      </w:pPr>
      <w:r>
        <w:rPr>
          <w:rFonts w:ascii="Times New Roman" w:hAnsi="Times New Roman" w:cs="Times New Roman"/>
          <w:sz w:val="20"/>
          <w:szCs w:val="20"/>
        </w:rPr>
        <w:t>13</w:t>
      </w:r>
    </w:p>
    <w:p w:rsidR="00000000" w:rsidRDefault="008E203B">
      <w:pPr>
        <w:divId w:val="1576472057"/>
        <w:rPr>
          <w:rFonts w:ascii="Times New Roman" w:hAnsi="Times New Roman" w:cs="Times New Roman"/>
          <w:sz w:val="20"/>
          <w:szCs w:val="20"/>
        </w:rPr>
      </w:pPr>
      <w:r>
        <w:rPr>
          <w:rFonts w:ascii="Times New Roman" w:hAnsi="Times New Roman" w:cs="Times New Roman"/>
          <w:sz w:val="20"/>
          <w:szCs w:val="20"/>
        </w:rPr>
        <w:pict>
          <v:rect id="_x0000_i1041" style="width:415.3pt;height:1.5pt" o:hralign="center" o:hrstd="t" o:hrnoshade="t" o:hr="t" fillcolor="black" stroked="f"/>
        </w:pict>
      </w:r>
    </w:p>
    <w:p w:rsidR="00000000" w:rsidRDefault="008E203B">
      <w:pPr>
        <w:divId w:val="1576472057"/>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8E203B">
      <w:pPr>
        <w:pStyle w:val="a3"/>
        <w:spacing w:before="0" w:beforeAutospacing="0" w:after="0" w:afterAutospacing="0"/>
        <w:divId w:val="45104329"/>
        <w:rPr>
          <w:rFonts w:ascii="Times New Roman" w:hAnsi="Times New Roman" w:cs="Times New Roman"/>
          <w:sz w:val="20"/>
          <w:szCs w:val="20"/>
        </w:rPr>
      </w:pPr>
      <w:r>
        <w:rPr>
          <w:rFonts w:ascii="Times New Roman" w:hAnsi="Times New Roman" w:cs="Times New Roman"/>
          <w:sz w:val="20"/>
          <w:szCs w:val="20"/>
        </w:rPr>
        <w:t> </w:t>
      </w:r>
    </w:p>
    <w:p w:rsidR="00000000" w:rsidRDefault="008E203B">
      <w:pPr>
        <w:divId w:val="217330064"/>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jc w:val="both"/>
        <w:divId w:val="476992596"/>
        <w:rPr>
          <w:rFonts w:ascii="Times New Roman" w:hAnsi="Times New Roman" w:cs="Times New Roman"/>
          <w:sz w:val="20"/>
          <w:szCs w:val="20"/>
        </w:rPr>
      </w:pPr>
      <w:r>
        <w:rPr>
          <w:rFonts w:ascii="Times New Roman" w:hAnsi="Times New Roman" w:cs="Times New Roman"/>
          <w:sz w:val="20"/>
          <w:szCs w:val="20"/>
        </w:rPr>
        <w:t xml:space="preserve">5. </w:t>
      </w:r>
      <w:r>
        <w:rPr>
          <w:rFonts w:ascii="Times New Roman" w:hAnsi="Times New Roman" w:cs="Times New Roman"/>
          <w:sz w:val="20"/>
          <w:szCs w:val="20"/>
          <w:u w:val="single"/>
        </w:rPr>
        <w:t>Investments in and Advances to Real Estate Joint Ventures</w:t>
      </w:r>
    </w:p>
    <w:p w:rsidR="00000000" w:rsidRDefault="008E203B">
      <w:pPr>
        <w:pStyle w:val="a3"/>
        <w:spacing w:before="0" w:beforeAutospacing="0" w:after="0" w:afterAutospacing="0"/>
        <w:jc w:val="both"/>
        <w:divId w:val="476992596"/>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ind w:firstLine="360"/>
        <w:jc w:val="both"/>
        <w:divId w:val="476992596"/>
        <w:rPr>
          <w:rFonts w:ascii="Times New Roman" w:hAnsi="Times New Roman" w:cs="Times New Roman"/>
          <w:sz w:val="20"/>
          <w:szCs w:val="20"/>
        </w:rPr>
      </w:pPr>
      <w:r>
        <w:rPr>
          <w:rFonts w:ascii="Times New Roman" w:hAnsi="Times New Roman" w:cs="Times New Roman"/>
          <w:sz w:val="20"/>
          <w:szCs w:val="20"/>
        </w:rPr>
        <w:t>The Company has investments in and advances to various real estate joint ventures. These joint ventures are e</w:t>
      </w:r>
      <w:r>
        <w:rPr>
          <w:rFonts w:ascii="Times New Roman" w:hAnsi="Times New Roman" w:cs="Times New Roman"/>
          <w:sz w:val="20"/>
          <w:szCs w:val="20"/>
        </w:rPr>
        <w:t>ngaged primarily in the operation of shopping centers which are either owned or held under long-term operating leases. The Company and the joint venture partners have joint approval rights for major decisions, including those regarding property operations.</w:t>
      </w:r>
      <w:r>
        <w:rPr>
          <w:rFonts w:ascii="Times New Roman" w:hAnsi="Times New Roman" w:cs="Times New Roman"/>
          <w:sz w:val="20"/>
          <w:szCs w:val="20"/>
        </w:rPr>
        <w:t xml:space="preserve"> As such, the Company holds noncontrolling interests in these joint ventures and accounts for them under the equity method of accounting.</w:t>
      </w:r>
    </w:p>
    <w:p w:rsidR="00000000" w:rsidRDefault="008E203B">
      <w:pPr>
        <w:pStyle w:val="a3"/>
        <w:spacing w:before="0" w:beforeAutospacing="0" w:after="0" w:afterAutospacing="0"/>
        <w:ind w:left="360"/>
        <w:jc w:val="both"/>
        <w:divId w:val="476992596"/>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ind w:firstLine="360"/>
        <w:jc w:val="both"/>
        <w:divId w:val="476992596"/>
        <w:rPr>
          <w:rFonts w:ascii="Times New Roman" w:hAnsi="Times New Roman" w:cs="Times New Roman"/>
          <w:sz w:val="20"/>
          <w:szCs w:val="20"/>
        </w:rPr>
      </w:pPr>
      <w:r>
        <w:rPr>
          <w:rFonts w:ascii="Times New Roman" w:hAnsi="Times New Roman" w:cs="Times New Roman"/>
          <w:sz w:val="20"/>
          <w:szCs w:val="20"/>
        </w:rPr>
        <w:t>The table below presents joint venture investments for which the Company held an ownership interest at March 31, 201</w:t>
      </w:r>
      <w:r>
        <w:rPr>
          <w:rFonts w:ascii="Times New Roman" w:hAnsi="Times New Roman" w:cs="Times New Roman"/>
          <w:sz w:val="20"/>
          <w:szCs w:val="20"/>
        </w:rPr>
        <w:t>9 and December 31, 2018 (dollars in millions):</w:t>
      </w:r>
    </w:p>
    <w:p w:rsidR="00000000" w:rsidRDefault="008E203B">
      <w:pPr>
        <w:pStyle w:val="a3"/>
        <w:spacing w:before="0" w:beforeAutospacing="0" w:after="0" w:afterAutospacing="0"/>
        <w:ind w:firstLine="360"/>
        <w:jc w:val="both"/>
        <w:divId w:val="476992596"/>
        <w:rPr>
          <w:rFonts w:ascii="Times New Roman" w:hAnsi="Times New Roman" w:cs="Times New Roman"/>
          <w:sz w:val="20"/>
          <w:szCs w:val="20"/>
        </w:rPr>
      </w:pPr>
      <w:r>
        <w:rPr>
          <w:rFonts w:ascii="Times New Roman" w:hAnsi="Times New Roman" w:cs="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384"/>
        <w:gridCol w:w="50"/>
        <w:gridCol w:w="165"/>
        <w:gridCol w:w="872"/>
        <w:gridCol w:w="50"/>
        <w:gridCol w:w="50"/>
        <w:gridCol w:w="214"/>
        <w:gridCol w:w="664"/>
        <w:gridCol w:w="50"/>
        <w:gridCol w:w="50"/>
        <w:gridCol w:w="215"/>
        <w:gridCol w:w="1492"/>
        <w:gridCol w:w="50"/>
      </w:tblGrid>
      <w:tr w:rsidR="00000000">
        <w:trPr>
          <w:divId w:val="1101679750"/>
          <w:tblCellSpacing w:w="0" w:type="dxa"/>
        </w:trPr>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gridSpan w:val="2"/>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Ownership</w:t>
            </w:r>
          </w:p>
        </w:tc>
        <w:tc>
          <w:tcPr>
            <w:tcW w:w="0" w:type="auto"/>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gridSpan w:val="6"/>
            <w:tcBorders>
              <w:bottom w:val="single" w:sz="6" w:space="0" w:color="000000"/>
            </w:tcBorders>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The Company's Investment</w:t>
            </w:r>
          </w:p>
        </w:tc>
        <w:tc>
          <w:tcPr>
            <w:tcW w:w="0" w:type="auto"/>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101679750"/>
          <w:tblCellSpacing w:w="0" w:type="dxa"/>
        </w:trPr>
        <w:tc>
          <w:tcPr>
            <w:tcW w:w="2750" w:type="pct"/>
            <w:tcBorders>
              <w:bottom w:val="single" w:sz="6" w:space="0" w:color="000000"/>
            </w:tcBorders>
            <w:vAlign w:val="bottom"/>
            <w:hideMark/>
          </w:tcPr>
          <w:p w:rsidR="00000000" w:rsidRDefault="008E203B">
            <w:pPr>
              <w:pStyle w:val="a3"/>
              <w:spacing w:before="0" w:beforeAutospacing="0" w:after="0" w:afterAutospacing="0"/>
              <w:ind w:left="228" w:hanging="114"/>
              <w:rPr>
                <w:rFonts w:ascii="Times New Roman" w:hAnsi="Times New Roman" w:cs="Times New Roman"/>
                <w:sz w:val="20"/>
                <w:szCs w:val="20"/>
              </w:rPr>
            </w:pPr>
            <w:r>
              <w:rPr>
                <w:rFonts w:ascii="Times New Roman" w:hAnsi="Times New Roman" w:cs="Times New Roman"/>
                <w:b/>
                <w:bCs/>
                <w:sz w:val="20"/>
                <w:szCs w:val="20"/>
              </w:rPr>
              <w:t>Joint Venture</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gridSpan w:val="2"/>
            <w:tcBorders>
              <w:bottom w:val="single" w:sz="6" w:space="0" w:color="000000"/>
            </w:tcBorders>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Interest</w:t>
            </w:r>
          </w:p>
        </w:tc>
        <w:tc>
          <w:tcPr>
            <w:tcW w:w="0" w:type="auto"/>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gridSpan w:val="2"/>
            <w:tcBorders>
              <w:bottom w:val="single" w:sz="6" w:space="0" w:color="000000"/>
            </w:tcBorders>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March 31, 2019</w:t>
            </w:r>
          </w:p>
        </w:tc>
        <w:tc>
          <w:tcPr>
            <w:tcW w:w="0" w:type="auto"/>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pct"/>
            <w:gridSpan w:val="2"/>
            <w:tcBorders>
              <w:bottom w:val="single" w:sz="6" w:space="0" w:color="000000"/>
            </w:tcBorders>
            <w:noWrap/>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December 31, 2018</w:t>
            </w:r>
          </w:p>
        </w:tc>
        <w:tc>
          <w:tcPr>
            <w:tcW w:w="0" w:type="auto"/>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101679750"/>
          <w:tblCellSpacing w:w="0" w:type="dxa"/>
        </w:trPr>
        <w:tc>
          <w:tcPr>
            <w:tcW w:w="0" w:type="auto"/>
            <w:tcBorders>
              <w:bottom w:val="nil"/>
            </w:tcBorders>
            <w:shd w:val="clear" w:color="auto" w:fill="CCEEFF"/>
            <w:vAlign w:val="bottom"/>
            <w:hideMark/>
          </w:tcPr>
          <w:p w:rsidR="00000000" w:rsidRDefault="008E203B">
            <w:pPr>
              <w:pStyle w:val="a3"/>
              <w:spacing w:before="0" w:beforeAutospacing="0" w:after="0" w:afterAutospacing="0"/>
              <w:ind w:left="228" w:hanging="114"/>
              <w:rPr>
                <w:rFonts w:ascii="Times New Roman" w:hAnsi="Times New Roman" w:cs="Times New Roman"/>
                <w:sz w:val="20"/>
                <w:szCs w:val="20"/>
              </w:rPr>
            </w:pPr>
            <w:r>
              <w:rPr>
                <w:rFonts w:ascii="Times New Roman" w:hAnsi="Times New Roman" w:cs="Times New Roman"/>
                <w:sz w:val="20"/>
                <w:szCs w:val="20"/>
              </w:rPr>
              <w:t>Prudential Investment Program (“KimPru” and “KimPru II”) (1) (2)</w:t>
            </w:r>
          </w:p>
        </w:tc>
        <w:tc>
          <w:tcPr>
            <w:tcW w:w="50" w:type="pct"/>
            <w:tcBorders>
              <w:bottom w:val="nil"/>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nil"/>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tcBorders>
              <w:bottom w:val="nil"/>
            </w:tcBorders>
            <w:shd w:val="clear" w:color="auto" w:fill="CCEEFF"/>
            <w:vAlign w:val="bottom"/>
            <w:hideMark/>
          </w:tcPr>
          <w:p w:rsidR="00000000" w:rsidRDefault="008E203B">
            <w:pPr>
              <w:ind w:left="114"/>
              <w:jc w:val="center"/>
              <w:rPr>
                <w:rFonts w:ascii="Times New Roman" w:hAnsi="Times New Roman" w:cs="Times New Roman"/>
                <w:sz w:val="20"/>
                <w:szCs w:val="20"/>
              </w:rPr>
            </w:pPr>
            <w:r>
              <w:rPr>
                <w:rFonts w:ascii="Times New Roman" w:hAnsi="Times New Roman" w:cs="Times New Roman"/>
                <w:sz w:val="20"/>
                <w:szCs w:val="20"/>
              </w:rPr>
              <w:t>15.0%</w:t>
            </w:r>
          </w:p>
        </w:tc>
        <w:tc>
          <w:tcPr>
            <w:tcW w:w="50" w:type="pct"/>
            <w:tcBorders>
              <w:bottom w:val="nil"/>
            </w:tcBorders>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nil"/>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nil"/>
            </w:tcBorders>
            <w:shd w:val="clear" w:color="auto" w:fill="CCEEFF"/>
            <w:vAlign w:val="bottom"/>
            <w:hideMark/>
          </w:tcPr>
          <w:p w:rsidR="00000000" w:rsidRDefault="008E203B">
            <w:pPr>
              <w:ind w:left="114"/>
              <w:rPr>
                <w:rFonts w:ascii="Times New Roman" w:hAnsi="Times New Roman" w:cs="Times New Roman"/>
                <w:sz w:val="20"/>
                <w:szCs w:val="20"/>
              </w:rPr>
            </w:pPr>
            <w:r>
              <w:rPr>
                <w:rFonts w:ascii="Times New Roman" w:hAnsi="Times New Roman" w:cs="Times New Roman"/>
                <w:sz w:val="20"/>
                <w:szCs w:val="20"/>
              </w:rPr>
              <w:t>$</w:t>
            </w:r>
          </w:p>
        </w:tc>
        <w:tc>
          <w:tcPr>
            <w:tcW w:w="600" w:type="pct"/>
            <w:tcBorders>
              <w:bottom w:val="nil"/>
            </w:tcBorders>
            <w:shd w:val="clear" w:color="auto" w:fill="CCEEFF"/>
            <w:vAlign w:val="bottom"/>
            <w:hideMark/>
          </w:tcPr>
          <w:p w:rsidR="00000000" w:rsidRDefault="008E203B">
            <w:pPr>
              <w:ind w:left="114"/>
              <w:jc w:val="right"/>
              <w:rPr>
                <w:rFonts w:ascii="Times New Roman" w:hAnsi="Times New Roman" w:cs="Times New Roman"/>
                <w:sz w:val="20"/>
                <w:szCs w:val="20"/>
              </w:rPr>
            </w:pPr>
            <w:r>
              <w:rPr>
                <w:rFonts w:ascii="Times New Roman" w:hAnsi="Times New Roman" w:cs="Times New Roman"/>
                <w:sz w:val="20"/>
                <w:szCs w:val="20"/>
              </w:rPr>
              <w:t>175.1</w:t>
            </w:r>
          </w:p>
        </w:tc>
        <w:tc>
          <w:tcPr>
            <w:tcW w:w="50" w:type="pct"/>
            <w:tcBorders>
              <w:bottom w:val="nil"/>
            </w:tcBorders>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ind w:left="114"/>
              <w:rPr>
                <w:rFonts w:ascii="Times New Roman" w:hAnsi="Times New Roman" w:cs="Times New Roman"/>
                <w:sz w:val="20"/>
                <w:szCs w:val="20"/>
              </w:rPr>
            </w:pPr>
            <w:r>
              <w:rPr>
                <w:rFonts w:ascii="Times New Roman" w:hAnsi="Times New Roman" w:cs="Times New Roman"/>
                <w:sz w:val="20"/>
                <w:szCs w:val="20"/>
              </w:rPr>
              <w:t>$</w:t>
            </w:r>
          </w:p>
        </w:tc>
        <w:tc>
          <w:tcPr>
            <w:tcW w:w="600" w:type="pct"/>
            <w:shd w:val="clear" w:color="auto" w:fill="CCEEFF"/>
            <w:vAlign w:val="bottom"/>
            <w:hideMark/>
          </w:tcPr>
          <w:p w:rsidR="00000000" w:rsidRDefault="008E203B">
            <w:pPr>
              <w:ind w:left="114"/>
              <w:jc w:val="right"/>
              <w:rPr>
                <w:rFonts w:ascii="Times New Roman" w:hAnsi="Times New Roman" w:cs="Times New Roman"/>
                <w:sz w:val="20"/>
                <w:szCs w:val="20"/>
              </w:rPr>
            </w:pPr>
            <w:r>
              <w:rPr>
                <w:rFonts w:ascii="Times New Roman" w:hAnsi="Times New Roman" w:cs="Times New Roman"/>
                <w:sz w:val="20"/>
                <w:szCs w:val="20"/>
              </w:rPr>
              <w:t>175.2</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101679750"/>
          <w:tblCellSpacing w:w="0" w:type="dxa"/>
        </w:trPr>
        <w:tc>
          <w:tcPr>
            <w:tcW w:w="0" w:type="auto"/>
            <w:shd w:val="clear" w:color="auto" w:fill="FFFFFF"/>
            <w:vAlign w:val="bottom"/>
            <w:hideMark/>
          </w:tcPr>
          <w:p w:rsidR="00000000" w:rsidRDefault="008E203B">
            <w:pPr>
              <w:pStyle w:val="a3"/>
              <w:spacing w:before="0" w:beforeAutospacing="0" w:after="0" w:afterAutospacing="0"/>
              <w:ind w:left="228" w:hanging="114"/>
              <w:rPr>
                <w:rFonts w:ascii="Times New Roman" w:hAnsi="Times New Roman" w:cs="Times New Roman"/>
                <w:sz w:val="20"/>
                <w:szCs w:val="20"/>
              </w:rPr>
            </w:pPr>
            <w:r>
              <w:rPr>
                <w:rFonts w:ascii="Times New Roman" w:hAnsi="Times New Roman" w:cs="Times New Roman"/>
                <w:sz w:val="20"/>
                <w:szCs w:val="20"/>
              </w:rPr>
              <w:t>Kimco Income Opportunity Portfolio (“KIR”) (2)</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shd w:val="clear" w:color="auto" w:fill="FFFFFF"/>
            <w:vAlign w:val="bottom"/>
            <w:hideMark/>
          </w:tcPr>
          <w:p w:rsidR="00000000" w:rsidRDefault="008E203B">
            <w:pPr>
              <w:ind w:left="114"/>
              <w:jc w:val="center"/>
              <w:rPr>
                <w:rFonts w:ascii="Times New Roman" w:hAnsi="Times New Roman" w:cs="Times New Roman"/>
                <w:sz w:val="20"/>
                <w:szCs w:val="20"/>
              </w:rPr>
            </w:pPr>
            <w:r>
              <w:rPr>
                <w:rFonts w:ascii="Times New Roman" w:hAnsi="Times New Roman" w:cs="Times New Roman"/>
                <w:sz w:val="20"/>
                <w:szCs w:val="20"/>
              </w:rPr>
              <w:t>48.6%</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shd w:val="clear" w:color="auto" w:fill="FFFFFF"/>
            <w:vAlign w:val="bottom"/>
            <w:hideMark/>
          </w:tcPr>
          <w:p w:rsidR="00000000" w:rsidRDefault="008E203B">
            <w:pPr>
              <w:ind w:left="114"/>
              <w:jc w:val="right"/>
              <w:rPr>
                <w:rFonts w:ascii="Times New Roman" w:hAnsi="Times New Roman" w:cs="Times New Roman"/>
                <w:sz w:val="20"/>
                <w:szCs w:val="20"/>
              </w:rPr>
            </w:pPr>
            <w:r>
              <w:rPr>
                <w:rFonts w:ascii="Times New Roman" w:hAnsi="Times New Roman" w:cs="Times New Roman"/>
                <w:sz w:val="20"/>
                <w:szCs w:val="20"/>
              </w:rPr>
              <w:t>160.5</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shd w:val="clear" w:color="auto" w:fill="FFFFFF"/>
            <w:vAlign w:val="bottom"/>
            <w:hideMark/>
          </w:tcPr>
          <w:p w:rsidR="00000000" w:rsidRDefault="008E203B">
            <w:pPr>
              <w:ind w:left="114"/>
              <w:jc w:val="right"/>
              <w:rPr>
                <w:rFonts w:ascii="Times New Roman" w:hAnsi="Times New Roman" w:cs="Times New Roman"/>
                <w:sz w:val="20"/>
                <w:szCs w:val="20"/>
              </w:rPr>
            </w:pPr>
            <w:r>
              <w:rPr>
                <w:rFonts w:ascii="Times New Roman" w:hAnsi="Times New Roman" w:cs="Times New Roman"/>
                <w:sz w:val="20"/>
                <w:szCs w:val="20"/>
              </w:rPr>
              <w:t>167.2</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101679750"/>
          <w:tblCellSpacing w:w="0" w:type="dxa"/>
        </w:trPr>
        <w:tc>
          <w:tcPr>
            <w:tcW w:w="0" w:type="auto"/>
            <w:shd w:val="clear" w:color="auto" w:fill="CCEEFF"/>
            <w:vAlign w:val="bottom"/>
            <w:hideMark/>
          </w:tcPr>
          <w:p w:rsidR="00000000" w:rsidRDefault="008E203B">
            <w:pPr>
              <w:pStyle w:val="a3"/>
              <w:spacing w:before="0" w:beforeAutospacing="0" w:after="0" w:afterAutospacing="0"/>
              <w:ind w:left="228" w:hanging="114"/>
              <w:rPr>
                <w:rFonts w:ascii="Times New Roman" w:hAnsi="Times New Roman" w:cs="Times New Roman"/>
                <w:sz w:val="20"/>
                <w:szCs w:val="20"/>
              </w:rPr>
            </w:pPr>
            <w:r>
              <w:rPr>
                <w:rFonts w:ascii="Times New Roman" w:hAnsi="Times New Roman" w:cs="Times New Roman"/>
                <w:sz w:val="20"/>
                <w:szCs w:val="20"/>
              </w:rPr>
              <w:t>Canada Pension Plan Investment Board (“CPP”) (2)</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shd w:val="clear" w:color="auto" w:fill="CCEEFF"/>
            <w:vAlign w:val="bottom"/>
            <w:hideMark/>
          </w:tcPr>
          <w:p w:rsidR="00000000" w:rsidRDefault="008E203B">
            <w:pPr>
              <w:ind w:left="114"/>
              <w:jc w:val="center"/>
              <w:rPr>
                <w:rFonts w:ascii="Times New Roman" w:hAnsi="Times New Roman" w:cs="Times New Roman"/>
                <w:sz w:val="20"/>
                <w:szCs w:val="20"/>
              </w:rPr>
            </w:pPr>
            <w:r>
              <w:rPr>
                <w:rFonts w:ascii="Times New Roman" w:hAnsi="Times New Roman" w:cs="Times New Roman"/>
                <w:sz w:val="20"/>
                <w:szCs w:val="20"/>
              </w:rPr>
              <w:t>55.0%</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shd w:val="clear" w:color="auto" w:fill="CCEEFF"/>
            <w:vAlign w:val="bottom"/>
            <w:hideMark/>
          </w:tcPr>
          <w:p w:rsidR="00000000" w:rsidRDefault="008E203B">
            <w:pPr>
              <w:ind w:left="114"/>
              <w:jc w:val="right"/>
              <w:rPr>
                <w:rFonts w:ascii="Times New Roman" w:hAnsi="Times New Roman" w:cs="Times New Roman"/>
                <w:sz w:val="20"/>
                <w:szCs w:val="20"/>
              </w:rPr>
            </w:pPr>
            <w:r>
              <w:rPr>
                <w:rFonts w:ascii="Times New Roman" w:hAnsi="Times New Roman" w:cs="Times New Roman"/>
                <w:sz w:val="20"/>
                <w:szCs w:val="20"/>
              </w:rPr>
              <w:t>140.0</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shd w:val="clear" w:color="auto" w:fill="CCEEFF"/>
            <w:vAlign w:val="bottom"/>
            <w:hideMark/>
          </w:tcPr>
          <w:p w:rsidR="00000000" w:rsidRDefault="008E203B">
            <w:pPr>
              <w:ind w:left="114"/>
              <w:jc w:val="right"/>
              <w:rPr>
                <w:rFonts w:ascii="Times New Roman" w:hAnsi="Times New Roman" w:cs="Times New Roman"/>
                <w:sz w:val="20"/>
                <w:szCs w:val="20"/>
              </w:rPr>
            </w:pPr>
            <w:r>
              <w:rPr>
                <w:rFonts w:ascii="Times New Roman" w:hAnsi="Times New Roman" w:cs="Times New Roman"/>
                <w:sz w:val="20"/>
                <w:szCs w:val="20"/>
              </w:rPr>
              <w:t>135.0</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101679750"/>
          <w:tblCellSpacing w:w="0" w:type="dxa"/>
        </w:trPr>
        <w:tc>
          <w:tcPr>
            <w:tcW w:w="0" w:type="auto"/>
            <w:shd w:val="clear" w:color="auto" w:fill="FFFFFF"/>
            <w:vAlign w:val="bottom"/>
            <w:hideMark/>
          </w:tcPr>
          <w:p w:rsidR="00000000" w:rsidRDefault="008E203B">
            <w:pPr>
              <w:pStyle w:val="a3"/>
              <w:spacing w:before="0" w:beforeAutospacing="0" w:after="0" w:afterAutospacing="0"/>
              <w:ind w:left="228" w:hanging="114"/>
              <w:rPr>
                <w:rFonts w:ascii="Times New Roman" w:hAnsi="Times New Roman" w:cs="Times New Roman"/>
                <w:sz w:val="20"/>
                <w:szCs w:val="20"/>
              </w:rPr>
            </w:pPr>
            <w:r>
              <w:rPr>
                <w:rFonts w:ascii="Times New Roman" w:hAnsi="Times New Roman" w:cs="Times New Roman"/>
                <w:sz w:val="20"/>
                <w:szCs w:val="20"/>
              </w:rPr>
              <w:t>Other Joint Venture Programs</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pStyle w:val="a3"/>
              <w:spacing w:before="0" w:beforeAutospacing="0" w:after="0" w:afterAutospacing="0"/>
              <w:ind w:left="228" w:hanging="114"/>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ind w:left="114"/>
              <w:jc w:val="center"/>
              <w:rPr>
                <w:rFonts w:ascii="Times New Roman" w:hAnsi="Times New Roman" w:cs="Times New Roman"/>
                <w:sz w:val="20"/>
                <w:szCs w:val="20"/>
              </w:rPr>
            </w:pPr>
            <w:r>
              <w:rPr>
                <w:rFonts w:ascii="Times New Roman" w:hAnsi="Times New Roman" w:cs="Times New Roman"/>
                <w:sz w:val="20"/>
                <w:szCs w:val="20"/>
              </w:rPr>
              <w:t>Various</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single" w:sz="6" w:space="0" w:color="000000"/>
            </w:tcBorders>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tcBorders>
              <w:bottom w:val="single" w:sz="6" w:space="0" w:color="000000"/>
            </w:tcBorders>
            <w:shd w:val="clear" w:color="auto" w:fill="FFFFFF"/>
            <w:vAlign w:val="bottom"/>
            <w:hideMark/>
          </w:tcPr>
          <w:p w:rsidR="00000000" w:rsidRDefault="008E203B">
            <w:pPr>
              <w:ind w:left="114"/>
              <w:jc w:val="right"/>
              <w:rPr>
                <w:rFonts w:ascii="Times New Roman" w:hAnsi="Times New Roman" w:cs="Times New Roman"/>
                <w:sz w:val="20"/>
                <w:szCs w:val="20"/>
              </w:rPr>
            </w:pPr>
            <w:r>
              <w:rPr>
                <w:rFonts w:ascii="Times New Roman" w:hAnsi="Times New Roman" w:cs="Times New Roman"/>
                <w:sz w:val="20"/>
                <w:szCs w:val="20"/>
              </w:rPr>
              <w:t>91.3</w:t>
            </w:r>
          </w:p>
        </w:tc>
        <w:tc>
          <w:tcPr>
            <w:tcW w:w="50" w:type="pct"/>
            <w:shd w:val="clear" w:color="auto" w:fill="FFFFFF"/>
            <w:noWrap/>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single" w:sz="6" w:space="0" w:color="000000"/>
            </w:tcBorders>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tcBorders>
              <w:bottom w:val="single" w:sz="6" w:space="0" w:color="000000"/>
            </w:tcBorders>
            <w:shd w:val="clear" w:color="auto" w:fill="FFFFFF"/>
            <w:vAlign w:val="bottom"/>
            <w:hideMark/>
          </w:tcPr>
          <w:p w:rsidR="00000000" w:rsidRDefault="008E203B">
            <w:pPr>
              <w:ind w:left="114"/>
              <w:jc w:val="right"/>
              <w:rPr>
                <w:rFonts w:ascii="Times New Roman" w:hAnsi="Times New Roman" w:cs="Times New Roman"/>
                <w:sz w:val="20"/>
                <w:szCs w:val="20"/>
              </w:rPr>
            </w:pPr>
            <w:r>
              <w:rPr>
                <w:rFonts w:ascii="Times New Roman" w:hAnsi="Times New Roman" w:cs="Times New Roman"/>
                <w:sz w:val="20"/>
                <w:szCs w:val="20"/>
              </w:rPr>
              <w:t>93.5</w:t>
            </w:r>
          </w:p>
        </w:tc>
        <w:tc>
          <w:tcPr>
            <w:tcW w:w="50" w:type="pct"/>
            <w:shd w:val="clear" w:color="auto" w:fill="FFFFFF"/>
            <w:noWrap/>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101679750"/>
          <w:tblCellSpacing w:w="0" w:type="dxa"/>
        </w:trPr>
        <w:tc>
          <w:tcPr>
            <w:tcW w:w="0" w:type="auto"/>
            <w:shd w:val="clear" w:color="auto" w:fill="CCEEFF"/>
            <w:vAlign w:val="bottom"/>
            <w:hideMark/>
          </w:tcPr>
          <w:p w:rsidR="00000000" w:rsidRDefault="008E203B">
            <w:pPr>
              <w:pStyle w:val="a3"/>
              <w:spacing w:before="0" w:beforeAutospacing="0" w:after="0" w:afterAutospacing="0"/>
              <w:ind w:left="228" w:hanging="114"/>
              <w:rPr>
                <w:rFonts w:ascii="Times New Roman" w:hAnsi="Times New Roman" w:cs="Times New Roman"/>
                <w:sz w:val="20"/>
                <w:szCs w:val="20"/>
              </w:rPr>
            </w:pPr>
            <w:r>
              <w:rPr>
                <w:rFonts w:ascii="Times New Roman" w:hAnsi="Times New Roman" w:cs="Times New Roman"/>
                <w:b/>
                <w:bCs/>
                <w:sz w:val="20"/>
                <w:szCs w:val="20"/>
              </w:rPr>
              <w:t>Total*</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b/>
                <w:bCs/>
                <w:sz w:val="20"/>
                <w:szCs w:val="20"/>
              </w:rPr>
              <w:t> </w:t>
            </w:r>
          </w:p>
        </w:tc>
        <w:tc>
          <w:tcPr>
            <w:tcW w:w="0" w:type="auto"/>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b/>
                <w:bCs/>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b/>
                <w:bCs/>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double" w:sz="6" w:space="0" w:color="000000"/>
            </w:tcBorders>
            <w:shd w:val="clear" w:color="auto" w:fill="CCEEFF"/>
            <w:vAlign w:val="bottom"/>
            <w:hideMark/>
          </w:tcPr>
          <w:p w:rsidR="00000000" w:rsidRDefault="008E203B">
            <w:pPr>
              <w:ind w:left="114"/>
              <w:rPr>
                <w:rFonts w:ascii="Times New Roman" w:hAnsi="Times New Roman" w:cs="Times New Roman"/>
                <w:sz w:val="20"/>
                <w:szCs w:val="20"/>
              </w:rPr>
            </w:pPr>
            <w:r>
              <w:rPr>
                <w:rFonts w:ascii="Times New Roman" w:hAnsi="Times New Roman" w:cs="Times New Roman"/>
                <w:b/>
                <w:bCs/>
                <w:sz w:val="20"/>
                <w:szCs w:val="20"/>
              </w:rPr>
              <w:t>$</w:t>
            </w:r>
          </w:p>
        </w:tc>
        <w:tc>
          <w:tcPr>
            <w:tcW w:w="600" w:type="pct"/>
            <w:tcBorders>
              <w:bottom w:val="double" w:sz="6" w:space="0" w:color="000000"/>
            </w:tcBorders>
            <w:shd w:val="clear" w:color="auto" w:fill="CCEEFF"/>
            <w:vAlign w:val="bottom"/>
            <w:hideMark/>
          </w:tcPr>
          <w:p w:rsidR="00000000" w:rsidRDefault="008E203B">
            <w:pPr>
              <w:ind w:left="114"/>
              <w:jc w:val="right"/>
              <w:rPr>
                <w:rFonts w:ascii="Times New Roman" w:hAnsi="Times New Roman" w:cs="Times New Roman"/>
                <w:sz w:val="20"/>
                <w:szCs w:val="20"/>
              </w:rPr>
            </w:pPr>
            <w:r>
              <w:rPr>
                <w:rFonts w:ascii="Times New Roman" w:hAnsi="Times New Roman" w:cs="Times New Roman"/>
                <w:b/>
                <w:bCs/>
                <w:sz w:val="20"/>
                <w:szCs w:val="20"/>
              </w:rPr>
              <w:t>566.9</w:t>
            </w:r>
          </w:p>
        </w:tc>
        <w:tc>
          <w:tcPr>
            <w:tcW w:w="50" w:type="pct"/>
            <w:shd w:val="clear" w:color="auto" w:fill="CCEEFF"/>
            <w:noWrap/>
            <w:tcMar>
              <w:top w:w="0" w:type="dxa"/>
              <w:left w:w="0" w:type="dxa"/>
              <w:bottom w:w="4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double" w:sz="6" w:space="0" w:color="000000"/>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b/>
                <w:bCs/>
                <w:sz w:val="20"/>
                <w:szCs w:val="20"/>
              </w:rPr>
              <w:t>$</w:t>
            </w:r>
          </w:p>
        </w:tc>
        <w:tc>
          <w:tcPr>
            <w:tcW w:w="600" w:type="pct"/>
            <w:tcBorders>
              <w:bottom w:val="double" w:sz="6" w:space="0" w:color="000000"/>
            </w:tcBorders>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b/>
                <w:bCs/>
                <w:sz w:val="20"/>
                <w:szCs w:val="20"/>
              </w:rPr>
              <w:t>570.9</w:t>
            </w:r>
          </w:p>
        </w:tc>
        <w:tc>
          <w:tcPr>
            <w:tcW w:w="50" w:type="pct"/>
            <w:shd w:val="clear" w:color="auto" w:fill="CCEEFF"/>
            <w:noWrap/>
            <w:tcMar>
              <w:top w:w="0" w:type="dxa"/>
              <w:left w:w="0" w:type="dxa"/>
              <w:bottom w:w="4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bl>
    <w:p w:rsidR="00000000" w:rsidRDefault="008E203B">
      <w:pPr>
        <w:pStyle w:val="a3"/>
        <w:spacing w:before="0" w:beforeAutospacing="0" w:after="0" w:afterAutospacing="0"/>
        <w:jc w:val="both"/>
        <w:divId w:val="476992596"/>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ind w:left="360" w:hanging="180"/>
        <w:jc w:val="both"/>
        <w:divId w:val="476992596"/>
        <w:rPr>
          <w:rFonts w:ascii="Times New Roman" w:hAnsi="Times New Roman" w:cs="Times New Roman"/>
          <w:sz w:val="20"/>
          <w:szCs w:val="20"/>
        </w:rPr>
      </w:pPr>
      <w:r>
        <w:rPr>
          <w:rFonts w:ascii="Times New Roman" w:hAnsi="Times New Roman" w:cs="Times New Roman"/>
          <w:sz w:val="20"/>
          <w:szCs w:val="20"/>
        </w:rPr>
        <w:t>* Representing 105 property interests and 22.8 million square feet of GLA, as of March 31, 2019, and 109 property interests and 23.2 million square feet of GLA, as of December 31, 2018.</w:t>
      </w:r>
    </w:p>
    <w:p w:rsidR="00000000" w:rsidRDefault="008E203B">
      <w:pPr>
        <w:pStyle w:val="a3"/>
        <w:spacing w:before="0" w:beforeAutospacing="0" w:after="0" w:afterAutospacing="0"/>
        <w:jc w:val="both"/>
        <w:divId w:val="476992596"/>
        <w:rPr>
          <w:rFonts w:ascii="Times New Roman" w:hAnsi="Times New Roman" w:cs="Times New Roman"/>
          <w:sz w:val="20"/>
          <w:szCs w:val="20"/>
        </w:rPr>
      </w:pPr>
      <w:r>
        <w:rPr>
          <w:rFonts w:ascii="Times New Roman" w:hAnsi="Times New Roman" w:cs="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divId w:val="476992596"/>
          <w:tblCellSpacing w:w="0" w:type="dxa"/>
        </w:trPr>
        <w:tc>
          <w:tcPr>
            <w:tcW w:w="360" w:type="dxa"/>
            <w:hideMark/>
          </w:tcPr>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(1)</w:t>
            </w:r>
          </w:p>
        </w:tc>
        <w:tc>
          <w:tcPr>
            <w:tcW w:w="0" w:type="auto"/>
            <w:hideMark/>
          </w:tcPr>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Represents four separate joint ventures, with four separate acco</w:t>
            </w:r>
            <w:r>
              <w:rPr>
                <w:rFonts w:ascii="Times New Roman" w:hAnsi="Times New Roman" w:cs="Times New Roman"/>
                <w:sz w:val="20"/>
                <w:szCs w:val="20"/>
              </w:rPr>
              <w:t>unts managed by Prudential Global Investment Management (“PGIM”), three of these ventures are collectively referred to as KimPru and the remaining venture is referred to as KimPru II.</w:t>
            </w:r>
          </w:p>
        </w:tc>
      </w:tr>
    </w:tbl>
    <w:p w:rsidR="00000000" w:rsidRDefault="008E203B">
      <w:pPr>
        <w:divId w:val="476992596"/>
        <w:rPr>
          <w:rFonts w:ascii="Times New Roman" w:hAnsi="Times New Roman" w:cs="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divId w:val="476992596"/>
          <w:tblCellSpacing w:w="0" w:type="dxa"/>
        </w:trPr>
        <w:tc>
          <w:tcPr>
            <w:tcW w:w="360" w:type="dxa"/>
            <w:hideMark/>
          </w:tcPr>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(2)</w:t>
            </w:r>
          </w:p>
        </w:tc>
        <w:tc>
          <w:tcPr>
            <w:tcW w:w="0" w:type="auto"/>
            <w:hideMark/>
          </w:tcPr>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The Company manages these joint venture investments and, where app</w:t>
            </w:r>
            <w:r>
              <w:rPr>
                <w:rFonts w:ascii="Times New Roman" w:hAnsi="Times New Roman" w:cs="Times New Roman"/>
                <w:sz w:val="20"/>
                <w:szCs w:val="20"/>
              </w:rPr>
              <w:t>licable, earns property management fees, construction management fees, property acquisition and disposition fees, leasing management fees and asset management fees.</w:t>
            </w:r>
          </w:p>
        </w:tc>
      </w:tr>
    </w:tbl>
    <w:p w:rsidR="00000000" w:rsidRDefault="008E203B">
      <w:pPr>
        <w:pStyle w:val="a3"/>
        <w:spacing w:before="0" w:beforeAutospacing="0" w:after="0" w:afterAutospacing="0"/>
        <w:jc w:val="both"/>
        <w:divId w:val="476992596"/>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ind w:firstLine="360"/>
        <w:jc w:val="both"/>
        <w:divId w:val="476992596"/>
        <w:rPr>
          <w:rFonts w:ascii="Times New Roman" w:hAnsi="Times New Roman" w:cs="Times New Roman"/>
          <w:sz w:val="20"/>
          <w:szCs w:val="20"/>
        </w:rPr>
      </w:pPr>
      <w:r>
        <w:rPr>
          <w:rFonts w:ascii="Times New Roman" w:hAnsi="Times New Roman" w:cs="Times New Roman"/>
          <w:sz w:val="20"/>
          <w:szCs w:val="20"/>
        </w:rPr>
        <w:t>The table below presents the Company’s share of net income for the above investments whi</w:t>
      </w:r>
      <w:r>
        <w:rPr>
          <w:rFonts w:ascii="Times New Roman" w:hAnsi="Times New Roman" w:cs="Times New Roman"/>
          <w:sz w:val="20"/>
          <w:szCs w:val="20"/>
        </w:rPr>
        <w:t>ch is included in Equity in income of joint ventures, net on the Company’s Condensed Consolidated Statements of Income for the three months ended March 31, 2019 and 2018 (in millions):</w:t>
      </w:r>
    </w:p>
    <w:p w:rsidR="00000000" w:rsidRDefault="008E203B">
      <w:pPr>
        <w:pStyle w:val="a3"/>
        <w:spacing w:before="0" w:beforeAutospacing="0" w:after="0" w:afterAutospacing="0"/>
        <w:ind w:firstLine="360"/>
        <w:jc w:val="both"/>
        <w:divId w:val="476992596"/>
        <w:rPr>
          <w:rFonts w:ascii="Times New Roman" w:hAnsi="Times New Roman" w:cs="Times New Roman"/>
          <w:sz w:val="20"/>
          <w:szCs w:val="20"/>
        </w:rPr>
      </w:pPr>
      <w:r>
        <w:rPr>
          <w:rFonts w:ascii="Times New Roman" w:hAnsi="Times New Roman" w:cs="Times New Roman"/>
          <w:sz w:val="20"/>
          <w:szCs w:val="20"/>
        </w:rPr>
        <w:t> </w:t>
      </w:r>
    </w:p>
    <w:tbl>
      <w:tblPr>
        <w:tblW w:w="4000" w:type="pct"/>
        <w:tblCellSpacing w:w="0" w:type="dxa"/>
        <w:tblInd w:w="10" w:type="dxa"/>
        <w:tblCellMar>
          <w:left w:w="0" w:type="dxa"/>
          <w:right w:w="0" w:type="dxa"/>
        </w:tblCellMar>
        <w:tblLook w:val="04A0" w:firstRow="1" w:lastRow="0" w:firstColumn="1" w:lastColumn="0" w:noHBand="0" w:noVBand="1"/>
      </w:tblPr>
      <w:tblGrid>
        <w:gridCol w:w="4110"/>
        <w:gridCol w:w="56"/>
        <w:gridCol w:w="100"/>
        <w:gridCol w:w="1054"/>
        <w:gridCol w:w="57"/>
        <w:gridCol w:w="57"/>
        <w:gridCol w:w="100"/>
        <w:gridCol w:w="1054"/>
        <w:gridCol w:w="57"/>
      </w:tblGrid>
      <w:tr w:rsidR="00000000">
        <w:trPr>
          <w:divId w:val="1844007398"/>
          <w:tblCellSpacing w:w="0" w:type="dxa"/>
        </w:trPr>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gridSpan w:val="6"/>
            <w:tcBorders>
              <w:bottom w:val="single" w:sz="6" w:space="0" w:color="000000"/>
            </w:tcBorders>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 xml:space="preserve">Three Months Ended </w:t>
            </w:r>
          </w:p>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March 31,</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844007398"/>
          <w:tblCellSpacing w:w="0" w:type="dxa"/>
        </w:trPr>
        <w:tc>
          <w:tcPr>
            <w:tcW w:w="3100" w:type="pct"/>
            <w:tcBorders>
              <w:bottom w:val="single" w:sz="6" w:space="0" w:color="000000"/>
            </w:tcBorders>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20"/>
                <w:szCs w:val="20"/>
              </w:rPr>
              <w:t>Joint Venture</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gridSpan w:val="2"/>
            <w:tcBorders>
              <w:bottom w:val="single" w:sz="6" w:space="0" w:color="000000"/>
            </w:tcBorders>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2019</w:t>
            </w:r>
          </w:p>
        </w:tc>
        <w:tc>
          <w:tcPr>
            <w:tcW w:w="0" w:type="auto"/>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gridSpan w:val="2"/>
            <w:tcBorders>
              <w:bottom w:val="single" w:sz="6" w:space="0" w:color="000000"/>
            </w:tcBorders>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2018</w:t>
            </w:r>
          </w:p>
        </w:tc>
        <w:tc>
          <w:tcPr>
            <w:tcW w:w="0" w:type="auto"/>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844007398"/>
          <w:tblCellSpacing w:w="0" w:type="dxa"/>
        </w:trPr>
        <w:tc>
          <w:tcPr>
            <w:tcW w:w="0" w:type="auto"/>
            <w:tcBorders>
              <w:bottom w:val="nil"/>
            </w:tcBorders>
            <w:shd w:val="clear" w:color="auto" w:fill="CCEEFF"/>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KimPru and KimPru II</w:t>
            </w:r>
          </w:p>
        </w:tc>
        <w:tc>
          <w:tcPr>
            <w:tcW w:w="50" w:type="pct"/>
            <w:tcBorders>
              <w:bottom w:val="nil"/>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nil"/>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800" w:type="pct"/>
            <w:tcBorders>
              <w:bottom w:val="nil"/>
            </w:tcBorders>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2.9</w:t>
            </w:r>
          </w:p>
        </w:tc>
        <w:tc>
          <w:tcPr>
            <w:tcW w:w="50" w:type="pct"/>
            <w:tcBorders>
              <w:bottom w:val="nil"/>
            </w:tcBorders>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80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2.9</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844007398"/>
          <w:tblCellSpacing w:w="0" w:type="dxa"/>
        </w:trPr>
        <w:tc>
          <w:tcPr>
            <w:tcW w:w="0" w:type="auto"/>
            <w:shd w:val="clear" w:color="auto" w:fill="FFFFFF"/>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KIR</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80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14.5</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80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9.0</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844007398"/>
          <w:tblCellSpacing w:w="0" w:type="dxa"/>
        </w:trPr>
        <w:tc>
          <w:tcPr>
            <w:tcW w:w="0" w:type="auto"/>
            <w:shd w:val="clear" w:color="auto" w:fill="CCEEFF"/>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CPP</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80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1.4</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80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1.2</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844007398"/>
          <w:tblCellSpacing w:w="0" w:type="dxa"/>
        </w:trPr>
        <w:tc>
          <w:tcPr>
            <w:tcW w:w="0" w:type="auto"/>
            <w:shd w:val="clear" w:color="auto" w:fill="FFFFFF"/>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Other Joint Venture Programs</w:t>
            </w:r>
          </w:p>
        </w:tc>
        <w:tc>
          <w:tcPr>
            <w:tcW w:w="50" w:type="pct"/>
            <w:shd w:val="clear" w:color="auto" w:fill="FFFFFF"/>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single" w:sz="6" w:space="0" w:color="000000"/>
            </w:tcBorders>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800" w:type="pct"/>
            <w:tcBorders>
              <w:bottom w:val="single" w:sz="6" w:space="0" w:color="000000"/>
            </w:tcBorders>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FFFFFF"/>
            <w:noWrap/>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single" w:sz="6" w:space="0" w:color="000000"/>
            </w:tcBorders>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800" w:type="pct"/>
            <w:tcBorders>
              <w:bottom w:val="single" w:sz="6" w:space="0" w:color="000000"/>
            </w:tcBorders>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3.8</w:t>
            </w:r>
          </w:p>
        </w:tc>
        <w:tc>
          <w:tcPr>
            <w:tcW w:w="50" w:type="pct"/>
            <w:shd w:val="clear" w:color="auto" w:fill="FFFFFF"/>
            <w:noWrap/>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844007398"/>
          <w:tblCellSpacing w:w="0" w:type="dxa"/>
        </w:trPr>
        <w:tc>
          <w:tcPr>
            <w:tcW w:w="0" w:type="auto"/>
            <w:shd w:val="clear" w:color="auto" w:fill="CCEEFF"/>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20"/>
                <w:szCs w:val="20"/>
              </w:rPr>
              <w:t>Total</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double" w:sz="6" w:space="0" w:color="000000"/>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b/>
                <w:bCs/>
                <w:sz w:val="20"/>
                <w:szCs w:val="20"/>
              </w:rPr>
              <w:t>$</w:t>
            </w:r>
          </w:p>
        </w:tc>
        <w:tc>
          <w:tcPr>
            <w:tcW w:w="800" w:type="pct"/>
            <w:tcBorders>
              <w:bottom w:val="double" w:sz="6" w:space="0" w:color="000000"/>
            </w:tcBorders>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b/>
                <w:bCs/>
                <w:sz w:val="20"/>
                <w:szCs w:val="20"/>
              </w:rPr>
              <w:t>18.8</w:t>
            </w:r>
          </w:p>
        </w:tc>
        <w:tc>
          <w:tcPr>
            <w:tcW w:w="50" w:type="pct"/>
            <w:shd w:val="clear" w:color="auto" w:fill="CCEEFF"/>
            <w:noWrap/>
            <w:tcMar>
              <w:top w:w="0" w:type="dxa"/>
              <w:left w:w="0" w:type="dxa"/>
              <w:bottom w:w="4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double" w:sz="6" w:space="0" w:color="000000"/>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b/>
                <w:bCs/>
                <w:sz w:val="20"/>
                <w:szCs w:val="20"/>
              </w:rPr>
              <w:t>$</w:t>
            </w:r>
          </w:p>
        </w:tc>
        <w:tc>
          <w:tcPr>
            <w:tcW w:w="800" w:type="pct"/>
            <w:tcBorders>
              <w:bottom w:val="double" w:sz="6" w:space="0" w:color="000000"/>
            </w:tcBorders>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b/>
                <w:bCs/>
                <w:sz w:val="20"/>
                <w:szCs w:val="20"/>
              </w:rPr>
              <w:t>16.9</w:t>
            </w:r>
          </w:p>
        </w:tc>
        <w:tc>
          <w:tcPr>
            <w:tcW w:w="50" w:type="pct"/>
            <w:shd w:val="clear" w:color="auto" w:fill="CCEEFF"/>
            <w:noWrap/>
            <w:tcMar>
              <w:top w:w="0" w:type="dxa"/>
              <w:left w:w="0" w:type="dxa"/>
              <w:bottom w:w="4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bl>
    <w:p w:rsidR="00000000" w:rsidRDefault="008E203B">
      <w:pPr>
        <w:pStyle w:val="a3"/>
        <w:spacing w:before="0" w:beforeAutospacing="0" w:after="0" w:afterAutospacing="0"/>
        <w:jc w:val="both"/>
        <w:divId w:val="476992596"/>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ind w:firstLine="360"/>
        <w:jc w:val="both"/>
        <w:divId w:val="476992596"/>
        <w:rPr>
          <w:rFonts w:ascii="Times New Roman" w:hAnsi="Times New Roman" w:cs="Times New Roman"/>
          <w:sz w:val="20"/>
          <w:szCs w:val="20"/>
        </w:rPr>
      </w:pPr>
      <w:r>
        <w:rPr>
          <w:rFonts w:ascii="Times New Roman" w:hAnsi="Times New Roman" w:cs="Times New Roman"/>
          <w:sz w:val="20"/>
          <w:szCs w:val="20"/>
        </w:rPr>
        <w:t>During the three months ended March 31, 2019, certain of the Company’s real estate joint ventures disposed of four operating properties, in separate transactions, for an aggregate sales price of $54.5 million. These transactions resulted in an aggregate ne</w:t>
      </w:r>
      <w:r>
        <w:rPr>
          <w:rFonts w:ascii="Times New Roman" w:hAnsi="Times New Roman" w:cs="Times New Roman"/>
          <w:sz w:val="20"/>
          <w:szCs w:val="20"/>
        </w:rPr>
        <w:t>t gain to the Company of $3.4 million for the three months ended March 31, 2019.</w:t>
      </w:r>
    </w:p>
    <w:p w:rsidR="00000000" w:rsidRDefault="008E203B">
      <w:pPr>
        <w:pStyle w:val="a3"/>
        <w:spacing w:before="0" w:beforeAutospacing="0" w:after="0" w:afterAutospacing="0"/>
        <w:ind w:firstLine="360"/>
        <w:jc w:val="both"/>
        <w:divId w:val="476992596"/>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ind w:firstLine="360"/>
        <w:jc w:val="both"/>
        <w:divId w:val="476992596"/>
        <w:rPr>
          <w:rFonts w:ascii="Times New Roman" w:hAnsi="Times New Roman" w:cs="Times New Roman"/>
          <w:sz w:val="20"/>
          <w:szCs w:val="20"/>
        </w:rPr>
      </w:pPr>
      <w:r>
        <w:rPr>
          <w:rFonts w:ascii="Times New Roman" w:hAnsi="Times New Roman" w:cs="Times New Roman"/>
          <w:sz w:val="20"/>
          <w:szCs w:val="20"/>
        </w:rPr>
        <w:t>During the three months ended March 31, 2018, certain of the Company’</w:t>
      </w:r>
      <w:r>
        <w:rPr>
          <w:rFonts w:ascii="Times New Roman" w:hAnsi="Times New Roman" w:cs="Times New Roman"/>
          <w:sz w:val="20"/>
          <w:szCs w:val="20"/>
        </w:rPr>
        <w:t>s real estate joint ventures disposed of two operating properties, in separate transactions, for an aggregate sales price of $17.1 million. These transactions resulted in an aggregate net gain to the Company of $2.1 million, before income taxes, for the th</w:t>
      </w:r>
      <w:r>
        <w:rPr>
          <w:rFonts w:ascii="Times New Roman" w:hAnsi="Times New Roman" w:cs="Times New Roman"/>
          <w:sz w:val="20"/>
          <w:szCs w:val="20"/>
        </w:rPr>
        <w:t>ree months ended March 31, 2018.</w:t>
      </w:r>
    </w:p>
    <w:p w:rsidR="00000000" w:rsidRDefault="008E203B">
      <w:pPr>
        <w:pStyle w:val="a3"/>
        <w:spacing w:before="0" w:beforeAutospacing="0" w:after="0" w:afterAutospacing="0"/>
        <w:ind w:firstLine="360"/>
        <w:jc w:val="both"/>
        <w:divId w:val="476992596"/>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ind w:firstLine="360"/>
        <w:jc w:val="both"/>
        <w:divId w:val="476992596"/>
        <w:rPr>
          <w:rFonts w:ascii="Times New Roman" w:hAnsi="Times New Roman" w:cs="Times New Roman"/>
          <w:sz w:val="20"/>
          <w:szCs w:val="20"/>
        </w:rPr>
      </w:pPr>
      <w:r>
        <w:rPr>
          <w:rFonts w:ascii="Times New Roman" w:hAnsi="Times New Roman" w:cs="Times New Roman"/>
          <w:sz w:val="20"/>
          <w:szCs w:val="20"/>
        </w:rPr>
        <w:t>The table below presents debt balances within the Company’s unconsolidated joint venture investments for which the Company held noncontrolling ownership interests at March 31, 2019 and December 31, 2018 (dollars in millio</w:t>
      </w:r>
      <w:r>
        <w:rPr>
          <w:rFonts w:ascii="Times New Roman" w:hAnsi="Times New Roman" w:cs="Times New Roman"/>
          <w:sz w:val="20"/>
          <w:szCs w:val="20"/>
        </w:rPr>
        <w:t>ns):</w:t>
      </w:r>
    </w:p>
    <w:p w:rsidR="00000000" w:rsidRDefault="008E203B">
      <w:pPr>
        <w:pStyle w:val="a3"/>
        <w:spacing w:before="0" w:beforeAutospacing="0" w:after="0" w:afterAutospacing="0"/>
        <w:ind w:firstLine="810"/>
        <w:jc w:val="both"/>
        <w:divId w:val="476992596"/>
        <w:rPr>
          <w:rFonts w:ascii="Times New Roman" w:hAnsi="Times New Roman" w:cs="Times New Roman"/>
          <w:sz w:val="20"/>
          <w:szCs w:val="20"/>
        </w:rPr>
      </w:pPr>
      <w:r>
        <w:rPr>
          <w:rFonts w:ascii="Times New Roman" w:hAnsi="Times New Roman" w:cs="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57"/>
        <w:gridCol w:w="50"/>
        <w:gridCol w:w="161"/>
        <w:gridCol w:w="1445"/>
        <w:gridCol w:w="50"/>
        <w:gridCol w:w="50"/>
        <w:gridCol w:w="83"/>
        <w:gridCol w:w="740"/>
        <w:gridCol w:w="167"/>
        <w:gridCol w:w="50"/>
        <w:gridCol w:w="140"/>
        <w:gridCol w:w="1255"/>
        <w:gridCol w:w="50"/>
        <w:gridCol w:w="50"/>
        <w:gridCol w:w="161"/>
        <w:gridCol w:w="1445"/>
        <w:gridCol w:w="50"/>
        <w:gridCol w:w="50"/>
        <w:gridCol w:w="83"/>
        <w:gridCol w:w="740"/>
        <w:gridCol w:w="167"/>
        <w:gridCol w:w="50"/>
        <w:gridCol w:w="140"/>
        <w:gridCol w:w="1255"/>
        <w:gridCol w:w="50"/>
      </w:tblGrid>
      <w:tr w:rsidR="00000000">
        <w:trPr>
          <w:divId w:val="244387061"/>
          <w:tblCellSpacing w:w="0" w:type="dxa"/>
        </w:trPr>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gridSpan w:val="10"/>
            <w:tcBorders>
              <w:bottom w:val="single" w:sz="6" w:space="0" w:color="000000"/>
            </w:tcBorders>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As of March 31, 2019</w:t>
            </w:r>
          </w:p>
        </w:tc>
        <w:tc>
          <w:tcPr>
            <w:tcW w:w="0" w:type="auto"/>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gridSpan w:val="10"/>
            <w:tcBorders>
              <w:bottom w:val="single" w:sz="6" w:space="0" w:color="000000"/>
            </w:tcBorders>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As of December 31, 2018</w:t>
            </w:r>
          </w:p>
        </w:tc>
        <w:tc>
          <w:tcPr>
            <w:tcW w:w="0" w:type="auto"/>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244387061"/>
          <w:tblCellSpacing w:w="0" w:type="dxa"/>
        </w:trPr>
        <w:tc>
          <w:tcPr>
            <w:tcW w:w="1400" w:type="pct"/>
            <w:tcBorders>
              <w:bottom w:val="single" w:sz="6" w:space="0" w:color="000000"/>
            </w:tcBorders>
            <w:vAlign w:val="bottom"/>
            <w:hideMark/>
          </w:tcPr>
          <w:p w:rsidR="00000000" w:rsidRDefault="008E203B">
            <w:pPr>
              <w:pStyle w:val="a3"/>
              <w:spacing w:before="0" w:beforeAutospacing="0" w:after="0" w:afterAutospacing="0"/>
              <w:ind w:left="90"/>
              <w:rPr>
                <w:rFonts w:ascii="Times New Roman" w:hAnsi="Times New Roman" w:cs="Times New Roman"/>
                <w:sz w:val="20"/>
                <w:szCs w:val="20"/>
              </w:rPr>
            </w:pPr>
            <w:r>
              <w:rPr>
                <w:rFonts w:ascii="Times New Roman" w:hAnsi="Times New Roman" w:cs="Times New Roman"/>
                <w:b/>
                <w:bCs/>
                <w:sz w:val="20"/>
                <w:szCs w:val="20"/>
              </w:rPr>
              <w:t>Joint Venture</w:t>
            </w:r>
          </w:p>
        </w:tc>
        <w:tc>
          <w:tcPr>
            <w:tcW w:w="0" w:type="auto"/>
            <w:tcBorders>
              <w:bottom w:val="single" w:sz="6" w:space="0" w:color="000000"/>
            </w:tcBorders>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pct"/>
            <w:gridSpan w:val="2"/>
            <w:tcBorders>
              <w:bottom w:val="single" w:sz="6" w:space="0" w:color="000000"/>
            </w:tcBorders>
            <w:noWrap/>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Mortgages and</w:t>
            </w:r>
          </w:p>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Notes Payable, Net</w:t>
            </w:r>
          </w:p>
        </w:tc>
        <w:tc>
          <w:tcPr>
            <w:tcW w:w="0" w:type="auto"/>
            <w:tcBorders>
              <w:bottom w:val="single" w:sz="6" w:space="0" w:color="000000"/>
            </w:tcBorders>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tcBorders>
              <w:bottom w:val="single" w:sz="6" w:space="0" w:color="000000"/>
            </w:tcBorders>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gridSpan w:val="2"/>
            <w:tcBorders>
              <w:bottom w:val="single" w:sz="6" w:space="0" w:color="000000"/>
            </w:tcBorders>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Weighted</w:t>
            </w:r>
          </w:p>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Average</w:t>
            </w:r>
          </w:p>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Interest Rate</w:t>
            </w:r>
          </w:p>
        </w:tc>
        <w:tc>
          <w:tcPr>
            <w:tcW w:w="0" w:type="auto"/>
            <w:tcBorders>
              <w:bottom w:val="single" w:sz="6" w:space="0" w:color="000000"/>
            </w:tcBorders>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tcBorders>
              <w:bottom w:val="single" w:sz="6" w:space="0" w:color="000000"/>
            </w:tcBorders>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pct"/>
            <w:gridSpan w:val="2"/>
            <w:tcBorders>
              <w:bottom w:val="single" w:sz="6" w:space="0" w:color="000000"/>
            </w:tcBorders>
            <w:noWrap/>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Weighted</w:t>
            </w:r>
          </w:p>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 xml:space="preserve">Average </w:t>
            </w:r>
          </w:p>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Remaining</w:t>
            </w:r>
          </w:p>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Term (months)*</w:t>
            </w:r>
          </w:p>
        </w:tc>
        <w:tc>
          <w:tcPr>
            <w:tcW w:w="0" w:type="auto"/>
            <w:tcBorders>
              <w:bottom w:val="single" w:sz="6" w:space="0" w:color="000000"/>
            </w:tcBorders>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tcBorders>
              <w:bottom w:val="single" w:sz="6" w:space="0" w:color="000000"/>
            </w:tcBorders>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pct"/>
            <w:gridSpan w:val="2"/>
            <w:tcBorders>
              <w:bottom w:val="single" w:sz="6" w:space="0" w:color="000000"/>
            </w:tcBorders>
            <w:noWrap/>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Mortgages and</w:t>
            </w:r>
          </w:p>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Notes Payable, Net</w:t>
            </w:r>
          </w:p>
        </w:tc>
        <w:tc>
          <w:tcPr>
            <w:tcW w:w="0" w:type="auto"/>
            <w:tcBorders>
              <w:bottom w:val="single" w:sz="6" w:space="0" w:color="000000"/>
            </w:tcBorders>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tcBorders>
              <w:bottom w:val="single" w:sz="6" w:space="0" w:color="000000"/>
            </w:tcBorders>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gridSpan w:val="2"/>
            <w:tcBorders>
              <w:bottom w:val="single" w:sz="6" w:space="0" w:color="000000"/>
            </w:tcBorders>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Weighted</w:t>
            </w:r>
          </w:p>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Average</w:t>
            </w:r>
          </w:p>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Interest Rate</w:t>
            </w:r>
          </w:p>
        </w:tc>
        <w:tc>
          <w:tcPr>
            <w:tcW w:w="0" w:type="auto"/>
            <w:tcBorders>
              <w:bottom w:val="single" w:sz="6" w:space="0" w:color="000000"/>
            </w:tcBorders>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tcBorders>
              <w:bottom w:val="single" w:sz="6" w:space="0" w:color="000000"/>
            </w:tcBorders>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pct"/>
            <w:gridSpan w:val="2"/>
            <w:tcBorders>
              <w:bottom w:val="single" w:sz="6" w:space="0" w:color="000000"/>
            </w:tcBorders>
            <w:noWrap/>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Weighted</w:t>
            </w:r>
          </w:p>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Average</w:t>
            </w:r>
          </w:p>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Remaining</w:t>
            </w:r>
          </w:p>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Term (months)*</w:t>
            </w:r>
          </w:p>
        </w:tc>
        <w:tc>
          <w:tcPr>
            <w:tcW w:w="0" w:type="auto"/>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244387061"/>
          <w:tblCellSpacing w:w="0" w:type="dxa"/>
        </w:trPr>
        <w:tc>
          <w:tcPr>
            <w:tcW w:w="0" w:type="auto"/>
            <w:tcBorders>
              <w:bottom w:val="nil"/>
            </w:tcBorders>
            <w:shd w:val="clear" w:color="auto" w:fill="CCEEFF"/>
            <w:vAlign w:val="bottom"/>
            <w:hideMark/>
          </w:tcPr>
          <w:p w:rsidR="00000000" w:rsidRDefault="008E203B">
            <w:pPr>
              <w:pStyle w:val="a3"/>
              <w:spacing w:before="0" w:beforeAutospacing="0" w:after="0" w:afterAutospacing="0"/>
              <w:ind w:left="90"/>
              <w:rPr>
                <w:rFonts w:ascii="Times New Roman" w:hAnsi="Times New Roman" w:cs="Times New Roman"/>
                <w:sz w:val="20"/>
                <w:szCs w:val="20"/>
              </w:rPr>
            </w:pPr>
            <w:r>
              <w:rPr>
                <w:rFonts w:ascii="Times New Roman" w:hAnsi="Times New Roman" w:cs="Times New Roman"/>
                <w:sz w:val="20"/>
                <w:szCs w:val="20"/>
              </w:rPr>
              <w:t>KimPru and KimPru II</w:t>
            </w:r>
          </w:p>
        </w:tc>
        <w:tc>
          <w:tcPr>
            <w:tcW w:w="50" w:type="pct"/>
            <w:tcBorders>
              <w:bottom w:val="nil"/>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nil"/>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450" w:type="pct"/>
            <w:tcBorders>
              <w:bottom w:val="nil"/>
            </w:tcBorders>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571.3</w:t>
            </w:r>
          </w:p>
        </w:tc>
        <w:tc>
          <w:tcPr>
            <w:tcW w:w="50" w:type="pct"/>
            <w:tcBorders>
              <w:bottom w:val="nil"/>
            </w:tcBorders>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nil"/>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nil"/>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450" w:type="pct"/>
            <w:tcBorders>
              <w:bottom w:val="nil"/>
            </w:tcBorders>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4.28</w:t>
            </w:r>
          </w:p>
        </w:tc>
        <w:tc>
          <w:tcPr>
            <w:tcW w:w="50" w:type="pct"/>
            <w:tcBorders>
              <w:bottom w:val="nil"/>
            </w:tcBorders>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50" w:type="pct"/>
            <w:tcBorders>
              <w:bottom w:val="nil"/>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nil"/>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450" w:type="pct"/>
            <w:tcBorders>
              <w:bottom w:val="nil"/>
            </w:tcBorders>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46.0</w:t>
            </w:r>
          </w:p>
        </w:tc>
        <w:tc>
          <w:tcPr>
            <w:tcW w:w="50" w:type="pct"/>
            <w:tcBorders>
              <w:bottom w:val="nil"/>
            </w:tcBorders>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nil"/>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nil"/>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450" w:type="pct"/>
            <w:tcBorders>
              <w:bottom w:val="nil"/>
            </w:tcBorders>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572.6</w:t>
            </w:r>
          </w:p>
        </w:tc>
        <w:tc>
          <w:tcPr>
            <w:tcW w:w="50" w:type="pct"/>
            <w:tcBorders>
              <w:bottom w:val="nil"/>
            </w:tcBorders>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nil"/>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nil"/>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450" w:type="pct"/>
            <w:tcBorders>
              <w:bottom w:val="nil"/>
            </w:tcBorders>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4.29</w:t>
            </w:r>
          </w:p>
        </w:tc>
        <w:tc>
          <w:tcPr>
            <w:tcW w:w="50" w:type="pct"/>
            <w:tcBorders>
              <w:bottom w:val="nil"/>
            </w:tcBorders>
            <w:shd w:val="clear" w:color="auto" w:fill="CCEEFF"/>
            <w:noWrap/>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0" w:type="pct"/>
            <w:tcBorders>
              <w:bottom w:val="nil"/>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nil"/>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450" w:type="pct"/>
            <w:tcBorders>
              <w:bottom w:val="nil"/>
            </w:tcBorders>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49.0</w:t>
            </w:r>
          </w:p>
        </w:tc>
        <w:tc>
          <w:tcPr>
            <w:tcW w:w="50" w:type="pct"/>
            <w:tcBorders>
              <w:bottom w:val="nil"/>
            </w:tcBorders>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244387061"/>
          <w:tblCellSpacing w:w="0" w:type="dxa"/>
        </w:trPr>
        <w:tc>
          <w:tcPr>
            <w:tcW w:w="0" w:type="auto"/>
            <w:shd w:val="clear" w:color="auto" w:fill="FFFFFF"/>
            <w:vAlign w:val="bottom"/>
            <w:hideMark/>
          </w:tcPr>
          <w:p w:rsidR="00000000" w:rsidRDefault="008E203B">
            <w:pPr>
              <w:pStyle w:val="a3"/>
              <w:spacing w:before="0" w:beforeAutospacing="0" w:after="0" w:afterAutospacing="0"/>
              <w:ind w:left="90"/>
              <w:rPr>
                <w:rFonts w:ascii="Times New Roman" w:hAnsi="Times New Roman" w:cs="Times New Roman"/>
                <w:sz w:val="20"/>
                <w:szCs w:val="20"/>
              </w:rPr>
            </w:pPr>
            <w:r>
              <w:rPr>
                <w:rFonts w:ascii="Times New Roman" w:hAnsi="Times New Roman" w:cs="Times New Roman"/>
                <w:sz w:val="20"/>
                <w:szCs w:val="20"/>
              </w:rPr>
              <w:t>KIR</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45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638.2</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45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4.45</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45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37.4</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45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651.4</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45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4.43</w:t>
            </w:r>
          </w:p>
        </w:tc>
        <w:tc>
          <w:tcPr>
            <w:tcW w:w="50" w:type="pct"/>
            <w:shd w:val="clear" w:color="auto" w:fill="FFFFFF"/>
            <w:noWrap/>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45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40.4</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244387061"/>
          <w:tblCellSpacing w:w="0" w:type="dxa"/>
        </w:trPr>
        <w:tc>
          <w:tcPr>
            <w:tcW w:w="0" w:type="auto"/>
            <w:shd w:val="clear" w:color="auto" w:fill="CCEEFF"/>
            <w:vAlign w:val="bottom"/>
            <w:hideMark/>
          </w:tcPr>
          <w:p w:rsidR="00000000" w:rsidRDefault="008E203B">
            <w:pPr>
              <w:pStyle w:val="a3"/>
              <w:spacing w:before="0" w:beforeAutospacing="0" w:after="0" w:afterAutospacing="0"/>
              <w:ind w:left="90"/>
              <w:rPr>
                <w:rFonts w:ascii="Times New Roman" w:hAnsi="Times New Roman" w:cs="Times New Roman"/>
                <w:sz w:val="20"/>
                <w:szCs w:val="20"/>
              </w:rPr>
            </w:pPr>
            <w:r>
              <w:rPr>
                <w:rFonts w:ascii="Times New Roman" w:hAnsi="Times New Roman" w:cs="Times New Roman"/>
                <w:sz w:val="20"/>
                <w:szCs w:val="20"/>
              </w:rPr>
              <w:t>CPP</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45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84.6</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45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4.04</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45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51.1</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45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84.4</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45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3.85</w:t>
            </w:r>
          </w:p>
        </w:tc>
        <w:tc>
          <w:tcPr>
            <w:tcW w:w="50" w:type="pct"/>
            <w:shd w:val="clear" w:color="auto" w:fill="CCEEFF"/>
            <w:noWrap/>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45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54.0</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244387061"/>
          <w:tblCellSpacing w:w="0" w:type="dxa"/>
        </w:trPr>
        <w:tc>
          <w:tcPr>
            <w:tcW w:w="0" w:type="auto"/>
            <w:shd w:val="clear" w:color="auto" w:fill="FFFFFF"/>
            <w:vAlign w:val="bottom"/>
            <w:hideMark/>
          </w:tcPr>
          <w:p w:rsidR="00000000" w:rsidRDefault="008E203B">
            <w:pPr>
              <w:pStyle w:val="a3"/>
              <w:spacing w:before="0" w:beforeAutospacing="0" w:after="0" w:afterAutospacing="0"/>
              <w:ind w:left="90"/>
              <w:rPr>
                <w:rFonts w:ascii="Times New Roman" w:hAnsi="Times New Roman" w:cs="Times New Roman"/>
                <w:sz w:val="20"/>
                <w:szCs w:val="20"/>
              </w:rPr>
            </w:pPr>
            <w:r>
              <w:rPr>
                <w:rFonts w:ascii="Times New Roman" w:hAnsi="Times New Roman" w:cs="Times New Roman"/>
                <w:sz w:val="20"/>
                <w:szCs w:val="20"/>
              </w:rPr>
              <w:t>Other Joint Venture Programs</w:t>
            </w:r>
          </w:p>
        </w:tc>
        <w:tc>
          <w:tcPr>
            <w:tcW w:w="50" w:type="pct"/>
            <w:shd w:val="clear" w:color="auto" w:fill="FFFFFF"/>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single" w:sz="6" w:space="0" w:color="000000"/>
            </w:tcBorders>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450" w:type="pct"/>
            <w:tcBorders>
              <w:bottom w:val="single" w:sz="6" w:space="0" w:color="000000"/>
            </w:tcBorders>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452.5</w:t>
            </w:r>
          </w:p>
        </w:tc>
        <w:tc>
          <w:tcPr>
            <w:tcW w:w="50" w:type="pct"/>
            <w:shd w:val="clear" w:color="auto" w:fill="FFFFFF"/>
            <w:noWrap/>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45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4.22</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45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77.5</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single" w:sz="6" w:space="0" w:color="000000"/>
            </w:tcBorders>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450" w:type="pct"/>
            <w:tcBorders>
              <w:bottom w:val="single" w:sz="6" w:space="0" w:color="000000"/>
            </w:tcBorders>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474.2</w:t>
            </w:r>
          </w:p>
        </w:tc>
        <w:tc>
          <w:tcPr>
            <w:tcW w:w="50" w:type="pct"/>
            <w:shd w:val="clear" w:color="auto" w:fill="FFFFFF"/>
            <w:noWrap/>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45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4.26</w:t>
            </w:r>
          </w:p>
        </w:tc>
        <w:tc>
          <w:tcPr>
            <w:tcW w:w="50" w:type="pct"/>
            <w:shd w:val="clear" w:color="auto" w:fill="FFFFFF"/>
            <w:noWrap/>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45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78.6</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244387061"/>
          <w:tblCellSpacing w:w="0" w:type="dxa"/>
        </w:trPr>
        <w:tc>
          <w:tcPr>
            <w:tcW w:w="0" w:type="auto"/>
            <w:shd w:val="clear" w:color="auto" w:fill="CCEEFF"/>
            <w:vAlign w:val="bottom"/>
            <w:hideMark/>
          </w:tcPr>
          <w:p w:rsidR="00000000" w:rsidRDefault="008E203B">
            <w:pPr>
              <w:pStyle w:val="a3"/>
              <w:spacing w:before="0" w:beforeAutospacing="0" w:after="0" w:afterAutospacing="0"/>
              <w:ind w:left="90"/>
              <w:rPr>
                <w:rFonts w:ascii="Times New Roman" w:hAnsi="Times New Roman" w:cs="Times New Roman"/>
                <w:sz w:val="20"/>
                <w:szCs w:val="20"/>
              </w:rPr>
            </w:pPr>
            <w:r>
              <w:rPr>
                <w:rFonts w:ascii="Times New Roman" w:hAnsi="Times New Roman" w:cs="Times New Roman"/>
                <w:b/>
                <w:bCs/>
                <w:sz w:val="20"/>
                <w:szCs w:val="20"/>
              </w:rPr>
              <w:t>Total</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double" w:sz="6" w:space="0" w:color="000000"/>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b/>
                <w:bCs/>
                <w:sz w:val="20"/>
                <w:szCs w:val="20"/>
              </w:rPr>
              <w:t>$</w:t>
            </w:r>
          </w:p>
        </w:tc>
        <w:tc>
          <w:tcPr>
            <w:tcW w:w="450" w:type="pct"/>
            <w:tcBorders>
              <w:bottom w:val="double" w:sz="6" w:space="0" w:color="000000"/>
            </w:tcBorders>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b/>
                <w:bCs/>
                <w:sz w:val="20"/>
                <w:szCs w:val="20"/>
              </w:rPr>
              <w:t xml:space="preserve">1,746.6 </w:t>
            </w:r>
          </w:p>
        </w:tc>
        <w:tc>
          <w:tcPr>
            <w:tcW w:w="50" w:type="pct"/>
            <w:shd w:val="clear" w:color="auto" w:fill="CCEEFF"/>
            <w:noWrap/>
            <w:tcMar>
              <w:top w:w="0" w:type="dxa"/>
              <w:left w:w="0" w:type="dxa"/>
              <w:bottom w:w="4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b/>
                <w:bCs/>
                <w:sz w:val="20"/>
                <w:szCs w:val="20"/>
              </w:rPr>
              <w:t> </w:t>
            </w:r>
          </w:p>
        </w:tc>
        <w:tc>
          <w:tcPr>
            <w:tcW w:w="0" w:type="auto"/>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b/>
                <w:bCs/>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b/>
                <w:bCs/>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b/>
                <w:bCs/>
                <w:sz w:val="20"/>
                <w:szCs w:val="20"/>
              </w:rPr>
              <w:t> </w:t>
            </w:r>
          </w:p>
        </w:tc>
        <w:tc>
          <w:tcPr>
            <w:tcW w:w="0" w:type="auto"/>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b/>
                <w:bCs/>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b/>
                <w:bCs/>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double" w:sz="6" w:space="0" w:color="000000"/>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b/>
                <w:bCs/>
                <w:sz w:val="20"/>
                <w:szCs w:val="20"/>
              </w:rPr>
              <w:t>$</w:t>
            </w:r>
          </w:p>
        </w:tc>
        <w:tc>
          <w:tcPr>
            <w:tcW w:w="450" w:type="pct"/>
            <w:tcBorders>
              <w:bottom w:val="double" w:sz="6" w:space="0" w:color="000000"/>
            </w:tcBorders>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b/>
                <w:bCs/>
                <w:sz w:val="20"/>
                <w:szCs w:val="20"/>
              </w:rPr>
              <w:t>1,782.6</w:t>
            </w:r>
          </w:p>
        </w:tc>
        <w:tc>
          <w:tcPr>
            <w:tcW w:w="50" w:type="pct"/>
            <w:shd w:val="clear" w:color="auto" w:fill="CCEEFF"/>
            <w:noWrap/>
            <w:tcMar>
              <w:top w:w="0" w:type="dxa"/>
              <w:left w:w="0" w:type="dxa"/>
              <w:bottom w:w="4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b/>
                <w:bCs/>
                <w:sz w:val="20"/>
                <w:szCs w:val="20"/>
              </w:rPr>
              <w:t> </w:t>
            </w:r>
          </w:p>
        </w:tc>
        <w:tc>
          <w:tcPr>
            <w:tcW w:w="0" w:type="auto"/>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b/>
                <w:bCs/>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b/>
                <w:bCs/>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b/>
                <w:bCs/>
                <w:sz w:val="20"/>
                <w:szCs w:val="20"/>
              </w:rPr>
              <w:t> </w:t>
            </w:r>
          </w:p>
        </w:tc>
        <w:tc>
          <w:tcPr>
            <w:tcW w:w="0" w:type="auto"/>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b/>
                <w:bCs/>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b/>
                <w:bCs/>
                <w:sz w:val="20"/>
                <w:szCs w:val="20"/>
              </w:rPr>
              <w:t> </w:t>
            </w:r>
          </w:p>
        </w:tc>
      </w:tr>
    </w:tbl>
    <w:p w:rsidR="00000000" w:rsidRDefault="008E203B">
      <w:pPr>
        <w:pStyle w:val="a3"/>
        <w:spacing w:before="0" w:beforeAutospacing="0" w:after="0" w:afterAutospacing="0"/>
        <w:jc w:val="both"/>
        <w:divId w:val="476992596"/>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jc w:val="both"/>
        <w:divId w:val="476992596"/>
        <w:rPr>
          <w:rFonts w:ascii="Times New Roman" w:hAnsi="Times New Roman" w:cs="Times New Roman"/>
          <w:sz w:val="20"/>
          <w:szCs w:val="20"/>
        </w:rPr>
      </w:pPr>
      <w:r>
        <w:rPr>
          <w:rFonts w:ascii="Times New Roman" w:hAnsi="Times New Roman" w:cs="Times New Roman"/>
          <w:sz w:val="20"/>
          <w:szCs w:val="20"/>
        </w:rPr>
        <w:t>* Includes extension options</w:t>
      </w:r>
    </w:p>
    <w:p w:rsidR="00000000" w:rsidRDefault="008E203B">
      <w:pPr>
        <w:pStyle w:val="a3"/>
        <w:spacing w:before="0" w:beforeAutospacing="0" w:after="0" w:afterAutospacing="0"/>
        <w:jc w:val="both"/>
        <w:divId w:val="476992596"/>
        <w:rPr>
          <w:rFonts w:ascii="Times New Roman" w:hAnsi="Times New Roman" w:cs="Times New Roman"/>
          <w:sz w:val="20"/>
          <w:szCs w:val="20"/>
        </w:rPr>
      </w:pPr>
      <w:r>
        <w:rPr>
          <w:rFonts w:ascii="Times New Roman" w:hAnsi="Times New Roman" w:cs="Times New Roman"/>
          <w:sz w:val="20"/>
          <w:szCs w:val="20"/>
        </w:rPr>
        <w:t> </w:t>
      </w:r>
    </w:p>
    <w:p w:rsidR="00000000" w:rsidRDefault="008E203B">
      <w:pPr>
        <w:jc w:val="center"/>
        <w:divId w:val="346828210"/>
        <w:rPr>
          <w:rFonts w:ascii="Times New Roman" w:hAnsi="Times New Roman" w:cs="Times New Roman"/>
          <w:sz w:val="20"/>
          <w:szCs w:val="20"/>
        </w:rPr>
      </w:pPr>
      <w:r>
        <w:rPr>
          <w:rFonts w:ascii="Times New Roman" w:hAnsi="Times New Roman" w:cs="Times New Roman"/>
          <w:sz w:val="20"/>
          <w:szCs w:val="20"/>
        </w:rPr>
        <w:t>14</w:t>
      </w:r>
    </w:p>
    <w:p w:rsidR="00000000" w:rsidRDefault="008E203B">
      <w:pPr>
        <w:divId w:val="346828210"/>
        <w:rPr>
          <w:rFonts w:ascii="Times New Roman" w:hAnsi="Times New Roman" w:cs="Times New Roman"/>
          <w:sz w:val="20"/>
          <w:szCs w:val="20"/>
        </w:rPr>
      </w:pPr>
      <w:r>
        <w:rPr>
          <w:rFonts w:ascii="Times New Roman" w:hAnsi="Times New Roman" w:cs="Times New Roman"/>
          <w:sz w:val="20"/>
          <w:szCs w:val="20"/>
        </w:rPr>
        <w:pict>
          <v:rect id="_x0000_i1042" style="width:415.3pt;height:1.5pt" o:hralign="center" o:hrstd="t" o:hrnoshade="t" o:hr="t" fillcolor="black" stroked="f"/>
        </w:pict>
      </w:r>
    </w:p>
    <w:p w:rsidR="00000000" w:rsidRDefault="008E203B">
      <w:pPr>
        <w:divId w:val="346828210"/>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8E203B">
      <w:pPr>
        <w:pStyle w:val="a3"/>
        <w:spacing w:before="0" w:beforeAutospacing="0" w:after="0" w:afterAutospacing="0"/>
        <w:divId w:val="476992596"/>
        <w:rPr>
          <w:rFonts w:ascii="Times New Roman" w:hAnsi="Times New Roman" w:cs="Times New Roman"/>
          <w:sz w:val="20"/>
          <w:szCs w:val="20"/>
        </w:rPr>
      </w:pPr>
      <w:r>
        <w:rPr>
          <w:rFonts w:ascii="Times New Roman" w:hAnsi="Times New Roman" w:cs="Times New Roman"/>
          <w:sz w:val="20"/>
          <w:szCs w:val="20"/>
        </w:rPr>
        <w:t> </w:t>
      </w:r>
    </w:p>
    <w:p w:rsidR="00000000" w:rsidRDefault="008E203B">
      <w:pPr>
        <w:divId w:val="979502406"/>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jc w:val="both"/>
        <w:divId w:val="1292204778"/>
        <w:rPr>
          <w:rFonts w:ascii="Times New Roman" w:hAnsi="Times New Roman" w:cs="Times New Roman"/>
          <w:sz w:val="20"/>
          <w:szCs w:val="20"/>
        </w:rPr>
      </w:pPr>
      <w:r>
        <w:rPr>
          <w:rFonts w:ascii="Times New Roman" w:hAnsi="Times New Roman" w:cs="Times New Roman"/>
          <w:sz w:val="20"/>
          <w:szCs w:val="20"/>
        </w:rPr>
        <w:t xml:space="preserve">6. </w:t>
      </w:r>
      <w:r>
        <w:rPr>
          <w:rFonts w:ascii="Times New Roman" w:hAnsi="Times New Roman" w:cs="Times New Roman"/>
          <w:sz w:val="20"/>
          <w:szCs w:val="20"/>
          <w:u w:val="single"/>
        </w:rPr>
        <w:t>Other Real Estate Investments</w:t>
      </w:r>
    </w:p>
    <w:p w:rsidR="00000000" w:rsidRDefault="008E203B">
      <w:pPr>
        <w:pStyle w:val="a3"/>
        <w:spacing w:before="0" w:beforeAutospacing="0" w:after="0" w:afterAutospacing="0"/>
        <w:jc w:val="both"/>
        <w:divId w:val="1292204778"/>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ind w:firstLine="360"/>
        <w:jc w:val="both"/>
        <w:divId w:val="1292204778"/>
        <w:rPr>
          <w:rFonts w:ascii="Times New Roman" w:hAnsi="Times New Roman" w:cs="Times New Roman"/>
          <w:sz w:val="20"/>
          <w:szCs w:val="20"/>
        </w:rPr>
      </w:pPr>
      <w:r>
        <w:rPr>
          <w:rFonts w:ascii="Times New Roman" w:hAnsi="Times New Roman" w:cs="Times New Roman"/>
          <w:sz w:val="20"/>
          <w:szCs w:val="20"/>
        </w:rPr>
        <w:t xml:space="preserve">The Company has provided capital to owners and developers of real estate properties through its Preferred Equity Program. The Company’s maximum exposure to losses associated with its preferred equity investments is primarily limited to its net investment. </w:t>
      </w:r>
      <w:r>
        <w:rPr>
          <w:rFonts w:ascii="Times New Roman" w:hAnsi="Times New Roman" w:cs="Times New Roman"/>
          <w:sz w:val="20"/>
          <w:szCs w:val="20"/>
        </w:rPr>
        <w:t>As of March 31, 2019, the Company’s net investment under the Preferred Equity Program was $186.6 million relating to 285 properties, including 273 net leased properties.  During the three months ended March 31, 2019, the Company recognized income of $6.5 m</w:t>
      </w:r>
      <w:r>
        <w:rPr>
          <w:rFonts w:ascii="Times New Roman" w:hAnsi="Times New Roman" w:cs="Times New Roman"/>
          <w:sz w:val="20"/>
          <w:szCs w:val="20"/>
        </w:rPr>
        <w:t>illion from its preferred equity investments, including $1.0 million in profit participation earned from a capital transaction. During the three months ended March 31, 2018, the Company recognized income of $10.0 million from its preferred equity investmen</w:t>
      </w:r>
      <w:r>
        <w:rPr>
          <w:rFonts w:ascii="Times New Roman" w:hAnsi="Times New Roman" w:cs="Times New Roman"/>
          <w:sz w:val="20"/>
          <w:szCs w:val="20"/>
        </w:rPr>
        <w:t>ts, including $4.7 million in profit participation earned from two capital transactions. These amounts are included in Equity in income of other real estate investments, net on the Company’s Condensed Consolidated Statements of Income.</w:t>
      </w:r>
    </w:p>
    <w:p w:rsidR="00000000" w:rsidRDefault="008E203B">
      <w:pPr>
        <w:pStyle w:val="a3"/>
        <w:spacing w:before="0" w:beforeAutospacing="0" w:after="0" w:afterAutospacing="0"/>
        <w:ind w:firstLine="360"/>
        <w:jc w:val="both"/>
        <w:divId w:val="1292204778"/>
        <w:rPr>
          <w:rFonts w:ascii="Times New Roman" w:hAnsi="Times New Roman" w:cs="Times New Roman"/>
          <w:sz w:val="20"/>
          <w:szCs w:val="20"/>
        </w:rPr>
      </w:pPr>
      <w:r>
        <w:rPr>
          <w:rFonts w:ascii="Times New Roman" w:hAnsi="Times New Roman" w:cs="Times New Roman"/>
          <w:sz w:val="20"/>
          <w:szCs w:val="20"/>
        </w:rPr>
        <w:t> </w:t>
      </w:r>
    </w:p>
    <w:p w:rsidR="00000000" w:rsidRDefault="008E203B">
      <w:pPr>
        <w:divId w:val="503473612"/>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jc w:val="both"/>
        <w:divId w:val="496577121"/>
        <w:rPr>
          <w:rFonts w:ascii="Times New Roman" w:hAnsi="Times New Roman" w:cs="Times New Roman"/>
          <w:sz w:val="20"/>
          <w:szCs w:val="20"/>
        </w:rPr>
      </w:pPr>
      <w:r>
        <w:rPr>
          <w:rFonts w:ascii="Times New Roman" w:hAnsi="Times New Roman" w:cs="Times New Roman"/>
          <w:sz w:val="20"/>
          <w:szCs w:val="20"/>
        </w:rPr>
        <w:t xml:space="preserve">7. </w:t>
      </w:r>
      <w:r>
        <w:rPr>
          <w:rFonts w:ascii="Times New Roman" w:hAnsi="Times New Roman" w:cs="Times New Roman"/>
          <w:sz w:val="20"/>
          <w:szCs w:val="20"/>
          <w:u w:val="single"/>
        </w:rPr>
        <w:t>Leases</w:t>
      </w:r>
    </w:p>
    <w:p w:rsidR="00000000" w:rsidRDefault="008E203B">
      <w:pPr>
        <w:pStyle w:val="a3"/>
        <w:spacing w:before="0" w:beforeAutospacing="0" w:after="0" w:afterAutospacing="0"/>
        <w:jc w:val="both"/>
        <w:divId w:val="496577121"/>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ind w:firstLine="360"/>
        <w:jc w:val="both"/>
        <w:divId w:val="496577121"/>
        <w:rPr>
          <w:rFonts w:ascii="Times New Roman" w:hAnsi="Times New Roman" w:cs="Times New Roman"/>
          <w:sz w:val="20"/>
          <w:szCs w:val="20"/>
        </w:rPr>
      </w:pPr>
      <w:r>
        <w:rPr>
          <w:rFonts w:ascii="Times New Roman" w:hAnsi="Times New Roman" w:cs="Times New Roman"/>
          <w:sz w:val="20"/>
          <w:szCs w:val="20"/>
        </w:rPr>
        <w:t xml:space="preserve">The </w:t>
      </w:r>
      <w:r>
        <w:rPr>
          <w:rFonts w:ascii="Times New Roman" w:hAnsi="Times New Roman" w:cs="Times New Roman"/>
          <w:sz w:val="20"/>
          <w:szCs w:val="20"/>
        </w:rPr>
        <w:t xml:space="preserve">Company adopted Topic 842, on January 1, 2019, and in connection with the adoption the Company recorded a ROU asset of $106.0 million and a corresponding lease liability of $98.7 million (see Footnote 2 to the Notes to the Company’s Condensed Consolidated </w:t>
      </w:r>
      <w:r>
        <w:rPr>
          <w:rFonts w:ascii="Times New Roman" w:hAnsi="Times New Roman" w:cs="Times New Roman"/>
          <w:sz w:val="20"/>
          <w:szCs w:val="20"/>
        </w:rPr>
        <w:t>Financial Statements for further discussion on the adoption of Topic 842). As the lessee, the Company currently leases real estate space under noncancelable operating lease agreements for ground leases and administrative office leases. The Company’s leases</w:t>
      </w:r>
      <w:r>
        <w:rPr>
          <w:rFonts w:ascii="Times New Roman" w:hAnsi="Times New Roman" w:cs="Times New Roman"/>
          <w:sz w:val="20"/>
          <w:szCs w:val="20"/>
        </w:rPr>
        <w:t xml:space="preserve"> have remaining lease terms ranging from less than one year to 53 years, some of which include options to extend the terms for up to an additional 75 years. The Company does not include any of its renewal options in its lease terms for calculating its leas</w:t>
      </w:r>
      <w:r>
        <w:rPr>
          <w:rFonts w:ascii="Times New Roman" w:hAnsi="Times New Roman" w:cs="Times New Roman"/>
          <w:sz w:val="20"/>
          <w:szCs w:val="20"/>
        </w:rPr>
        <w:t>e liability as the renewal options allow the Company to maintain operational flexibility and it is not reasonably certain it will exercise these renewal options at this time. The weighted-average remaining non-cancelable lease term for the Company’s operat</w:t>
      </w:r>
      <w:r>
        <w:rPr>
          <w:rFonts w:ascii="Times New Roman" w:hAnsi="Times New Roman" w:cs="Times New Roman"/>
          <w:sz w:val="20"/>
          <w:szCs w:val="20"/>
        </w:rPr>
        <w:t>ing leases was 21.1 years at March 31, 2019. The weighted-average discount rate was 6.59% at March 31, 2019. The Company’s operating lease liabilities are determined based on the estimated present value of the Company’s minimum lease payments under its lea</w:t>
      </w:r>
      <w:r>
        <w:rPr>
          <w:rFonts w:ascii="Times New Roman" w:hAnsi="Times New Roman" w:cs="Times New Roman"/>
          <w:sz w:val="20"/>
          <w:szCs w:val="20"/>
        </w:rPr>
        <w:t>se agreements. The discount rate used to determine the lease liabilities is based on the estimated incremental borrowing rate on a lease by lease basis. When calculating the incremental borrowing rates, the Company utilized data from (i) its recent debt is</w:t>
      </w:r>
      <w:r>
        <w:rPr>
          <w:rFonts w:ascii="Times New Roman" w:hAnsi="Times New Roman" w:cs="Times New Roman"/>
          <w:sz w:val="20"/>
          <w:szCs w:val="20"/>
        </w:rPr>
        <w:t>suances, (ii) publicly available data for instruments with similar characteristics, (iii) observable mortgage rates and (iv) unlevered property yields and discount rates. The Company then applied adjustments to account for considerations related to term an</w:t>
      </w:r>
      <w:r>
        <w:rPr>
          <w:rFonts w:ascii="Times New Roman" w:hAnsi="Times New Roman" w:cs="Times New Roman"/>
          <w:sz w:val="20"/>
          <w:szCs w:val="20"/>
        </w:rPr>
        <w:t>d security that may not be fully incorporated by the data sets.</w:t>
      </w:r>
    </w:p>
    <w:p w:rsidR="00000000" w:rsidRDefault="008E203B">
      <w:pPr>
        <w:pStyle w:val="a3"/>
        <w:spacing w:before="0" w:beforeAutospacing="0" w:after="0" w:afterAutospacing="0"/>
        <w:ind w:firstLine="360"/>
        <w:jc w:val="both"/>
        <w:divId w:val="496577121"/>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ind w:firstLine="360"/>
        <w:jc w:val="both"/>
        <w:divId w:val="496577121"/>
        <w:rPr>
          <w:rFonts w:ascii="Times New Roman" w:hAnsi="Times New Roman" w:cs="Times New Roman"/>
          <w:sz w:val="20"/>
          <w:szCs w:val="20"/>
        </w:rPr>
      </w:pPr>
      <w:r>
        <w:rPr>
          <w:rFonts w:ascii="Times New Roman" w:hAnsi="Times New Roman" w:cs="Times New Roman"/>
          <w:sz w:val="20"/>
          <w:szCs w:val="20"/>
        </w:rPr>
        <w:t>The components of the Company’s lease expense, which are included in rent expense and general and administrative expense on the Company’s Condensed Consolidated Statements of Income, were as</w:t>
      </w:r>
      <w:r>
        <w:rPr>
          <w:rFonts w:ascii="Times New Roman" w:hAnsi="Times New Roman" w:cs="Times New Roman"/>
          <w:sz w:val="20"/>
          <w:szCs w:val="20"/>
        </w:rPr>
        <w:t xml:space="preserve"> follows (in thousands):</w:t>
      </w:r>
    </w:p>
    <w:p w:rsidR="00000000" w:rsidRDefault="008E203B">
      <w:pPr>
        <w:pStyle w:val="a3"/>
        <w:spacing w:before="0" w:beforeAutospacing="0" w:after="0" w:afterAutospacing="0"/>
        <w:ind w:firstLine="360"/>
        <w:jc w:val="both"/>
        <w:divId w:val="496577121"/>
        <w:rPr>
          <w:rFonts w:ascii="Times New Roman" w:hAnsi="Times New Roman" w:cs="Times New Roman"/>
          <w:sz w:val="20"/>
          <w:szCs w:val="20"/>
        </w:rPr>
      </w:pPr>
      <w:r>
        <w:rPr>
          <w:rFonts w:ascii="Times New Roman" w:hAnsi="Times New Roman" w:cs="Times New Roman"/>
          <w:sz w:val="20"/>
          <w:szCs w:val="20"/>
        </w:rPr>
        <w:t> </w:t>
      </w:r>
    </w:p>
    <w:tbl>
      <w:tblPr>
        <w:tblW w:w="4000" w:type="pct"/>
        <w:tblCellSpacing w:w="0" w:type="dxa"/>
        <w:tblInd w:w="10" w:type="dxa"/>
        <w:tblCellMar>
          <w:left w:w="0" w:type="dxa"/>
          <w:right w:w="0" w:type="dxa"/>
        </w:tblCellMar>
        <w:tblLook w:val="04A0" w:firstRow="1" w:lastRow="0" w:firstColumn="1" w:lastColumn="0" w:noHBand="0" w:noVBand="1"/>
      </w:tblPr>
      <w:tblGrid>
        <w:gridCol w:w="4722"/>
        <w:gridCol w:w="50"/>
        <w:gridCol w:w="108"/>
        <w:gridCol w:w="1715"/>
        <w:gridCol w:w="50"/>
      </w:tblGrid>
      <w:tr w:rsidR="00000000">
        <w:trPr>
          <w:divId w:val="136192100"/>
          <w:tblCellSpacing w:w="0" w:type="dxa"/>
        </w:trPr>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pct"/>
            <w:gridSpan w:val="2"/>
            <w:tcBorders>
              <w:bottom w:val="single" w:sz="6" w:space="0" w:color="000000"/>
            </w:tcBorders>
            <w:noWrap/>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Three Months Ended</w:t>
            </w:r>
          </w:p>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March 31, 2019</w:t>
            </w:r>
          </w:p>
        </w:tc>
        <w:tc>
          <w:tcPr>
            <w:tcW w:w="0" w:type="auto"/>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36192100"/>
          <w:tblCellSpacing w:w="0" w:type="dxa"/>
        </w:trPr>
        <w:tc>
          <w:tcPr>
            <w:tcW w:w="4050" w:type="pct"/>
            <w:shd w:val="clear" w:color="auto" w:fill="CCEEFF"/>
            <w:vAlign w:val="bottom"/>
            <w:hideMark/>
          </w:tcPr>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Lease cost:</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jc w:val="both"/>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36192100"/>
          <w:tblCellSpacing w:w="0" w:type="dxa"/>
        </w:trPr>
        <w:tc>
          <w:tcPr>
            <w:tcW w:w="0" w:type="auto"/>
            <w:shd w:val="clear" w:color="auto" w:fill="FFFFFF"/>
            <w:vAlign w:val="bottom"/>
            <w:hideMark/>
          </w:tcPr>
          <w:p w:rsidR="00000000" w:rsidRDefault="008E203B">
            <w:pPr>
              <w:pStyle w:val="a3"/>
              <w:spacing w:before="0" w:beforeAutospacing="0" w:after="0" w:afterAutospacing="0"/>
              <w:ind w:left="330"/>
              <w:jc w:val="both"/>
              <w:rPr>
                <w:rFonts w:ascii="Times New Roman" w:hAnsi="Times New Roman" w:cs="Times New Roman"/>
                <w:sz w:val="20"/>
                <w:szCs w:val="20"/>
              </w:rPr>
            </w:pPr>
            <w:r>
              <w:rPr>
                <w:rFonts w:ascii="Times New Roman" w:hAnsi="Times New Roman" w:cs="Times New Roman"/>
                <w:sz w:val="20"/>
                <w:szCs w:val="20"/>
              </w:rPr>
              <w:t>Operating lease cost</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80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3,328</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36192100"/>
          <w:tblCellSpacing w:w="0" w:type="dxa"/>
        </w:trPr>
        <w:tc>
          <w:tcPr>
            <w:tcW w:w="0" w:type="auto"/>
            <w:shd w:val="clear" w:color="auto" w:fill="CCEEFF"/>
            <w:vAlign w:val="bottom"/>
            <w:hideMark/>
          </w:tcPr>
          <w:p w:rsidR="00000000" w:rsidRDefault="008E203B">
            <w:pPr>
              <w:pStyle w:val="a3"/>
              <w:spacing w:before="0" w:beforeAutospacing="0" w:after="0" w:afterAutospacing="0"/>
              <w:ind w:left="330"/>
              <w:jc w:val="both"/>
              <w:rPr>
                <w:rFonts w:ascii="Times New Roman" w:hAnsi="Times New Roman" w:cs="Times New Roman"/>
                <w:sz w:val="20"/>
                <w:szCs w:val="20"/>
              </w:rPr>
            </w:pPr>
            <w:r>
              <w:rPr>
                <w:rFonts w:ascii="Times New Roman" w:hAnsi="Times New Roman" w:cs="Times New Roman"/>
                <w:sz w:val="20"/>
                <w:szCs w:val="20"/>
              </w:rPr>
              <w:t>Variable lease cost</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single" w:sz="6" w:space="0" w:color="000000"/>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800" w:type="pct"/>
            <w:tcBorders>
              <w:bottom w:val="single" w:sz="6" w:space="0" w:color="000000"/>
            </w:tcBorders>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269</w:t>
            </w:r>
          </w:p>
        </w:tc>
        <w:tc>
          <w:tcPr>
            <w:tcW w:w="50" w:type="pct"/>
            <w:shd w:val="clear" w:color="auto" w:fill="CCEEFF"/>
            <w:noWrap/>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36192100"/>
          <w:tblCellSpacing w:w="0" w:type="dxa"/>
        </w:trPr>
        <w:tc>
          <w:tcPr>
            <w:tcW w:w="0" w:type="auto"/>
            <w:shd w:val="clear" w:color="auto" w:fill="FFFFFF"/>
            <w:vAlign w:val="bottom"/>
            <w:hideMark/>
          </w:tcPr>
          <w:p w:rsidR="00000000" w:rsidRDefault="008E203B">
            <w:pPr>
              <w:pStyle w:val="a3"/>
              <w:spacing w:before="0" w:beforeAutospacing="0" w:after="0" w:afterAutospacing="0"/>
              <w:ind w:left="690"/>
              <w:jc w:val="both"/>
              <w:rPr>
                <w:rFonts w:ascii="Times New Roman" w:hAnsi="Times New Roman" w:cs="Times New Roman"/>
                <w:sz w:val="20"/>
                <w:szCs w:val="20"/>
              </w:rPr>
            </w:pPr>
            <w:r>
              <w:rPr>
                <w:rFonts w:ascii="Times New Roman" w:hAnsi="Times New Roman" w:cs="Times New Roman"/>
                <w:sz w:val="20"/>
                <w:szCs w:val="20"/>
              </w:rPr>
              <w:t>Total lease cost</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double" w:sz="6" w:space="0" w:color="000000"/>
            </w:tcBorders>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800" w:type="pct"/>
            <w:tcBorders>
              <w:bottom w:val="double" w:sz="6" w:space="0" w:color="000000"/>
            </w:tcBorders>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3,597</w:t>
            </w:r>
          </w:p>
        </w:tc>
        <w:tc>
          <w:tcPr>
            <w:tcW w:w="50" w:type="pct"/>
            <w:shd w:val="clear" w:color="auto" w:fill="FFFFFF"/>
            <w:noWrap/>
            <w:tcMar>
              <w:top w:w="0" w:type="dxa"/>
              <w:left w:w="0" w:type="dxa"/>
              <w:bottom w:w="4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bl>
    <w:p w:rsidR="00000000" w:rsidRDefault="008E203B">
      <w:pPr>
        <w:pStyle w:val="a3"/>
        <w:spacing w:before="0" w:beforeAutospacing="0" w:after="0" w:afterAutospacing="0"/>
        <w:ind w:firstLine="360"/>
        <w:jc w:val="both"/>
        <w:divId w:val="496577121"/>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ind w:firstLine="360"/>
        <w:jc w:val="both"/>
        <w:divId w:val="496577121"/>
        <w:rPr>
          <w:rFonts w:ascii="Times New Roman" w:hAnsi="Times New Roman" w:cs="Times New Roman"/>
          <w:sz w:val="20"/>
          <w:szCs w:val="20"/>
        </w:rPr>
      </w:pPr>
      <w:r>
        <w:rPr>
          <w:rFonts w:ascii="Times New Roman" w:hAnsi="Times New Roman" w:cs="Times New Roman"/>
          <w:sz w:val="20"/>
          <w:szCs w:val="20"/>
        </w:rPr>
        <w:t>The future minimum lease payments to be paid under noncancelable operating leases in effect at March 31, 2019 and December 31, 2018, are as follows (in thousands):</w:t>
      </w:r>
    </w:p>
    <w:p w:rsidR="00000000" w:rsidRDefault="008E203B">
      <w:pPr>
        <w:pStyle w:val="a3"/>
        <w:spacing w:before="0" w:beforeAutospacing="0" w:after="0" w:afterAutospacing="0"/>
        <w:jc w:val="both"/>
        <w:divId w:val="496577121"/>
        <w:rPr>
          <w:rFonts w:ascii="Times New Roman" w:hAnsi="Times New Roman" w:cs="Times New Roman"/>
          <w:sz w:val="20"/>
          <w:szCs w:val="20"/>
        </w:rPr>
      </w:pPr>
      <w:r>
        <w:rPr>
          <w:rFonts w:ascii="Times New Roman" w:hAnsi="Times New Roman" w:cs="Times New Roman"/>
          <w:sz w:val="20"/>
          <w:szCs w:val="20"/>
        </w:rPr>
        <w:t> </w:t>
      </w:r>
    </w:p>
    <w:tbl>
      <w:tblPr>
        <w:tblW w:w="10845" w:type="dxa"/>
        <w:tblCellSpacing w:w="0" w:type="dxa"/>
        <w:tblInd w:w="7" w:type="dxa"/>
        <w:tblCellMar>
          <w:left w:w="0" w:type="dxa"/>
          <w:right w:w="0" w:type="dxa"/>
        </w:tblCellMar>
        <w:tblLook w:val="04A0" w:firstRow="1" w:lastRow="0" w:firstColumn="1" w:lastColumn="0" w:noHBand="0" w:noVBand="1"/>
      </w:tblPr>
      <w:tblGrid>
        <w:gridCol w:w="3802"/>
        <w:gridCol w:w="336"/>
        <w:gridCol w:w="223"/>
        <w:gridCol w:w="3019"/>
        <w:gridCol w:w="223"/>
        <w:gridCol w:w="223"/>
        <w:gridCol w:w="3019"/>
      </w:tblGrid>
      <w:tr w:rsidR="00000000">
        <w:trPr>
          <w:divId w:val="611939526"/>
          <w:tblCellSpacing w:w="0" w:type="dxa"/>
        </w:trPr>
        <w:tc>
          <w:tcPr>
            <w:tcW w:w="1700" w:type="pct"/>
            <w:tcBorders>
              <w:bottom w:val="single" w:sz="6" w:space="0" w:color="000000"/>
            </w:tcBorders>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Year Ending December 31,</w:t>
            </w:r>
          </w:p>
        </w:tc>
        <w:tc>
          <w:tcPr>
            <w:tcW w:w="150" w:type="pct"/>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100" w:type="pct"/>
            <w:tcBorders>
              <w:bottom w:val="single" w:sz="6" w:space="0" w:color="000000"/>
            </w:tcBorders>
            <w:noWrap/>
            <w:vAlign w:val="bottom"/>
            <w:hideMark/>
          </w:tcPr>
          <w:p w:rsidR="00000000" w:rsidRDefault="008E203B">
            <w:pPr>
              <w:jc w:val="center"/>
              <w:rPr>
                <w:rFonts w:ascii="Times New Roman" w:hAnsi="Times New Roman" w:cs="Times New Roman"/>
                <w:sz w:val="20"/>
                <w:szCs w:val="20"/>
              </w:rPr>
            </w:pPr>
            <w:r>
              <w:rPr>
                <w:rFonts w:ascii="Times New Roman" w:hAnsi="Times New Roman" w:cs="Times New Roman"/>
                <w:sz w:val="20"/>
                <w:szCs w:val="20"/>
              </w:rPr>
              <w:t> </w:t>
            </w:r>
          </w:p>
        </w:tc>
        <w:tc>
          <w:tcPr>
            <w:tcW w:w="1350" w:type="pct"/>
            <w:tcBorders>
              <w:bottom w:val="single" w:sz="6" w:space="0" w:color="000000"/>
            </w:tcBorders>
            <w:noWrap/>
            <w:vAlign w:val="bottom"/>
            <w:hideMark/>
          </w:tcPr>
          <w:p w:rsidR="00000000" w:rsidRDefault="008E203B">
            <w:pPr>
              <w:jc w:val="center"/>
              <w:rPr>
                <w:rFonts w:ascii="Times New Roman" w:hAnsi="Times New Roman" w:cs="Times New Roman"/>
                <w:sz w:val="20"/>
                <w:szCs w:val="20"/>
              </w:rPr>
            </w:pPr>
            <w:r>
              <w:rPr>
                <w:rFonts w:ascii="Times New Roman" w:hAnsi="Times New Roman" w:cs="Times New Roman"/>
                <w:b/>
                <w:bCs/>
                <w:sz w:val="20"/>
                <w:szCs w:val="20"/>
              </w:rPr>
              <w:t>As of March 31, 2019</w:t>
            </w:r>
          </w:p>
        </w:tc>
        <w:tc>
          <w:tcPr>
            <w:tcW w:w="100" w:type="pct"/>
            <w:tcMar>
              <w:top w:w="0" w:type="dxa"/>
              <w:left w:w="0" w:type="dxa"/>
              <w:bottom w:w="15" w:type="dxa"/>
              <w:right w:w="0" w:type="dxa"/>
            </w:tcMar>
            <w:vAlign w:val="bottom"/>
            <w:hideMark/>
          </w:tcPr>
          <w:p w:rsidR="00000000" w:rsidRDefault="008E203B">
            <w:pPr>
              <w:jc w:val="center"/>
              <w:rPr>
                <w:rFonts w:ascii="Times New Roman" w:hAnsi="Times New Roman" w:cs="Times New Roman"/>
                <w:sz w:val="20"/>
                <w:szCs w:val="20"/>
              </w:rPr>
            </w:pPr>
            <w:r>
              <w:rPr>
                <w:rFonts w:ascii="Times New Roman" w:hAnsi="Times New Roman" w:cs="Times New Roman"/>
                <w:sz w:val="20"/>
                <w:szCs w:val="20"/>
              </w:rPr>
              <w:t> </w:t>
            </w:r>
          </w:p>
        </w:tc>
        <w:tc>
          <w:tcPr>
            <w:tcW w:w="100" w:type="pct"/>
            <w:tcBorders>
              <w:bottom w:val="single" w:sz="6" w:space="0" w:color="000000"/>
            </w:tcBorders>
            <w:tcMar>
              <w:top w:w="0" w:type="dxa"/>
              <w:left w:w="0" w:type="dxa"/>
              <w:bottom w:w="15" w:type="dxa"/>
              <w:right w:w="0" w:type="dxa"/>
            </w:tcMar>
            <w:vAlign w:val="bottom"/>
            <w:hideMark/>
          </w:tcPr>
          <w:p w:rsidR="00000000" w:rsidRDefault="008E203B">
            <w:pPr>
              <w:jc w:val="center"/>
              <w:rPr>
                <w:rFonts w:ascii="Times New Roman" w:hAnsi="Times New Roman" w:cs="Times New Roman"/>
                <w:sz w:val="20"/>
                <w:szCs w:val="20"/>
              </w:rPr>
            </w:pPr>
            <w:r>
              <w:rPr>
                <w:rFonts w:ascii="Times New Roman" w:hAnsi="Times New Roman" w:cs="Times New Roman"/>
                <w:sz w:val="20"/>
                <w:szCs w:val="20"/>
              </w:rPr>
              <w:t> </w:t>
            </w:r>
          </w:p>
        </w:tc>
        <w:tc>
          <w:tcPr>
            <w:tcW w:w="1350" w:type="pct"/>
            <w:tcBorders>
              <w:bottom w:val="single" w:sz="6" w:space="0" w:color="000000"/>
            </w:tcBorders>
            <w:tcMar>
              <w:top w:w="0" w:type="dxa"/>
              <w:left w:w="0" w:type="dxa"/>
              <w:bottom w:w="15" w:type="dxa"/>
              <w:right w:w="0" w:type="dxa"/>
            </w:tcMar>
            <w:vAlign w:val="bottom"/>
            <w:hideMark/>
          </w:tcPr>
          <w:p w:rsidR="00000000" w:rsidRDefault="008E203B">
            <w:pPr>
              <w:jc w:val="center"/>
              <w:rPr>
                <w:rFonts w:ascii="Times New Roman" w:hAnsi="Times New Roman" w:cs="Times New Roman"/>
                <w:sz w:val="20"/>
                <w:szCs w:val="20"/>
              </w:rPr>
            </w:pPr>
            <w:r>
              <w:rPr>
                <w:rFonts w:ascii="Times New Roman" w:hAnsi="Times New Roman" w:cs="Times New Roman"/>
                <w:b/>
                <w:bCs/>
                <w:sz w:val="20"/>
                <w:szCs w:val="20"/>
              </w:rPr>
              <w:t>As of December 31, 2018</w:t>
            </w:r>
          </w:p>
        </w:tc>
      </w:tr>
      <w:tr w:rsidR="00000000">
        <w:trPr>
          <w:divId w:val="611939526"/>
          <w:tblCellSpacing w:w="0" w:type="dxa"/>
        </w:trPr>
        <w:tc>
          <w:tcPr>
            <w:tcW w:w="1700" w:type="pct"/>
            <w:tcBorders>
              <w:bottom w:val="nil"/>
            </w:tcBorders>
            <w:shd w:val="clear" w:color="auto" w:fill="CCEEFF"/>
            <w:vAlign w:val="bottom"/>
            <w:hideMark/>
          </w:tcPr>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2019</w:t>
            </w:r>
          </w:p>
        </w:tc>
        <w:tc>
          <w:tcPr>
            <w:tcW w:w="150" w:type="pct"/>
            <w:tcBorders>
              <w:bottom w:val="nil"/>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100" w:type="pct"/>
            <w:tcBorders>
              <w:bottom w:val="nil"/>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1350" w:type="pct"/>
            <w:tcBorders>
              <w:bottom w:val="nil"/>
            </w:tcBorders>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9,677</w:t>
            </w:r>
          </w:p>
        </w:tc>
        <w:tc>
          <w:tcPr>
            <w:tcW w:w="100" w:type="pct"/>
            <w:tcBorders>
              <w:bottom w:val="nil"/>
            </w:tcBorders>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100" w:type="pct"/>
            <w:tcBorders>
              <w:bottom w:val="nil"/>
            </w:tcBorders>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1350" w:type="pct"/>
            <w:tcBorders>
              <w:bottom w:val="nil"/>
            </w:tcBorders>
            <w:shd w:val="clear" w:color="auto" w:fill="CCEEFF"/>
            <w:noWrap/>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12,206</w:t>
            </w:r>
          </w:p>
        </w:tc>
      </w:tr>
      <w:tr w:rsidR="00000000">
        <w:trPr>
          <w:divId w:val="611939526"/>
          <w:tblCellSpacing w:w="0" w:type="dxa"/>
        </w:trPr>
        <w:tc>
          <w:tcPr>
            <w:tcW w:w="1700" w:type="pct"/>
            <w:shd w:val="clear" w:color="auto" w:fill="FFFFFF"/>
            <w:vAlign w:val="bottom"/>
            <w:hideMark/>
          </w:tcPr>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2020</w:t>
            </w:r>
          </w:p>
        </w:tc>
        <w:tc>
          <w:tcPr>
            <w:tcW w:w="1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10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135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10,868</w:t>
            </w:r>
          </w:p>
        </w:tc>
        <w:tc>
          <w:tcPr>
            <w:tcW w:w="10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10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1350" w:type="pct"/>
            <w:shd w:val="clear" w:color="auto" w:fill="FFFFFF"/>
            <w:noWrap/>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9,901</w:t>
            </w:r>
          </w:p>
        </w:tc>
      </w:tr>
      <w:tr w:rsidR="00000000">
        <w:trPr>
          <w:divId w:val="611939526"/>
          <w:tblCellSpacing w:w="0" w:type="dxa"/>
        </w:trPr>
        <w:tc>
          <w:tcPr>
            <w:tcW w:w="1700" w:type="pct"/>
            <w:shd w:val="clear" w:color="auto" w:fill="CCEEFF"/>
            <w:vAlign w:val="bottom"/>
            <w:hideMark/>
          </w:tcPr>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2021</w:t>
            </w:r>
          </w:p>
        </w:tc>
        <w:tc>
          <w:tcPr>
            <w:tcW w:w="1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10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135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10,436</w:t>
            </w:r>
          </w:p>
        </w:tc>
        <w:tc>
          <w:tcPr>
            <w:tcW w:w="10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10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1350" w:type="pct"/>
            <w:shd w:val="clear" w:color="auto" w:fill="CCEEFF"/>
            <w:noWrap/>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9,716</w:t>
            </w:r>
          </w:p>
        </w:tc>
      </w:tr>
      <w:tr w:rsidR="00000000">
        <w:trPr>
          <w:divId w:val="611939526"/>
          <w:tblCellSpacing w:w="0" w:type="dxa"/>
        </w:trPr>
        <w:tc>
          <w:tcPr>
            <w:tcW w:w="1700" w:type="pct"/>
            <w:shd w:val="clear" w:color="auto" w:fill="FFFFFF"/>
            <w:vAlign w:val="bottom"/>
            <w:hideMark/>
          </w:tcPr>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2022</w:t>
            </w:r>
          </w:p>
        </w:tc>
        <w:tc>
          <w:tcPr>
            <w:tcW w:w="1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10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135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9,968</w:t>
            </w:r>
          </w:p>
        </w:tc>
        <w:tc>
          <w:tcPr>
            <w:tcW w:w="10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10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1350" w:type="pct"/>
            <w:shd w:val="clear" w:color="auto" w:fill="FFFFFF"/>
            <w:noWrap/>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9,236</w:t>
            </w:r>
          </w:p>
        </w:tc>
      </w:tr>
      <w:tr w:rsidR="00000000">
        <w:trPr>
          <w:divId w:val="611939526"/>
          <w:tblCellSpacing w:w="0" w:type="dxa"/>
        </w:trPr>
        <w:tc>
          <w:tcPr>
            <w:tcW w:w="1700" w:type="pct"/>
            <w:shd w:val="clear" w:color="auto" w:fill="CCEEFF"/>
            <w:vAlign w:val="bottom"/>
            <w:hideMark/>
          </w:tcPr>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2023</w:t>
            </w:r>
          </w:p>
        </w:tc>
        <w:tc>
          <w:tcPr>
            <w:tcW w:w="1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10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135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9,641</w:t>
            </w:r>
          </w:p>
        </w:tc>
        <w:tc>
          <w:tcPr>
            <w:tcW w:w="10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10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1350" w:type="pct"/>
            <w:shd w:val="clear" w:color="auto" w:fill="CCEEFF"/>
            <w:noWrap/>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8,936</w:t>
            </w:r>
          </w:p>
        </w:tc>
      </w:tr>
      <w:tr w:rsidR="00000000">
        <w:trPr>
          <w:divId w:val="611939526"/>
          <w:tblCellSpacing w:w="0" w:type="dxa"/>
        </w:trPr>
        <w:tc>
          <w:tcPr>
            <w:tcW w:w="1700" w:type="pct"/>
            <w:shd w:val="clear" w:color="auto" w:fill="FFFFFF"/>
            <w:vAlign w:val="bottom"/>
            <w:hideMark/>
          </w:tcPr>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Thereafter</w:t>
            </w:r>
          </w:p>
        </w:tc>
        <w:tc>
          <w:tcPr>
            <w:tcW w:w="1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100" w:type="pct"/>
            <w:tcBorders>
              <w:bottom w:val="single" w:sz="6" w:space="0" w:color="000000"/>
            </w:tcBorders>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1350" w:type="pct"/>
            <w:tcBorders>
              <w:bottom w:val="single" w:sz="6" w:space="0" w:color="000000"/>
            </w:tcBorders>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136,721</w:t>
            </w:r>
          </w:p>
        </w:tc>
        <w:tc>
          <w:tcPr>
            <w:tcW w:w="100" w:type="pct"/>
            <w:shd w:val="clear" w:color="auto" w:fill="FFFFFF"/>
            <w:noWrap/>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100" w:type="pct"/>
            <w:tcBorders>
              <w:bottom w:val="single" w:sz="6" w:space="0" w:color="000000"/>
            </w:tcBorders>
            <w:shd w:val="clear" w:color="auto" w:fill="FFFFFF"/>
            <w:noWrap/>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1350" w:type="pct"/>
            <w:tcBorders>
              <w:bottom w:val="single" w:sz="6" w:space="0" w:color="000000"/>
            </w:tcBorders>
            <w:shd w:val="clear" w:color="auto" w:fill="FFFFFF"/>
            <w:noWrap/>
            <w:tcMar>
              <w:top w:w="0" w:type="dxa"/>
              <w:left w:w="0" w:type="dxa"/>
              <w:bottom w:w="15" w:type="dxa"/>
              <w:right w:w="0" w:type="dxa"/>
            </w:tcMar>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115,788</w:t>
            </w:r>
          </w:p>
        </w:tc>
      </w:tr>
      <w:tr w:rsidR="00000000">
        <w:trPr>
          <w:divId w:val="611939526"/>
          <w:tblCellSpacing w:w="0" w:type="dxa"/>
        </w:trPr>
        <w:tc>
          <w:tcPr>
            <w:tcW w:w="1700" w:type="pct"/>
            <w:shd w:val="clear" w:color="auto" w:fill="CCEEFF"/>
            <w:vAlign w:val="bottom"/>
            <w:hideMark/>
          </w:tcPr>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Total minimum lease payments</w:t>
            </w:r>
          </w:p>
        </w:tc>
        <w:tc>
          <w:tcPr>
            <w:tcW w:w="150" w:type="pct"/>
            <w:tcBorders>
              <w:bottom w:val="nil"/>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100" w:type="pct"/>
            <w:tcBorders>
              <w:bottom w:val="nil"/>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1350" w:type="pct"/>
            <w:tcBorders>
              <w:bottom w:val="nil"/>
            </w:tcBorders>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187,311</w:t>
            </w:r>
          </w:p>
        </w:tc>
        <w:tc>
          <w:tcPr>
            <w:tcW w:w="100" w:type="pct"/>
            <w:tcBorders>
              <w:bottom w:val="nil"/>
            </w:tcBorders>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100" w:type="pct"/>
            <w:tcBorders>
              <w:bottom w:val="nil"/>
            </w:tcBorders>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1350" w:type="pct"/>
            <w:tcBorders>
              <w:bottom w:val="nil"/>
            </w:tcBorders>
            <w:shd w:val="clear" w:color="auto" w:fill="CCEEFF"/>
            <w:noWrap/>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165,783</w:t>
            </w:r>
          </w:p>
        </w:tc>
      </w:tr>
      <w:tr w:rsidR="00000000">
        <w:trPr>
          <w:divId w:val="611939526"/>
          <w:tblCellSpacing w:w="0" w:type="dxa"/>
        </w:trPr>
        <w:tc>
          <w:tcPr>
            <w:tcW w:w="170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1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10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13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10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10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13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611939526"/>
          <w:tblCellSpacing w:w="0" w:type="dxa"/>
        </w:trPr>
        <w:tc>
          <w:tcPr>
            <w:tcW w:w="1700" w:type="pct"/>
            <w:shd w:val="clear" w:color="auto" w:fill="CCEEFF"/>
            <w:vAlign w:val="bottom"/>
            <w:hideMark/>
          </w:tcPr>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Less imputed interest</w:t>
            </w:r>
          </w:p>
        </w:tc>
        <w:tc>
          <w:tcPr>
            <w:tcW w:w="1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100" w:type="pct"/>
            <w:tcBorders>
              <w:bottom w:val="single" w:sz="6" w:space="0" w:color="000000"/>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1350" w:type="pct"/>
            <w:tcBorders>
              <w:bottom w:val="single" w:sz="6" w:space="0" w:color="000000"/>
            </w:tcBorders>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(90,178</w:t>
            </w:r>
          </w:p>
        </w:tc>
        <w:tc>
          <w:tcPr>
            <w:tcW w:w="100" w:type="pct"/>
            <w:shd w:val="clear" w:color="auto" w:fill="CCEEFF"/>
            <w:noWrap/>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100" w:type="pct"/>
            <w:shd w:val="clear" w:color="auto" w:fill="CCEEFF"/>
            <w:noWrap/>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1350" w:type="pct"/>
            <w:shd w:val="clear" w:color="auto" w:fill="CCEEFF"/>
            <w:noWrap/>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611939526"/>
          <w:tblCellSpacing w:w="0" w:type="dxa"/>
        </w:trPr>
        <w:tc>
          <w:tcPr>
            <w:tcW w:w="1700" w:type="pct"/>
            <w:shd w:val="clear" w:color="auto" w:fill="FFFFFF"/>
            <w:vAlign w:val="bottom"/>
            <w:hideMark/>
          </w:tcPr>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Total operating lease liabilities</w:t>
            </w:r>
          </w:p>
        </w:tc>
        <w:tc>
          <w:tcPr>
            <w:tcW w:w="1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100" w:type="pct"/>
            <w:tcBorders>
              <w:bottom w:val="double" w:sz="6" w:space="0" w:color="000000"/>
            </w:tcBorders>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1350" w:type="pct"/>
            <w:tcBorders>
              <w:bottom w:val="double" w:sz="6" w:space="0" w:color="000000"/>
            </w:tcBorders>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97,133</w:t>
            </w:r>
          </w:p>
        </w:tc>
        <w:tc>
          <w:tcPr>
            <w:tcW w:w="100" w:type="pct"/>
            <w:shd w:val="clear" w:color="auto" w:fill="FFFFFF"/>
            <w:noWrap/>
            <w:tcMar>
              <w:top w:w="0" w:type="dxa"/>
              <w:left w:w="0" w:type="dxa"/>
              <w:bottom w:w="4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100" w:type="pct"/>
            <w:shd w:val="clear" w:color="auto" w:fill="FFFFFF"/>
            <w:noWrap/>
            <w:tcMar>
              <w:top w:w="0" w:type="dxa"/>
              <w:left w:w="0" w:type="dxa"/>
              <w:bottom w:w="4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1350" w:type="pct"/>
            <w:shd w:val="clear" w:color="auto" w:fill="FFFFFF"/>
            <w:noWrap/>
            <w:tcMar>
              <w:top w:w="0" w:type="dxa"/>
              <w:left w:w="0" w:type="dxa"/>
              <w:bottom w:w="4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bl>
    <w:p w:rsidR="00000000" w:rsidRDefault="008E203B">
      <w:pPr>
        <w:pStyle w:val="a3"/>
        <w:spacing w:before="0" w:beforeAutospacing="0" w:after="0" w:afterAutospacing="0"/>
        <w:jc w:val="both"/>
        <w:divId w:val="496577121"/>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ind w:left="144" w:right="144" w:firstLine="360"/>
        <w:jc w:val="both"/>
        <w:divId w:val="496577121"/>
        <w:rPr>
          <w:rFonts w:ascii="Times New Roman" w:hAnsi="Times New Roman" w:cs="Times New Roman"/>
          <w:sz w:val="20"/>
          <w:szCs w:val="20"/>
        </w:rPr>
      </w:pPr>
      <w:r>
        <w:rPr>
          <w:rFonts w:ascii="Times New Roman" w:hAnsi="Times New Roman" w:cs="Times New Roman"/>
          <w:sz w:val="20"/>
          <w:szCs w:val="20"/>
        </w:rPr>
        <w:t>The future minimum revenues from rental properties under the terms of all noncancelable tenant operating leases in effect, assuming no new or renegotiated leases are executed for such premises, at March 31, 2019 and December 31, 2018, are as follows (in th</w:t>
      </w:r>
      <w:r>
        <w:rPr>
          <w:rFonts w:ascii="Times New Roman" w:hAnsi="Times New Roman" w:cs="Times New Roman"/>
          <w:sz w:val="20"/>
          <w:szCs w:val="20"/>
        </w:rPr>
        <w:t>ousands):</w:t>
      </w:r>
    </w:p>
    <w:p w:rsidR="00000000" w:rsidRDefault="008E203B">
      <w:pPr>
        <w:pStyle w:val="a3"/>
        <w:spacing w:before="0" w:beforeAutospacing="0" w:after="0" w:afterAutospacing="0"/>
        <w:ind w:left="144" w:right="144"/>
        <w:jc w:val="both"/>
        <w:divId w:val="496577121"/>
        <w:rPr>
          <w:rFonts w:ascii="Times New Roman" w:hAnsi="Times New Roman" w:cs="Times New Roman"/>
          <w:sz w:val="20"/>
          <w:szCs w:val="20"/>
        </w:rPr>
      </w:pPr>
      <w:r>
        <w:rPr>
          <w:rFonts w:ascii="Times New Roman" w:hAnsi="Times New Roman" w:cs="Times New Roman"/>
          <w:sz w:val="20"/>
          <w:szCs w:val="20"/>
        </w:rPr>
        <w:t> </w:t>
      </w:r>
    </w:p>
    <w:tbl>
      <w:tblPr>
        <w:tblW w:w="4405" w:type="pct"/>
        <w:jc w:val="center"/>
        <w:tblCellSpacing w:w="0" w:type="dxa"/>
        <w:tblCellMar>
          <w:left w:w="0" w:type="dxa"/>
          <w:right w:w="0" w:type="dxa"/>
        </w:tblCellMar>
        <w:tblLook w:val="04A0" w:firstRow="1" w:lastRow="0" w:firstColumn="1" w:lastColumn="0" w:noHBand="0" w:noVBand="1"/>
      </w:tblPr>
      <w:tblGrid>
        <w:gridCol w:w="2754"/>
        <w:gridCol w:w="394"/>
        <w:gridCol w:w="1888"/>
        <w:gridCol w:w="394"/>
        <w:gridCol w:w="1888"/>
      </w:tblGrid>
      <w:tr w:rsidR="00000000">
        <w:trPr>
          <w:divId w:val="2049867302"/>
          <w:tblCellSpacing w:w="0" w:type="dxa"/>
          <w:jc w:val="center"/>
        </w:trPr>
        <w:tc>
          <w:tcPr>
            <w:tcW w:w="1750" w:type="pct"/>
            <w:tcBorders>
              <w:bottom w:val="single" w:sz="6" w:space="0" w:color="000000"/>
            </w:tcBorders>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Year Ending December 31,</w:t>
            </w:r>
          </w:p>
        </w:tc>
        <w:tc>
          <w:tcPr>
            <w:tcW w:w="250" w:type="pct"/>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1200" w:type="pct"/>
            <w:tcBorders>
              <w:bottom w:val="single" w:sz="6" w:space="0" w:color="000000"/>
            </w:tcBorders>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As of March 31, 2019</w:t>
            </w:r>
          </w:p>
        </w:tc>
        <w:tc>
          <w:tcPr>
            <w:tcW w:w="250" w:type="pct"/>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1200" w:type="pct"/>
            <w:tcBorders>
              <w:bottom w:val="single" w:sz="6" w:space="0" w:color="000000"/>
            </w:tcBorders>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As of December 31, 2018</w:t>
            </w:r>
          </w:p>
        </w:tc>
      </w:tr>
      <w:tr w:rsidR="00000000">
        <w:trPr>
          <w:divId w:val="2049867302"/>
          <w:tblCellSpacing w:w="0" w:type="dxa"/>
          <w:jc w:val="center"/>
        </w:trPr>
        <w:tc>
          <w:tcPr>
            <w:tcW w:w="1750" w:type="pct"/>
            <w:shd w:val="clear" w:color="auto" w:fill="CCEEFF"/>
            <w:hideMark/>
          </w:tcPr>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2019</w:t>
            </w:r>
          </w:p>
        </w:tc>
        <w:tc>
          <w:tcPr>
            <w:tcW w:w="250" w:type="pct"/>
            <w:shd w:val="clear" w:color="auto" w:fill="CCEEFF"/>
            <w:hideMark/>
          </w:tcPr>
          <w:p w:rsidR="00000000" w:rsidRDefault="008E203B">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c>
          <w:tcPr>
            <w:tcW w:w="1200" w:type="pct"/>
            <w:shd w:val="clear" w:color="auto" w:fill="CCEEFF"/>
            <w:hideMark/>
          </w:tcPr>
          <w:p w:rsidR="00000000" w:rsidRDefault="008E203B">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616,714</w:t>
            </w:r>
          </w:p>
        </w:tc>
        <w:tc>
          <w:tcPr>
            <w:tcW w:w="250" w:type="pct"/>
            <w:shd w:val="clear" w:color="auto" w:fill="CCEEFF"/>
            <w:hideMark/>
          </w:tcPr>
          <w:p w:rsidR="00000000" w:rsidRDefault="008E203B">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c>
          <w:tcPr>
            <w:tcW w:w="1200" w:type="pct"/>
            <w:shd w:val="clear" w:color="auto" w:fill="CCEEFF"/>
            <w:hideMark/>
          </w:tcPr>
          <w:p w:rsidR="00000000" w:rsidRDefault="008E203B">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816,409</w:t>
            </w:r>
          </w:p>
        </w:tc>
      </w:tr>
      <w:tr w:rsidR="00000000">
        <w:trPr>
          <w:divId w:val="2049867302"/>
          <w:tblCellSpacing w:w="0" w:type="dxa"/>
          <w:jc w:val="center"/>
        </w:trPr>
        <w:tc>
          <w:tcPr>
            <w:tcW w:w="1750" w:type="pct"/>
            <w:shd w:val="clear" w:color="auto" w:fill="FFFFFF"/>
            <w:hideMark/>
          </w:tcPr>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2020</w:t>
            </w:r>
          </w:p>
        </w:tc>
        <w:tc>
          <w:tcPr>
            <w:tcW w:w="250" w:type="pct"/>
            <w:shd w:val="clear" w:color="auto" w:fill="FFFFFF"/>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1200" w:type="pct"/>
            <w:shd w:val="clear" w:color="auto" w:fill="FFFFFF"/>
            <w:hideMark/>
          </w:tcPr>
          <w:p w:rsidR="00000000" w:rsidRDefault="008E203B">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789,616</w:t>
            </w:r>
          </w:p>
        </w:tc>
        <w:tc>
          <w:tcPr>
            <w:tcW w:w="250" w:type="pct"/>
            <w:shd w:val="clear" w:color="auto" w:fill="FFFFFF"/>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1200" w:type="pct"/>
            <w:shd w:val="clear" w:color="auto" w:fill="FFFFFF"/>
            <w:hideMark/>
          </w:tcPr>
          <w:p w:rsidR="00000000" w:rsidRDefault="008E203B">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769,074</w:t>
            </w:r>
          </w:p>
        </w:tc>
      </w:tr>
      <w:tr w:rsidR="00000000">
        <w:trPr>
          <w:divId w:val="2049867302"/>
          <w:tblCellSpacing w:w="0" w:type="dxa"/>
          <w:jc w:val="center"/>
        </w:trPr>
        <w:tc>
          <w:tcPr>
            <w:tcW w:w="1750" w:type="pct"/>
            <w:shd w:val="clear" w:color="auto" w:fill="CCEEFF"/>
            <w:hideMark/>
          </w:tcPr>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2021</w:t>
            </w:r>
          </w:p>
        </w:tc>
        <w:tc>
          <w:tcPr>
            <w:tcW w:w="250" w:type="pct"/>
            <w:shd w:val="clear" w:color="auto" w:fill="CCEEFF"/>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1200" w:type="pct"/>
            <w:shd w:val="clear" w:color="auto" w:fill="CCEEFF"/>
            <w:hideMark/>
          </w:tcPr>
          <w:p w:rsidR="00000000" w:rsidRDefault="008E203B">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714,805</w:t>
            </w:r>
          </w:p>
        </w:tc>
        <w:tc>
          <w:tcPr>
            <w:tcW w:w="250" w:type="pct"/>
            <w:shd w:val="clear" w:color="auto" w:fill="CCEEFF"/>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1200" w:type="pct"/>
            <w:shd w:val="clear" w:color="auto" w:fill="CCEEFF"/>
            <w:hideMark/>
          </w:tcPr>
          <w:p w:rsidR="00000000" w:rsidRDefault="008E203B">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690,678</w:t>
            </w:r>
          </w:p>
        </w:tc>
      </w:tr>
      <w:tr w:rsidR="00000000">
        <w:trPr>
          <w:divId w:val="2049867302"/>
          <w:tblCellSpacing w:w="0" w:type="dxa"/>
          <w:jc w:val="center"/>
        </w:trPr>
        <w:tc>
          <w:tcPr>
            <w:tcW w:w="1750" w:type="pct"/>
            <w:shd w:val="clear" w:color="auto" w:fill="FFFFFF"/>
            <w:hideMark/>
          </w:tcPr>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2022</w:t>
            </w:r>
          </w:p>
        </w:tc>
        <w:tc>
          <w:tcPr>
            <w:tcW w:w="250" w:type="pct"/>
            <w:shd w:val="clear" w:color="auto" w:fill="FFFFFF"/>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1200" w:type="pct"/>
            <w:shd w:val="clear" w:color="auto" w:fill="FFFFFF"/>
            <w:hideMark/>
          </w:tcPr>
          <w:p w:rsidR="00000000" w:rsidRDefault="008E203B">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618,956</w:t>
            </w:r>
          </w:p>
        </w:tc>
        <w:tc>
          <w:tcPr>
            <w:tcW w:w="250" w:type="pct"/>
            <w:shd w:val="clear" w:color="auto" w:fill="FFFFFF"/>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1200" w:type="pct"/>
            <w:shd w:val="clear" w:color="auto" w:fill="FFFFFF"/>
            <w:hideMark/>
          </w:tcPr>
          <w:p w:rsidR="00000000" w:rsidRDefault="008E203B">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594,638</w:t>
            </w:r>
          </w:p>
        </w:tc>
      </w:tr>
      <w:tr w:rsidR="00000000">
        <w:trPr>
          <w:divId w:val="2049867302"/>
          <w:tblCellSpacing w:w="0" w:type="dxa"/>
          <w:jc w:val="center"/>
        </w:trPr>
        <w:tc>
          <w:tcPr>
            <w:tcW w:w="1750" w:type="pct"/>
            <w:shd w:val="clear" w:color="auto" w:fill="CCEEFF"/>
            <w:hideMark/>
          </w:tcPr>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2023</w:t>
            </w:r>
          </w:p>
        </w:tc>
        <w:tc>
          <w:tcPr>
            <w:tcW w:w="250" w:type="pct"/>
            <w:shd w:val="clear" w:color="auto" w:fill="CCEEFF"/>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1200" w:type="pct"/>
            <w:shd w:val="clear" w:color="auto" w:fill="CCEEFF"/>
            <w:hideMark/>
          </w:tcPr>
          <w:p w:rsidR="00000000" w:rsidRDefault="008E203B">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517,874</w:t>
            </w:r>
          </w:p>
        </w:tc>
        <w:tc>
          <w:tcPr>
            <w:tcW w:w="250" w:type="pct"/>
            <w:shd w:val="clear" w:color="auto" w:fill="CCEEFF"/>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1200" w:type="pct"/>
            <w:shd w:val="clear" w:color="auto" w:fill="CCEEFF"/>
            <w:hideMark/>
          </w:tcPr>
          <w:p w:rsidR="00000000" w:rsidRDefault="008E203B">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492,631</w:t>
            </w:r>
          </w:p>
        </w:tc>
      </w:tr>
      <w:tr w:rsidR="00000000">
        <w:trPr>
          <w:divId w:val="2049867302"/>
          <w:tblCellSpacing w:w="0" w:type="dxa"/>
          <w:jc w:val="center"/>
        </w:trPr>
        <w:tc>
          <w:tcPr>
            <w:tcW w:w="1750" w:type="pct"/>
            <w:shd w:val="clear" w:color="auto" w:fill="FFFFFF"/>
            <w:hideMark/>
          </w:tcPr>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Thereafter</w:t>
            </w:r>
          </w:p>
        </w:tc>
        <w:tc>
          <w:tcPr>
            <w:tcW w:w="250" w:type="pct"/>
            <w:shd w:val="clear" w:color="auto" w:fill="FFFFFF"/>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1200" w:type="pct"/>
            <w:tcBorders>
              <w:bottom w:val="single" w:sz="6" w:space="0" w:color="000000"/>
            </w:tcBorders>
            <w:shd w:val="clear" w:color="auto" w:fill="FFFFFF"/>
            <w:hideMark/>
          </w:tcPr>
          <w:p w:rsidR="00000000" w:rsidRDefault="008E203B">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2,648,568</w:t>
            </w:r>
          </w:p>
        </w:tc>
        <w:tc>
          <w:tcPr>
            <w:tcW w:w="250" w:type="pct"/>
            <w:shd w:val="clear" w:color="auto" w:fill="FFFFFF"/>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1200" w:type="pct"/>
            <w:tcBorders>
              <w:bottom w:val="single" w:sz="6" w:space="0" w:color="000000"/>
            </w:tcBorders>
            <w:shd w:val="clear" w:color="auto" w:fill="FFFFFF"/>
            <w:hideMark/>
          </w:tcPr>
          <w:p w:rsidR="00000000" w:rsidRDefault="008E203B">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2,540,231</w:t>
            </w:r>
          </w:p>
        </w:tc>
      </w:tr>
      <w:tr w:rsidR="00000000">
        <w:trPr>
          <w:divId w:val="2049867302"/>
          <w:tblCellSpacing w:w="0" w:type="dxa"/>
          <w:jc w:val="center"/>
        </w:trPr>
        <w:tc>
          <w:tcPr>
            <w:tcW w:w="1750" w:type="pct"/>
            <w:shd w:val="clear" w:color="auto" w:fill="CCEEFF"/>
            <w:hideMark/>
          </w:tcPr>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Total minimum revenues</w:t>
            </w:r>
          </w:p>
        </w:tc>
        <w:tc>
          <w:tcPr>
            <w:tcW w:w="250" w:type="pct"/>
            <w:shd w:val="clear" w:color="auto" w:fill="CCEEFF"/>
            <w:hideMark/>
          </w:tcPr>
          <w:p w:rsidR="00000000" w:rsidRDefault="008E203B">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c>
          <w:tcPr>
            <w:tcW w:w="1200" w:type="pct"/>
            <w:tcBorders>
              <w:bottom w:val="double" w:sz="6" w:space="0" w:color="000000"/>
            </w:tcBorders>
            <w:shd w:val="clear" w:color="auto" w:fill="CCEEFF"/>
            <w:hideMark/>
          </w:tcPr>
          <w:p w:rsidR="00000000" w:rsidRDefault="008E203B">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5,906,533</w:t>
            </w:r>
          </w:p>
        </w:tc>
        <w:tc>
          <w:tcPr>
            <w:tcW w:w="250" w:type="pct"/>
            <w:shd w:val="clear" w:color="auto" w:fill="CCEEFF"/>
            <w:hideMark/>
          </w:tcPr>
          <w:p w:rsidR="00000000" w:rsidRDefault="008E203B">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c>
          <w:tcPr>
            <w:tcW w:w="1200" w:type="pct"/>
            <w:tcBorders>
              <w:bottom w:val="double" w:sz="6" w:space="0" w:color="000000"/>
            </w:tcBorders>
            <w:shd w:val="clear" w:color="auto" w:fill="CCEEFF"/>
            <w:hideMark/>
          </w:tcPr>
          <w:p w:rsidR="00000000" w:rsidRDefault="008E203B">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5,903,661</w:t>
            </w:r>
          </w:p>
        </w:tc>
      </w:tr>
    </w:tbl>
    <w:p w:rsidR="00000000" w:rsidRDefault="008E203B">
      <w:pPr>
        <w:pStyle w:val="a3"/>
        <w:spacing w:before="0" w:beforeAutospacing="0" w:after="0" w:afterAutospacing="0"/>
        <w:divId w:val="496577121"/>
        <w:rPr>
          <w:rFonts w:ascii="Times New Roman" w:hAnsi="Times New Roman" w:cs="Times New Roman"/>
          <w:sz w:val="20"/>
          <w:szCs w:val="20"/>
        </w:rPr>
      </w:pPr>
      <w:r>
        <w:rPr>
          <w:rFonts w:ascii="Times New Roman" w:hAnsi="Times New Roman" w:cs="Times New Roman"/>
          <w:sz w:val="20"/>
          <w:szCs w:val="20"/>
        </w:rPr>
        <w:t> </w:t>
      </w:r>
    </w:p>
    <w:p w:rsidR="00000000" w:rsidRDefault="008E203B">
      <w:pPr>
        <w:divId w:val="1402485280"/>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divId w:val="484783256"/>
        <w:rPr>
          <w:rFonts w:ascii="Times New Roman" w:hAnsi="Times New Roman" w:cs="Times New Roman"/>
          <w:sz w:val="20"/>
          <w:szCs w:val="20"/>
        </w:rPr>
      </w:pPr>
      <w:r>
        <w:rPr>
          <w:rFonts w:ascii="Times New Roman" w:hAnsi="Times New Roman" w:cs="Times New Roman"/>
          <w:sz w:val="20"/>
          <w:szCs w:val="20"/>
        </w:rPr>
        <w:t xml:space="preserve">8. </w:t>
      </w:r>
      <w:r>
        <w:rPr>
          <w:rFonts w:ascii="Times New Roman" w:hAnsi="Times New Roman" w:cs="Times New Roman"/>
          <w:sz w:val="20"/>
          <w:szCs w:val="20"/>
          <w:u w:val="single"/>
        </w:rPr>
        <w:t>Other Assets</w:t>
      </w:r>
    </w:p>
    <w:p w:rsidR="00000000" w:rsidRDefault="008E203B">
      <w:pPr>
        <w:pStyle w:val="a3"/>
        <w:spacing w:before="0" w:beforeAutospacing="0" w:after="0" w:afterAutospacing="0"/>
        <w:divId w:val="484783256"/>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divId w:val="484783256"/>
        <w:rPr>
          <w:rFonts w:ascii="Times New Roman" w:hAnsi="Times New Roman" w:cs="Times New Roman"/>
          <w:sz w:val="20"/>
          <w:szCs w:val="20"/>
        </w:rPr>
      </w:pPr>
      <w:r>
        <w:rPr>
          <w:rFonts w:ascii="Times New Roman" w:hAnsi="Times New Roman" w:cs="Times New Roman"/>
          <w:i/>
          <w:iCs/>
          <w:sz w:val="20"/>
          <w:szCs w:val="20"/>
        </w:rPr>
        <w:t>Mortgages and Other Financing Receivables -</w:t>
      </w:r>
    </w:p>
    <w:p w:rsidR="00000000" w:rsidRDefault="008E203B">
      <w:pPr>
        <w:pStyle w:val="a3"/>
        <w:spacing w:before="0" w:beforeAutospacing="0" w:after="0" w:afterAutospacing="0"/>
        <w:ind w:firstLine="720"/>
        <w:jc w:val="both"/>
        <w:divId w:val="484783256"/>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ind w:firstLine="360"/>
        <w:jc w:val="both"/>
        <w:divId w:val="484783256"/>
        <w:rPr>
          <w:rFonts w:ascii="Times New Roman" w:hAnsi="Times New Roman" w:cs="Times New Roman"/>
          <w:sz w:val="20"/>
          <w:szCs w:val="20"/>
        </w:rPr>
      </w:pPr>
      <w:r>
        <w:rPr>
          <w:rFonts w:ascii="Times New Roman" w:hAnsi="Times New Roman" w:cs="Times New Roman"/>
          <w:sz w:val="20"/>
          <w:szCs w:val="20"/>
        </w:rPr>
        <w:t xml:space="preserve">The Company has various mortgages and other financing receivables which consist of loans acquired and loans originated by the Company. The Company reviews payment status to identify performing versus non-performing loans. As of March 31, 2019, the Company </w:t>
      </w:r>
      <w:r>
        <w:rPr>
          <w:rFonts w:ascii="Times New Roman" w:hAnsi="Times New Roman" w:cs="Times New Roman"/>
          <w:sz w:val="20"/>
          <w:szCs w:val="20"/>
        </w:rPr>
        <w:t>had a total of 10 loans aggregating $14.4 million, all of which were identified as performing loans.</w:t>
      </w:r>
    </w:p>
    <w:p w:rsidR="00000000" w:rsidRDefault="008E203B">
      <w:pPr>
        <w:pStyle w:val="a3"/>
        <w:spacing w:before="0" w:beforeAutospacing="0" w:after="0" w:afterAutospacing="0"/>
        <w:ind w:firstLine="360"/>
        <w:jc w:val="both"/>
        <w:divId w:val="484783256"/>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divId w:val="484783256"/>
        <w:rPr>
          <w:rFonts w:ascii="Times New Roman" w:hAnsi="Times New Roman" w:cs="Times New Roman"/>
          <w:sz w:val="20"/>
          <w:szCs w:val="20"/>
        </w:rPr>
      </w:pPr>
      <w:r>
        <w:rPr>
          <w:rFonts w:ascii="Times New Roman" w:hAnsi="Times New Roman" w:cs="Times New Roman"/>
          <w:i/>
          <w:iCs/>
          <w:sz w:val="20"/>
          <w:szCs w:val="20"/>
        </w:rPr>
        <w:t>Assets Held-For-Sale -</w:t>
      </w:r>
    </w:p>
    <w:p w:rsidR="00000000" w:rsidRDefault="008E203B">
      <w:pPr>
        <w:pStyle w:val="a3"/>
        <w:spacing w:before="0" w:beforeAutospacing="0" w:after="0" w:afterAutospacing="0"/>
        <w:divId w:val="484783256"/>
        <w:rPr>
          <w:rFonts w:ascii="Times New Roman" w:hAnsi="Times New Roman" w:cs="Times New Roman"/>
          <w:sz w:val="20"/>
          <w:szCs w:val="20"/>
        </w:rPr>
      </w:pPr>
      <w:r>
        <w:rPr>
          <w:rFonts w:ascii="Times New Roman" w:hAnsi="Times New Roman" w:cs="Times New Roman"/>
          <w:i/>
          <w:iCs/>
          <w:sz w:val="20"/>
          <w:szCs w:val="20"/>
        </w:rPr>
        <w:t> </w:t>
      </w:r>
    </w:p>
    <w:p w:rsidR="00000000" w:rsidRDefault="008E203B">
      <w:pPr>
        <w:pStyle w:val="a3"/>
        <w:spacing w:before="0" w:beforeAutospacing="0" w:after="0" w:afterAutospacing="0"/>
        <w:ind w:firstLine="360"/>
        <w:jc w:val="both"/>
        <w:divId w:val="484783256"/>
        <w:rPr>
          <w:rFonts w:ascii="Times New Roman" w:hAnsi="Times New Roman" w:cs="Times New Roman"/>
          <w:sz w:val="20"/>
          <w:szCs w:val="20"/>
        </w:rPr>
      </w:pPr>
      <w:r>
        <w:rPr>
          <w:rFonts w:ascii="Times New Roman" w:hAnsi="Times New Roman" w:cs="Times New Roman"/>
          <w:sz w:val="20"/>
          <w:szCs w:val="20"/>
        </w:rPr>
        <w:t>At March 31, 2019, the Company had one consolidated property classified as held-for-sale at a net carrying amount of $4.6 millio</w:t>
      </w:r>
      <w:r>
        <w:rPr>
          <w:rFonts w:ascii="Times New Roman" w:hAnsi="Times New Roman" w:cs="Times New Roman"/>
          <w:sz w:val="20"/>
          <w:szCs w:val="20"/>
        </w:rPr>
        <w:t>n (including accumulated depreciation and amortization of $1.7 million). The Company’s determination of the fair value of the property was based upon an executed contract of sale with a third party. The book value of this property exceeded its estimated fa</w:t>
      </w:r>
      <w:r>
        <w:rPr>
          <w:rFonts w:ascii="Times New Roman" w:hAnsi="Times New Roman" w:cs="Times New Roman"/>
          <w:sz w:val="20"/>
          <w:szCs w:val="20"/>
        </w:rPr>
        <w:t>ir value, less costs to sell, and as such an impairment charge of $1.1 million was recognized. Additionally, the Company reclassified $3.0 million in mortgage debt related to this property to Other liabilities on the Company’s Condensed Consolidated Balanc</w:t>
      </w:r>
      <w:r>
        <w:rPr>
          <w:rFonts w:ascii="Times New Roman" w:hAnsi="Times New Roman" w:cs="Times New Roman"/>
          <w:sz w:val="20"/>
          <w:szCs w:val="20"/>
        </w:rPr>
        <w:t>e Sheets.</w:t>
      </w:r>
    </w:p>
    <w:p w:rsidR="00000000" w:rsidRDefault="008E203B">
      <w:pPr>
        <w:pStyle w:val="a3"/>
        <w:spacing w:before="0" w:beforeAutospacing="0" w:after="0" w:afterAutospacing="0"/>
        <w:divId w:val="484783256"/>
        <w:rPr>
          <w:rFonts w:ascii="Times New Roman" w:hAnsi="Times New Roman" w:cs="Times New Roman"/>
          <w:sz w:val="20"/>
          <w:szCs w:val="20"/>
        </w:rPr>
      </w:pPr>
      <w:r>
        <w:rPr>
          <w:rFonts w:ascii="Times New Roman" w:hAnsi="Times New Roman" w:cs="Times New Roman"/>
          <w:i/>
          <w:iCs/>
          <w:sz w:val="20"/>
          <w:szCs w:val="20"/>
        </w:rPr>
        <w:t> </w:t>
      </w:r>
    </w:p>
    <w:p w:rsidR="00000000" w:rsidRDefault="008E203B">
      <w:pPr>
        <w:jc w:val="center"/>
        <w:divId w:val="1801529154"/>
        <w:rPr>
          <w:rFonts w:ascii="Times New Roman" w:hAnsi="Times New Roman" w:cs="Times New Roman"/>
          <w:sz w:val="20"/>
          <w:szCs w:val="20"/>
        </w:rPr>
      </w:pPr>
      <w:r>
        <w:rPr>
          <w:rFonts w:ascii="Times New Roman" w:hAnsi="Times New Roman" w:cs="Times New Roman"/>
          <w:sz w:val="20"/>
          <w:szCs w:val="20"/>
        </w:rPr>
        <w:t>15</w:t>
      </w:r>
    </w:p>
    <w:p w:rsidR="00000000" w:rsidRDefault="008E203B">
      <w:pPr>
        <w:divId w:val="1801529154"/>
        <w:rPr>
          <w:rFonts w:ascii="Times New Roman" w:hAnsi="Times New Roman" w:cs="Times New Roman"/>
          <w:sz w:val="20"/>
          <w:szCs w:val="20"/>
        </w:rPr>
      </w:pPr>
      <w:r>
        <w:rPr>
          <w:rFonts w:ascii="Times New Roman" w:hAnsi="Times New Roman" w:cs="Times New Roman"/>
          <w:sz w:val="20"/>
          <w:szCs w:val="20"/>
        </w:rPr>
        <w:pict>
          <v:rect id="_x0000_i1043" style="width:415.3pt;height:1.5pt" o:hralign="center" o:hrstd="t" o:hrnoshade="t" o:hr="t" fillcolor="black" stroked="f"/>
        </w:pict>
      </w:r>
    </w:p>
    <w:p w:rsidR="00000000" w:rsidRDefault="008E203B">
      <w:pPr>
        <w:divId w:val="1801529154"/>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8E203B">
      <w:pPr>
        <w:pStyle w:val="a3"/>
        <w:spacing w:before="0" w:beforeAutospacing="0" w:after="0" w:afterAutospacing="0"/>
        <w:divId w:val="484783256"/>
        <w:rPr>
          <w:rFonts w:ascii="Times New Roman" w:hAnsi="Times New Roman" w:cs="Times New Roman"/>
          <w:sz w:val="20"/>
          <w:szCs w:val="20"/>
        </w:rPr>
      </w:pPr>
      <w:r>
        <w:rPr>
          <w:rFonts w:ascii="Times New Roman" w:hAnsi="Times New Roman" w:cs="Times New Roman"/>
          <w:sz w:val="20"/>
          <w:szCs w:val="20"/>
        </w:rPr>
        <w:t> </w:t>
      </w:r>
    </w:p>
    <w:p w:rsidR="00000000" w:rsidRDefault="008E203B">
      <w:pPr>
        <w:divId w:val="1264874115"/>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divId w:val="852453833"/>
        <w:rPr>
          <w:rFonts w:ascii="Times New Roman" w:hAnsi="Times New Roman" w:cs="Times New Roman"/>
          <w:sz w:val="20"/>
          <w:szCs w:val="20"/>
        </w:rPr>
      </w:pPr>
      <w:r>
        <w:rPr>
          <w:rFonts w:ascii="Times New Roman" w:hAnsi="Times New Roman" w:cs="Times New Roman"/>
          <w:sz w:val="20"/>
          <w:szCs w:val="20"/>
        </w:rPr>
        <w:t xml:space="preserve">9. </w:t>
      </w:r>
      <w:r>
        <w:rPr>
          <w:rFonts w:ascii="Times New Roman" w:hAnsi="Times New Roman" w:cs="Times New Roman"/>
          <w:sz w:val="20"/>
          <w:szCs w:val="20"/>
          <w:u w:val="single"/>
        </w:rPr>
        <w:t>Notes, Mortgages and Construction Loan Payable</w:t>
      </w:r>
    </w:p>
    <w:p w:rsidR="00000000" w:rsidRDefault="008E203B">
      <w:pPr>
        <w:pStyle w:val="a3"/>
        <w:spacing w:before="0" w:beforeAutospacing="0" w:after="0" w:afterAutospacing="0"/>
        <w:jc w:val="both"/>
        <w:divId w:val="852453833"/>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jc w:val="both"/>
        <w:divId w:val="852453833"/>
        <w:rPr>
          <w:rFonts w:ascii="Times New Roman" w:hAnsi="Times New Roman" w:cs="Times New Roman"/>
          <w:sz w:val="20"/>
          <w:szCs w:val="20"/>
        </w:rPr>
      </w:pPr>
      <w:r>
        <w:rPr>
          <w:rFonts w:ascii="Times New Roman" w:hAnsi="Times New Roman" w:cs="Times New Roman"/>
          <w:i/>
          <w:iCs/>
          <w:sz w:val="20"/>
          <w:szCs w:val="20"/>
        </w:rPr>
        <w:t xml:space="preserve">Notes Payable - </w:t>
      </w:r>
    </w:p>
    <w:p w:rsidR="00000000" w:rsidRDefault="008E203B">
      <w:pPr>
        <w:pStyle w:val="a3"/>
        <w:spacing w:before="0" w:beforeAutospacing="0" w:after="0" w:afterAutospacing="0"/>
        <w:ind w:firstLine="720"/>
        <w:jc w:val="both"/>
        <w:divId w:val="852453833"/>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ind w:firstLine="360"/>
        <w:jc w:val="both"/>
        <w:divId w:val="852453833"/>
        <w:rPr>
          <w:rFonts w:ascii="Times New Roman" w:hAnsi="Times New Roman" w:cs="Times New Roman"/>
          <w:sz w:val="20"/>
          <w:szCs w:val="20"/>
        </w:rPr>
      </w:pPr>
      <w:r>
        <w:rPr>
          <w:rFonts w:ascii="Times New Roman" w:hAnsi="Times New Roman" w:cs="Times New Roman"/>
          <w:sz w:val="20"/>
          <w:szCs w:val="20"/>
        </w:rPr>
        <w:t>As of March 31, 2019, the Company’s unsecured revolving credit facility of $2.25 billion had an outstanding balance of $100.0 million and</w:t>
      </w:r>
      <w:r>
        <w:rPr>
          <w:rFonts w:ascii="Times New Roman" w:hAnsi="Times New Roman" w:cs="Times New Roman"/>
          <w:sz w:val="20"/>
          <w:szCs w:val="20"/>
        </w:rPr>
        <w:t xml:space="preserve"> $0.3 million appropriated for letters of credit.</w:t>
      </w:r>
    </w:p>
    <w:p w:rsidR="00000000" w:rsidRDefault="008E203B">
      <w:pPr>
        <w:pStyle w:val="a3"/>
        <w:spacing w:before="0" w:beforeAutospacing="0" w:after="0" w:afterAutospacing="0"/>
        <w:ind w:firstLine="360"/>
        <w:jc w:val="both"/>
        <w:divId w:val="852453833"/>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jc w:val="both"/>
        <w:divId w:val="852453833"/>
        <w:rPr>
          <w:rFonts w:ascii="Times New Roman" w:hAnsi="Times New Roman" w:cs="Times New Roman"/>
          <w:sz w:val="20"/>
          <w:szCs w:val="20"/>
        </w:rPr>
      </w:pPr>
      <w:r>
        <w:rPr>
          <w:rFonts w:ascii="Times New Roman" w:hAnsi="Times New Roman" w:cs="Times New Roman"/>
          <w:i/>
          <w:iCs/>
          <w:sz w:val="20"/>
          <w:szCs w:val="20"/>
        </w:rPr>
        <w:t xml:space="preserve">Mortgages and Construction Loan Payable - </w:t>
      </w:r>
    </w:p>
    <w:p w:rsidR="00000000" w:rsidRDefault="008E203B">
      <w:pPr>
        <w:pStyle w:val="a3"/>
        <w:spacing w:before="0" w:beforeAutospacing="0" w:after="0" w:afterAutospacing="0"/>
        <w:jc w:val="both"/>
        <w:divId w:val="852453833"/>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ind w:firstLine="360"/>
        <w:jc w:val="both"/>
        <w:divId w:val="852453833"/>
        <w:rPr>
          <w:rFonts w:ascii="Times New Roman" w:hAnsi="Times New Roman" w:cs="Times New Roman"/>
          <w:sz w:val="20"/>
          <w:szCs w:val="20"/>
        </w:rPr>
      </w:pPr>
      <w:r>
        <w:rPr>
          <w:rFonts w:ascii="Times New Roman" w:hAnsi="Times New Roman" w:cs="Times New Roman"/>
          <w:sz w:val="20"/>
          <w:szCs w:val="20"/>
        </w:rPr>
        <w:t>During the three months ended March 31, 2019, the Company repaid $3.2 million of mortgage debt that encumbered an operating property.</w:t>
      </w:r>
    </w:p>
    <w:p w:rsidR="00000000" w:rsidRDefault="008E203B">
      <w:pPr>
        <w:pStyle w:val="a3"/>
        <w:spacing w:before="0" w:beforeAutospacing="0" w:after="0" w:afterAutospacing="0"/>
        <w:ind w:firstLine="360"/>
        <w:jc w:val="both"/>
        <w:divId w:val="852453833"/>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ind w:firstLine="360"/>
        <w:jc w:val="both"/>
        <w:divId w:val="852453833"/>
        <w:rPr>
          <w:rFonts w:ascii="Times New Roman" w:hAnsi="Times New Roman" w:cs="Times New Roman"/>
          <w:sz w:val="20"/>
          <w:szCs w:val="20"/>
        </w:rPr>
      </w:pPr>
      <w:r>
        <w:rPr>
          <w:rFonts w:ascii="Times New Roman" w:hAnsi="Times New Roman" w:cs="Times New Roman"/>
          <w:sz w:val="20"/>
          <w:szCs w:val="20"/>
        </w:rPr>
        <w:t>As of March 31, 2019, the Company’s construction loan commitment of $67.0 million relating to one of its development projects had an outstanding balance of $54.3 million.</w:t>
      </w:r>
    </w:p>
    <w:p w:rsidR="00000000" w:rsidRDefault="008E203B">
      <w:pPr>
        <w:pStyle w:val="a3"/>
        <w:spacing w:before="0" w:beforeAutospacing="0" w:after="0" w:afterAutospacing="0"/>
        <w:ind w:firstLine="360"/>
        <w:jc w:val="both"/>
        <w:divId w:val="852453833"/>
        <w:rPr>
          <w:rFonts w:ascii="Times New Roman" w:hAnsi="Times New Roman" w:cs="Times New Roman"/>
          <w:sz w:val="20"/>
          <w:szCs w:val="20"/>
        </w:rPr>
      </w:pPr>
      <w:r>
        <w:rPr>
          <w:rFonts w:ascii="Times New Roman" w:hAnsi="Times New Roman" w:cs="Times New Roman"/>
          <w:sz w:val="20"/>
          <w:szCs w:val="20"/>
        </w:rPr>
        <w:t> </w:t>
      </w:r>
    </w:p>
    <w:p w:rsidR="00000000" w:rsidRDefault="008E203B">
      <w:pPr>
        <w:divId w:val="1735855152"/>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divId w:val="322468201"/>
        <w:rPr>
          <w:rFonts w:ascii="Times New Roman" w:hAnsi="Times New Roman" w:cs="Times New Roman"/>
          <w:sz w:val="20"/>
          <w:szCs w:val="20"/>
        </w:rPr>
      </w:pPr>
      <w:r>
        <w:rPr>
          <w:rFonts w:ascii="Times New Roman" w:hAnsi="Times New Roman" w:cs="Times New Roman"/>
          <w:sz w:val="20"/>
          <w:szCs w:val="20"/>
        </w:rPr>
        <w:t xml:space="preserve">10. </w:t>
      </w:r>
      <w:r>
        <w:rPr>
          <w:rFonts w:ascii="Times New Roman" w:hAnsi="Times New Roman" w:cs="Times New Roman"/>
          <w:sz w:val="20"/>
          <w:szCs w:val="20"/>
          <w:u w:val="single"/>
        </w:rPr>
        <w:t>Noncontrolling Interests</w:t>
      </w:r>
    </w:p>
    <w:p w:rsidR="00000000" w:rsidRDefault="008E203B">
      <w:pPr>
        <w:pStyle w:val="a3"/>
        <w:spacing w:before="0" w:beforeAutospacing="0" w:after="0" w:afterAutospacing="0"/>
        <w:divId w:val="322468201"/>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jc w:val="both"/>
        <w:divId w:val="322468201"/>
        <w:rPr>
          <w:rFonts w:ascii="Times New Roman" w:hAnsi="Times New Roman" w:cs="Times New Roman"/>
          <w:sz w:val="20"/>
          <w:szCs w:val="20"/>
        </w:rPr>
      </w:pPr>
      <w:r>
        <w:rPr>
          <w:rFonts w:ascii="Times New Roman" w:hAnsi="Times New Roman" w:cs="Times New Roman"/>
          <w:sz w:val="20"/>
          <w:szCs w:val="20"/>
        </w:rPr>
        <w:t>      Noncontrolling interests represent the porti</w:t>
      </w:r>
      <w:r>
        <w:rPr>
          <w:rFonts w:ascii="Times New Roman" w:hAnsi="Times New Roman" w:cs="Times New Roman"/>
          <w:sz w:val="20"/>
          <w:szCs w:val="20"/>
        </w:rPr>
        <w:t>on of equity that the Company does not own in entities it consolidates as a result of having a controlling interest or determining that the Company was the primary beneficiary of a VIE in accordance with the provisions of the FASB’s Consolidation guidance.</w:t>
      </w:r>
      <w:r>
        <w:rPr>
          <w:rFonts w:ascii="Times New Roman" w:hAnsi="Times New Roman" w:cs="Times New Roman"/>
          <w:sz w:val="20"/>
          <w:szCs w:val="20"/>
        </w:rPr>
        <w:t xml:space="preserve">  The Company accounts and reports for noncontrolling interests in accordance with the Consolidation guidance and the Distinguishing Liabilities from Equity guidance issued by the FASB. The Company identifies its noncontrolling interests separately within </w:t>
      </w:r>
      <w:r>
        <w:rPr>
          <w:rFonts w:ascii="Times New Roman" w:hAnsi="Times New Roman" w:cs="Times New Roman"/>
          <w:sz w:val="20"/>
          <w:szCs w:val="20"/>
        </w:rPr>
        <w:t>the equity section on the Company’s Condensed Consolidated Balance Sheets. The amounts of consolidated net income attributable to the Company and to the noncontrolling interests are presented separately on the Company’s Condensed Consolidated Statements of</w:t>
      </w:r>
      <w:r>
        <w:rPr>
          <w:rFonts w:ascii="Times New Roman" w:hAnsi="Times New Roman" w:cs="Times New Roman"/>
          <w:sz w:val="20"/>
          <w:szCs w:val="20"/>
        </w:rPr>
        <w:t xml:space="preserve"> Income.</w:t>
      </w:r>
    </w:p>
    <w:p w:rsidR="00000000" w:rsidRDefault="008E203B">
      <w:pPr>
        <w:pStyle w:val="a3"/>
        <w:spacing w:before="0" w:beforeAutospacing="0" w:after="0" w:afterAutospacing="0"/>
        <w:jc w:val="both"/>
        <w:divId w:val="322468201"/>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ind w:firstLine="360"/>
        <w:jc w:val="both"/>
        <w:divId w:val="322468201"/>
        <w:rPr>
          <w:rFonts w:ascii="Times New Roman" w:hAnsi="Times New Roman" w:cs="Times New Roman"/>
          <w:sz w:val="20"/>
          <w:szCs w:val="20"/>
        </w:rPr>
      </w:pPr>
      <w:r>
        <w:rPr>
          <w:rFonts w:ascii="Times New Roman" w:hAnsi="Times New Roman" w:cs="Times New Roman"/>
          <w:sz w:val="20"/>
          <w:szCs w:val="20"/>
        </w:rPr>
        <w:t>During the three months ended March 31, 2018, the Company acquired its partners’ interests in three consolidated entities, in two separate transactions, for an aggregate purchase price of $3.4 million. These transactions resulted in a net decrea</w:t>
      </w:r>
      <w:r>
        <w:rPr>
          <w:rFonts w:ascii="Times New Roman" w:hAnsi="Times New Roman" w:cs="Times New Roman"/>
          <w:sz w:val="20"/>
          <w:szCs w:val="20"/>
        </w:rPr>
        <w:t>se in Noncontrolling interests of $4.6 million and a corresponding net increase in Paid-in capital of $1.2 million on the Company’s Condensed Consolidated Balance Sheets. There are no remaining partners in two of these consolidated entities.</w:t>
      </w:r>
    </w:p>
    <w:p w:rsidR="00000000" w:rsidRDefault="008E203B">
      <w:pPr>
        <w:pStyle w:val="a3"/>
        <w:spacing w:before="0" w:beforeAutospacing="0" w:after="0" w:afterAutospacing="0"/>
        <w:jc w:val="both"/>
        <w:divId w:val="322468201"/>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ind w:firstLine="360"/>
        <w:jc w:val="both"/>
        <w:divId w:val="322468201"/>
        <w:rPr>
          <w:rFonts w:ascii="Times New Roman" w:hAnsi="Times New Roman" w:cs="Times New Roman"/>
          <w:sz w:val="20"/>
          <w:szCs w:val="20"/>
        </w:rPr>
      </w:pPr>
      <w:r>
        <w:rPr>
          <w:rFonts w:ascii="Times New Roman" w:hAnsi="Times New Roman" w:cs="Times New Roman"/>
          <w:sz w:val="20"/>
          <w:szCs w:val="20"/>
        </w:rPr>
        <w:t>Included wit</w:t>
      </w:r>
      <w:r>
        <w:rPr>
          <w:rFonts w:ascii="Times New Roman" w:hAnsi="Times New Roman" w:cs="Times New Roman"/>
          <w:sz w:val="20"/>
          <w:szCs w:val="20"/>
        </w:rPr>
        <w:t xml:space="preserve">hin noncontrolling interests are units that were determined to be contingently redeemable that are classified as Redeemable noncontrolling interests and presented in the mezzanine section between Total liabilities and Stockholder’s equity on the Company’s </w:t>
      </w:r>
      <w:r>
        <w:rPr>
          <w:rFonts w:ascii="Times New Roman" w:hAnsi="Times New Roman" w:cs="Times New Roman"/>
          <w:sz w:val="20"/>
          <w:szCs w:val="20"/>
        </w:rPr>
        <w:t>Condensed Consolidated Balance Sheets.</w:t>
      </w:r>
    </w:p>
    <w:p w:rsidR="00000000" w:rsidRDefault="008E203B">
      <w:pPr>
        <w:pStyle w:val="a3"/>
        <w:spacing w:before="0" w:beforeAutospacing="0" w:after="0" w:afterAutospacing="0"/>
        <w:jc w:val="both"/>
        <w:divId w:val="322468201"/>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ind w:firstLine="360"/>
        <w:jc w:val="both"/>
        <w:divId w:val="322468201"/>
        <w:rPr>
          <w:rFonts w:ascii="Times New Roman" w:hAnsi="Times New Roman" w:cs="Times New Roman"/>
          <w:sz w:val="20"/>
          <w:szCs w:val="20"/>
        </w:rPr>
      </w:pPr>
      <w:r>
        <w:rPr>
          <w:rFonts w:ascii="Times New Roman" w:hAnsi="Times New Roman" w:cs="Times New Roman"/>
          <w:sz w:val="20"/>
          <w:szCs w:val="20"/>
        </w:rPr>
        <w:t>The following table presents the change in the redemption value of the Redeemable noncontrolling interests for the three months ended March 31, 2019 and 2018 (in thousands): </w:t>
      </w:r>
    </w:p>
    <w:p w:rsidR="00000000" w:rsidRDefault="008E203B">
      <w:pPr>
        <w:pStyle w:val="a3"/>
        <w:spacing w:before="0" w:beforeAutospacing="0" w:after="0" w:afterAutospacing="0"/>
        <w:jc w:val="both"/>
        <w:divId w:val="322468201"/>
        <w:rPr>
          <w:rFonts w:ascii="Times New Roman" w:hAnsi="Times New Roman" w:cs="Times New Roman"/>
          <w:sz w:val="20"/>
          <w:szCs w:val="20"/>
        </w:rPr>
      </w:pPr>
      <w:r>
        <w:rPr>
          <w:rFonts w:ascii="Times New Roman" w:hAnsi="Times New Roman" w:cs="Times New Roman"/>
          <w:sz w:val="20"/>
          <w:szCs w:val="20"/>
        </w:rPr>
        <w:t> </w:t>
      </w:r>
    </w:p>
    <w:tbl>
      <w:tblPr>
        <w:tblW w:w="4250" w:type="pct"/>
        <w:tblCellSpacing w:w="15" w:type="dxa"/>
        <w:tblInd w:w="7" w:type="dxa"/>
        <w:tblCellMar>
          <w:top w:w="15" w:type="dxa"/>
          <w:left w:w="15" w:type="dxa"/>
          <w:bottom w:w="15" w:type="dxa"/>
          <w:right w:w="15" w:type="dxa"/>
        </w:tblCellMar>
        <w:tblLook w:val="04A0" w:firstRow="1" w:lastRow="0" w:firstColumn="1" w:lastColumn="0" w:noHBand="0" w:noVBand="1"/>
      </w:tblPr>
      <w:tblGrid>
        <w:gridCol w:w="4437"/>
        <w:gridCol w:w="110"/>
        <w:gridCol w:w="160"/>
        <w:gridCol w:w="907"/>
        <w:gridCol w:w="127"/>
        <w:gridCol w:w="110"/>
        <w:gridCol w:w="160"/>
        <w:gridCol w:w="907"/>
        <w:gridCol w:w="142"/>
      </w:tblGrid>
      <w:tr w:rsidR="00000000">
        <w:trPr>
          <w:divId w:val="1601259315"/>
          <w:tblCellSpacing w:w="15" w:type="dxa"/>
        </w:trPr>
        <w:tc>
          <w:tcPr>
            <w:tcW w:w="3300" w:type="pct"/>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gridSpan w:val="2"/>
            <w:tcBorders>
              <w:bottom w:val="single" w:sz="6" w:space="0" w:color="000000"/>
            </w:tcBorders>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2019</w:t>
            </w:r>
          </w:p>
        </w:tc>
        <w:tc>
          <w:tcPr>
            <w:tcW w:w="50" w:type="pct"/>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gridSpan w:val="2"/>
            <w:tcBorders>
              <w:bottom w:val="single" w:sz="6" w:space="0" w:color="000000"/>
            </w:tcBorders>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2018</w:t>
            </w:r>
          </w:p>
        </w:tc>
        <w:tc>
          <w:tcPr>
            <w:tcW w:w="50" w:type="pct"/>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601259315"/>
          <w:tblCellSpacing w:w="15" w:type="dxa"/>
        </w:trPr>
        <w:tc>
          <w:tcPr>
            <w:tcW w:w="3300" w:type="pct"/>
            <w:shd w:val="clear" w:color="auto" w:fill="CCEEFF"/>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Balance at January 1,</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70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23,682</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70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16,143</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601259315"/>
          <w:tblCellSpacing w:w="15" w:type="dxa"/>
        </w:trPr>
        <w:tc>
          <w:tcPr>
            <w:tcW w:w="3300" w:type="pct"/>
            <w:shd w:val="clear" w:color="auto" w:fill="FFFFFF"/>
            <w:vAlign w:val="bottom"/>
            <w:hideMark/>
          </w:tcPr>
          <w:p w:rsidR="00000000" w:rsidRDefault="008E203B">
            <w:pPr>
              <w:pStyle w:val="a3"/>
              <w:spacing w:before="0" w:beforeAutospacing="0" w:after="0" w:afterAutospacing="0"/>
              <w:ind w:firstLine="230"/>
              <w:rPr>
                <w:rFonts w:ascii="Times New Roman" w:hAnsi="Times New Roman" w:cs="Times New Roman"/>
                <w:sz w:val="20"/>
                <w:szCs w:val="20"/>
              </w:rPr>
            </w:pPr>
            <w:r>
              <w:rPr>
                <w:rFonts w:ascii="Times New Roman" w:hAnsi="Times New Roman" w:cs="Times New Roman"/>
                <w:sz w:val="20"/>
                <w:szCs w:val="20"/>
              </w:rPr>
              <w:t>Income</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70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92</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70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92</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601259315"/>
          <w:tblCellSpacing w:w="15" w:type="dxa"/>
        </w:trPr>
        <w:tc>
          <w:tcPr>
            <w:tcW w:w="3300" w:type="pct"/>
            <w:shd w:val="clear" w:color="auto" w:fill="CCEEFF"/>
            <w:vAlign w:val="bottom"/>
            <w:hideMark/>
          </w:tcPr>
          <w:p w:rsidR="00000000" w:rsidRDefault="008E203B">
            <w:pPr>
              <w:pStyle w:val="a3"/>
              <w:spacing w:before="0" w:beforeAutospacing="0" w:after="0" w:afterAutospacing="0"/>
              <w:ind w:firstLine="230"/>
              <w:rPr>
                <w:rFonts w:ascii="Times New Roman" w:hAnsi="Times New Roman" w:cs="Times New Roman"/>
                <w:sz w:val="20"/>
                <w:szCs w:val="20"/>
              </w:rPr>
            </w:pPr>
            <w:r>
              <w:rPr>
                <w:rFonts w:ascii="Times New Roman" w:hAnsi="Times New Roman" w:cs="Times New Roman"/>
                <w:sz w:val="20"/>
                <w:szCs w:val="20"/>
              </w:rPr>
              <w:t>Distributions</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single" w:sz="6" w:space="0" w:color="000000"/>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700" w:type="pct"/>
            <w:tcBorders>
              <w:bottom w:val="single" w:sz="6" w:space="0" w:color="000000"/>
            </w:tcBorders>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(90</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single" w:sz="6" w:space="0" w:color="000000"/>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700" w:type="pct"/>
            <w:tcBorders>
              <w:bottom w:val="single" w:sz="6" w:space="0" w:color="000000"/>
            </w:tcBorders>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(89</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r>
      <w:tr w:rsidR="00000000">
        <w:trPr>
          <w:divId w:val="1601259315"/>
          <w:tblCellSpacing w:w="15" w:type="dxa"/>
        </w:trPr>
        <w:tc>
          <w:tcPr>
            <w:tcW w:w="3300" w:type="pct"/>
            <w:shd w:val="clear" w:color="auto" w:fill="FFFFFF"/>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Balance at March 31,</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double" w:sz="6" w:space="0" w:color="000000"/>
            </w:tcBorders>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b/>
                <w:bCs/>
                <w:sz w:val="20"/>
                <w:szCs w:val="20"/>
              </w:rPr>
              <w:t>$</w:t>
            </w:r>
          </w:p>
        </w:tc>
        <w:tc>
          <w:tcPr>
            <w:tcW w:w="700" w:type="pct"/>
            <w:tcBorders>
              <w:bottom w:val="double" w:sz="6" w:space="0" w:color="000000"/>
            </w:tcBorders>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b/>
                <w:bCs/>
                <w:sz w:val="20"/>
                <w:szCs w:val="20"/>
              </w:rPr>
              <w:t>23,684</w:t>
            </w:r>
          </w:p>
        </w:tc>
        <w:tc>
          <w:tcPr>
            <w:tcW w:w="50" w:type="pct"/>
            <w:shd w:val="clear" w:color="auto" w:fill="FFFFFF"/>
            <w:noWrap/>
            <w:tcMar>
              <w:top w:w="15" w:type="dxa"/>
              <w:left w:w="15" w:type="dxa"/>
              <w:bottom w:w="45" w:type="dxa"/>
              <w:right w:w="15"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double" w:sz="6" w:space="0" w:color="000000"/>
            </w:tcBorders>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b/>
                <w:bCs/>
                <w:sz w:val="20"/>
                <w:szCs w:val="20"/>
              </w:rPr>
              <w:t>$</w:t>
            </w:r>
          </w:p>
        </w:tc>
        <w:tc>
          <w:tcPr>
            <w:tcW w:w="700" w:type="pct"/>
            <w:tcBorders>
              <w:bottom w:val="double" w:sz="6" w:space="0" w:color="000000"/>
            </w:tcBorders>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b/>
                <w:bCs/>
                <w:sz w:val="20"/>
                <w:szCs w:val="20"/>
              </w:rPr>
              <w:t>16,146</w:t>
            </w:r>
          </w:p>
        </w:tc>
        <w:tc>
          <w:tcPr>
            <w:tcW w:w="50" w:type="pct"/>
            <w:shd w:val="clear" w:color="auto" w:fill="FFFFFF"/>
            <w:noWrap/>
            <w:tcMar>
              <w:top w:w="15" w:type="dxa"/>
              <w:left w:w="15" w:type="dxa"/>
              <w:bottom w:w="45" w:type="dxa"/>
              <w:right w:w="15"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bl>
    <w:p w:rsidR="00000000" w:rsidRDefault="008E203B">
      <w:pPr>
        <w:pStyle w:val="a3"/>
        <w:spacing w:before="0" w:beforeAutospacing="0" w:after="0" w:afterAutospacing="0"/>
        <w:ind w:left="360"/>
        <w:jc w:val="both"/>
        <w:divId w:val="322468201"/>
        <w:rPr>
          <w:rFonts w:ascii="Times New Roman" w:hAnsi="Times New Roman" w:cs="Times New Roman"/>
          <w:sz w:val="20"/>
          <w:szCs w:val="20"/>
        </w:rPr>
      </w:pPr>
      <w:r>
        <w:rPr>
          <w:rFonts w:ascii="Times New Roman" w:hAnsi="Times New Roman" w:cs="Times New Roman"/>
          <w:sz w:val="20"/>
          <w:szCs w:val="20"/>
        </w:rPr>
        <w:t> </w:t>
      </w:r>
    </w:p>
    <w:p w:rsidR="00000000" w:rsidRDefault="008E203B">
      <w:pPr>
        <w:divId w:val="1587615435"/>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jc w:val="both"/>
        <w:divId w:val="2061245044"/>
        <w:rPr>
          <w:rFonts w:ascii="Times New Roman" w:hAnsi="Times New Roman" w:cs="Times New Roman"/>
          <w:sz w:val="20"/>
          <w:szCs w:val="20"/>
        </w:rPr>
      </w:pPr>
      <w:r>
        <w:rPr>
          <w:rFonts w:ascii="Times New Roman" w:hAnsi="Times New Roman" w:cs="Times New Roman"/>
          <w:sz w:val="20"/>
          <w:szCs w:val="20"/>
        </w:rPr>
        <w:t xml:space="preserve">11. </w:t>
      </w:r>
      <w:r>
        <w:rPr>
          <w:rFonts w:ascii="Times New Roman" w:hAnsi="Times New Roman" w:cs="Times New Roman"/>
          <w:sz w:val="20"/>
          <w:szCs w:val="20"/>
          <w:u w:val="single"/>
        </w:rPr>
        <w:t>Variable Interest Entities (“VIE”)</w:t>
      </w:r>
    </w:p>
    <w:p w:rsidR="00000000" w:rsidRDefault="008E203B">
      <w:pPr>
        <w:pStyle w:val="a3"/>
        <w:spacing w:before="0" w:beforeAutospacing="0" w:after="0" w:afterAutospacing="0"/>
        <w:jc w:val="both"/>
        <w:divId w:val="2061245044"/>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ind w:firstLine="360"/>
        <w:jc w:val="both"/>
        <w:divId w:val="2061245044"/>
        <w:rPr>
          <w:rFonts w:ascii="Times New Roman" w:hAnsi="Times New Roman" w:cs="Times New Roman"/>
          <w:sz w:val="20"/>
          <w:szCs w:val="20"/>
        </w:rPr>
      </w:pPr>
      <w:r>
        <w:rPr>
          <w:rFonts w:ascii="Times New Roman" w:hAnsi="Times New Roman" w:cs="Times New Roman"/>
          <w:sz w:val="20"/>
          <w:szCs w:val="20"/>
        </w:rPr>
        <w:t>Included within the Company’s consolidated operating properties at March 31, 2019 and December 31, 2018, are 23 consolidated entities that are VIEs, for which the Company is the primary beneficiary. These entities have been established to own and operate r</w:t>
      </w:r>
      <w:r>
        <w:rPr>
          <w:rFonts w:ascii="Times New Roman" w:hAnsi="Times New Roman" w:cs="Times New Roman"/>
          <w:sz w:val="20"/>
          <w:szCs w:val="20"/>
        </w:rPr>
        <w:t>eal estate property. The Company’s involvement with these entities is through its majority ownership and management of the properties. The entities were deemed VIEs primarily because the unrelated investors do not have substantive kick-out rights to remove</w:t>
      </w:r>
      <w:r>
        <w:rPr>
          <w:rFonts w:ascii="Times New Roman" w:hAnsi="Times New Roman" w:cs="Times New Roman"/>
          <w:sz w:val="20"/>
          <w:szCs w:val="20"/>
        </w:rPr>
        <w:t xml:space="preserve"> the general or managing partner by a vote of a simple majority or less and they do not have substantive participating rights. The Company determined that it was the primary beneficiary of these VIEs as a result of its controlling financial interest. At Ma</w:t>
      </w:r>
      <w:r>
        <w:rPr>
          <w:rFonts w:ascii="Times New Roman" w:hAnsi="Times New Roman" w:cs="Times New Roman"/>
          <w:sz w:val="20"/>
          <w:szCs w:val="20"/>
        </w:rPr>
        <w:t>rch 31, 2019, total assets of these VIEs were $1.1 billion and total liabilities were $76.1 million. At December 31, 2018, total assets of these VIEs were $1.1 billion and total liabilities were $75.2 million.</w:t>
      </w:r>
    </w:p>
    <w:p w:rsidR="00000000" w:rsidRDefault="008E203B">
      <w:pPr>
        <w:pStyle w:val="a3"/>
        <w:spacing w:before="0" w:beforeAutospacing="0" w:after="0" w:afterAutospacing="0"/>
        <w:ind w:firstLine="360"/>
        <w:jc w:val="both"/>
        <w:divId w:val="2061245044"/>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ind w:firstLine="360"/>
        <w:jc w:val="both"/>
        <w:divId w:val="2061245044"/>
        <w:rPr>
          <w:rFonts w:ascii="Times New Roman" w:hAnsi="Times New Roman" w:cs="Times New Roman"/>
          <w:sz w:val="20"/>
          <w:szCs w:val="20"/>
        </w:rPr>
      </w:pPr>
      <w:r>
        <w:rPr>
          <w:rFonts w:ascii="Times New Roman" w:hAnsi="Times New Roman" w:cs="Times New Roman"/>
          <w:sz w:val="20"/>
          <w:szCs w:val="20"/>
        </w:rPr>
        <w:t>The majority of the operations of these VIEs</w:t>
      </w:r>
      <w:r>
        <w:rPr>
          <w:rFonts w:ascii="Times New Roman" w:hAnsi="Times New Roman" w:cs="Times New Roman"/>
          <w:sz w:val="20"/>
          <w:szCs w:val="20"/>
        </w:rPr>
        <w:t xml:space="preserve"> are funded with cash flows generated from the properties. The Company has not provided financial support to any of these VIEs that it was not previously contractually required to provide, which consists primarily of funding any capital expenditures, inclu</w:t>
      </w:r>
      <w:r>
        <w:rPr>
          <w:rFonts w:ascii="Times New Roman" w:hAnsi="Times New Roman" w:cs="Times New Roman"/>
          <w:sz w:val="20"/>
          <w:szCs w:val="20"/>
        </w:rPr>
        <w:t>ding tenant improvements, which are deemed necessary to continue to operate the entity and any operating cash shortfalls that the entity may experience.</w:t>
      </w:r>
    </w:p>
    <w:p w:rsidR="00000000" w:rsidRDefault="008E203B">
      <w:pPr>
        <w:pStyle w:val="a3"/>
        <w:spacing w:before="0" w:beforeAutospacing="0" w:after="0" w:afterAutospacing="0"/>
        <w:ind w:firstLine="360"/>
        <w:jc w:val="both"/>
        <w:divId w:val="2061245044"/>
        <w:rPr>
          <w:rFonts w:ascii="Times New Roman" w:hAnsi="Times New Roman" w:cs="Times New Roman"/>
          <w:sz w:val="20"/>
          <w:szCs w:val="20"/>
        </w:rPr>
      </w:pPr>
      <w:r>
        <w:rPr>
          <w:rFonts w:ascii="Times New Roman" w:hAnsi="Times New Roman" w:cs="Times New Roman"/>
          <w:sz w:val="20"/>
          <w:szCs w:val="20"/>
        </w:rPr>
        <w:t> </w:t>
      </w:r>
    </w:p>
    <w:p w:rsidR="00000000" w:rsidRDefault="008E203B">
      <w:pPr>
        <w:jc w:val="center"/>
        <w:divId w:val="1983385161"/>
        <w:rPr>
          <w:rFonts w:ascii="Times New Roman" w:hAnsi="Times New Roman" w:cs="Times New Roman"/>
          <w:sz w:val="20"/>
          <w:szCs w:val="20"/>
        </w:rPr>
      </w:pPr>
      <w:r>
        <w:rPr>
          <w:rFonts w:ascii="Times New Roman" w:hAnsi="Times New Roman" w:cs="Times New Roman"/>
          <w:sz w:val="20"/>
          <w:szCs w:val="20"/>
        </w:rPr>
        <w:t>16</w:t>
      </w:r>
    </w:p>
    <w:p w:rsidR="00000000" w:rsidRDefault="008E203B">
      <w:pPr>
        <w:divId w:val="1983385161"/>
        <w:rPr>
          <w:rFonts w:ascii="Times New Roman" w:hAnsi="Times New Roman" w:cs="Times New Roman"/>
          <w:sz w:val="20"/>
          <w:szCs w:val="20"/>
        </w:rPr>
      </w:pPr>
      <w:r>
        <w:rPr>
          <w:rFonts w:ascii="Times New Roman" w:hAnsi="Times New Roman" w:cs="Times New Roman"/>
          <w:sz w:val="20"/>
          <w:szCs w:val="20"/>
        </w:rPr>
        <w:pict>
          <v:rect id="_x0000_i1044" style="width:415.3pt;height:1.5pt" o:hralign="center" o:hrstd="t" o:hrnoshade="t" o:hr="t" fillcolor="black" stroked="f"/>
        </w:pict>
      </w:r>
    </w:p>
    <w:p w:rsidR="00000000" w:rsidRDefault="008E203B">
      <w:pPr>
        <w:divId w:val="1983385161"/>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8E203B">
      <w:pPr>
        <w:pStyle w:val="a3"/>
        <w:spacing w:before="0" w:beforeAutospacing="0" w:after="0" w:afterAutospacing="0"/>
        <w:divId w:val="2061245044"/>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ind w:firstLine="360"/>
        <w:jc w:val="both"/>
        <w:divId w:val="2061245044"/>
        <w:rPr>
          <w:rFonts w:ascii="Times New Roman" w:hAnsi="Times New Roman" w:cs="Times New Roman"/>
          <w:sz w:val="20"/>
          <w:szCs w:val="20"/>
        </w:rPr>
      </w:pPr>
      <w:r>
        <w:rPr>
          <w:rFonts w:ascii="Times New Roman" w:hAnsi="Times New Roman" w:cs="Times New Roman"/>
          <w:sz w:val="20"/>
          <w:szCs w:val="20"/>
        </w:rPr>
        <w:t>Additionally, included within the Company’</w:t>
      </w:r>
      <w:r>
        <w:rPr>
          <w:rFonts w:ascii="Times New Roman" w:hAnsi="Times New Roman" w:cs="Times New Roman"/>
          <w:sz w:val="20"/>
          <w:szCs w:val="20"/>
        </w:rPr>
        <w:t>s real estate development projects at March 31, 2019 and December 31, 2018, is one consolidated entity that is a VIE, for which the Company is the primary beneficiary. This entity has been established to develop a real estate property to hold as a long-ter</w:t>
      </w:r>
      <w:r>
        <w:rPr>
          <w:rFonts w:ascii="Times New Roman" w:hAnsi="Times New Roman" w:cs="Times New Roman"/>
          <w:sz w:val="20"/>
          <w:szCs w:val="20"/>
        </w:rPr>
        <w:t>m investment. The Company’s involvement with this entity is through its majority ownership and management of this property. This entity was deemed a VIE primarily based on the fact that the equity investment at risk is not sufficient to permit the entity t</w:t>
      </w:r>
      <w:r>
        <w:rPr>
          <w:rFonts w:ascii="Times New Roman" w:hAnsi="Times New Roman" w:cs="Times New Roman"/>
          <w:sz w:val="20"/>
          <w:szCs w:val="20"/>
        </w:rPr>
        <w:t>o finance its activities without additional financial support. The initial equity contributed to this entity was not sufficient to fully finance the real estate construction as development costs are funded by the partners throughout the construction period</w:t>
      </w:r>
      <w:r>
        <w:rPr>
          <w:rFonts w:ascii="Times New Roman" w:hAnsi="Times New Roman" w:cs="Times New Roman"/>
          <w:sz w:val="20"/>
          <w:szCs w:val="20"/>
        </w:rPr>
        <w:t>. The Company determined that it was the primary beneficiary of this VIE as a result of its controlling financial interest. At March 31, 2019, total assets of this real estate development VIE were $295.9 million and total liabilities were $64.7 million. At</w:t>
      </w:r>
      <w:r>
        <w:rPr>
          <w:rFonts w:ascii="Times New Roman" w:hAnsi="Times New Roman" w:cs="Times New Roman"/>
          <w:sz w:val="20"/>
          <w:szCs w:val="20"/>
        </w:rPr>
        <w:t xml:space="preserve"> December 31, 2018, total assets of this real estate development VIE were $275.6 million and total liabilities were $68.0 million.</w:t>
      </w:r>
    </w:p>
    <w:p w:rsidR="00000000" w:rsidRDefault="008E203B">
      <w:pPr>
        <w:pStyle w:val="a3"/>
        <w:spacing w:before="0" w:beforeAutospacing="0" w:after="0" w:afterAutospacing="0"/>
        <w:ind w:firstLine="720"/>
        <w:jc w:val="both"/>
        <w:divId w:val="2061245044"/>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ind w:firstLine="360"/>
        <w:jc w:val="both"/>
        <w:divId w:val="2061245044"/>
        <w:rPr>
          <w:rFonts w:ascii="Times New Roman" w:hAnsi="Times New Roman" w:cs="Times New Roman"/>
          <w:sz w:val="20"/>
          <w:szCs w:val="20"/>
        </w:rPr>
      </w:pPr>
      <w:r>
        <w:rPr>
          <w:rFonts w:ascii="Times New Roman" w:hAnsi="Times New Roman" w:cs="Times New Roman"/>
          <w:sz w:val="20"/>
          <w:szCs w:val="20"/>
        </w:rPr>
        <w:t>Substantially all the projected remaining development costs to be funded for this real estate development project, aggregat</w:t>
      </w:r>
      <w:r>
        <w:rPr>
          <w:rFonts w:ascii="Times New Roman" w:hAnsi="Times New Roman" w:cs="Times New Roman"/>
          <w:sz w:val="20"/>
          <w:szCs w:val="20"/>
        </w:rPr>
        <w:t>ing $96.8 million, will be funded with capital contributions from the Company, when contractually obligated, and/or construction loan financing. The Company has not provided financial support to this VIE that it was not previously contractually required to</w:t>
      </w:r>
      <w:r>
        <w:rPr>
          <w:rFonts w:ascii="Times New Roman" w:hAnsi="Times New Roman" w:cs="Times New Roman"/>
          <w:sz w:val="20"/>
          <w:szCs w:val="20"/>
        </w:rPr>
        <w:t xml:space="preserve"> provide.</w:t>
      </w:r>
    </w:p>
    <w:p w:rsidR="00000000" w:rsidRDefault="008E203B">
      <w:pPr>
        <w:pStyle w:val="a3"/>
        <w:spacing w:before="0" w:beforeAutospacing="0" w:after="0" w:afterAutospacing="0"/>
        <w:ind w:firstLine="720"/>
        <w:jc w:val="both"/>
        <w:divId w:val="2061245044"/>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ind w:firstLine="360"/>
        <w:jc w:val="both"/>
        <w:divId w:val="2061245044"/>
        <w:rPr>
          <w:rFonts w:ascii="Times New Roman" w:hAnsi="Times New Roman" w:cs="Times New Roman"/>
          <w:sz w:val="20"/>
          <w:szCs w:val="20"/>
        </w:rPr>
      </w:pPr>
      <w:r>
        <w:rPr>
          <w:rFonts w:ascii="Times New Roman" w:hAnsi="Times New Roman" w:cs="Times New Roman"/>
          <w:sz w:val="20"/>
          <w:szCs w:val="20"/>
        </w:rPr>
        <w:t>All liabilities of these consolidated VIEs are non-recourse to the Company (“VIE Liabilities”). The assets of the unencumbered VIEs are not restricted for use to settle only the obligations of these VIEs. The remaining VIE assets are encumbere</w:t>
      </w:r>
      <w:r>
        <w:rPr>
          <w:rFonts w:ascii="Times New Roman" w:hAnsi="Times New Roman" w:cs="Times New Roman"/>
          <w:sz w:val="20"/>
          <w:szCs w:val="20"/>
        </w:rPr>
        <w:t>d by third party non-recourse mortgage debt and a construction loan. The assets associated with these encumbered VIEs (“Restricted Assets”) are collateral under the respective mortgages and a construction loan and are therefore restricted and can only be u</w:t>
      </w:r>
      <w:r>
        <w:rPr>
          <w:rFonts w:ascii="Times New Roman" w:hAnsi="Times New Roman" w:cs="Times New Roman"/>
          <w:sz w:val="20"/>
          <w:szCs w:val="20"/>
        </w:rPr>
        <w:t>sed to settle the corresponding liabilities of the VIE. The table below summarizes the consolidated VIEs and the classification of the Restricted Assets and VIE Liabilities on the Company’s Condensed Consolidated Balance Sheets as follows (dollars in milli</w:t>
      </w:r>
      <w:r>
        <w:rPr>
          <w:rFonts w:ascii="Times New Roman" w:hAnsi="Times New Roman" w:cs="Times New Roman"/>
          <w:sz w:val="20"/>
          <w:szCs w:val="20"/>
        </w:rPr>
        <w:t>ons):</w:t>
      </w:r>
    </w:p>
    <w:p w:rsidR="00000000" w:rsidRDefault="008E203B">
      <w:pPr>
        <w:pStyle w:val="a3"/>
        <w:spacing w:before="0" w:beforeAutospacing="0" w:after="0" w:afterAutospacing="0"/>
        <w:ind w:firstLine="360"/>
        <w:jc w:val="both"/>
        <w:divId w:val="2061245044"/>
        <w:rPr>
          <w:rFonts w:ascii="Times New Roman" w:hAnsi="Times New Roman" w:cs="Times New Roman"/>
          <w:sz w:val="20"/>
          <w:szCs w:val="20"/>
        </w:rPr>
      </w:pPr>
      <w:r>
        <w:rPr>
          <w:rFonts w:ascii="Times New Roman" w:hAnsi="Times New Roman" w:cs="Times New Roman"/>
          <w:sz w:val="20"/>
          <w:szCs w:val="20"/>
        </w:rPr>
        <w:t> </w:t>
      </w:r>
    </w:p>
    <w:tbl>
      <w:tblPr>
        <w:tblW w:w="4500" w:type="pct"/>
        <w:tblCellSpacing w:w="0" w:type="dxa"/>
        <w:tblInd w:w="5" w:type="dxa"/>
        <w:tblCellMar>
          <w:left w:w="0" w:type="dxa"/>
          <w:right w:w="0" w:type="dxa"/>
        </w:tblCellMar>
        <w:tblLook w:val="04A0" w:firstRow="1" w:lastRow="0" w:firstColumn="1" w:lastColumn="0" w:noHBand="0" w:noVBand="1"/>
      </w:tblPr>
      <w:tblGrid>
        <w:gridCol w:w="4530"/>
        <w:gridCol w:w="50"/>
        <w:gridCol w:w="101"/>
        <w:gridCol w:w="539"/>
        <w:gridCol w:w="50"/>
        <w:gridCol w:w="50"/>
        <w:gridCol w:w="141"/>
        <w:gridCol w:w="1964"/>
        <w:gridCol w:w="50"/>
      </w:tblGrid>
      <w:tr w:rsidR="00000000">
        <w:trPr>
          <w:divId w:val="1492866050"/>
          <w:tblCellSpacing w:w="0" w:type="dxa"/>
        </w:trPr>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gridSpan w:val="2"/>
            <w:tcBorders>
              <w:bottom w:val="single" w:sz="6" w:space="0" w:color="000000"/>
            </w:tcBorders>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As of March 31, 2019</w:t>
            </w:r>
          </w:p>
        </w:tc>
        <w:tc>
          <w:tcPr>
            <w:tcW w:w="0" w:type="auto"/>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pct"/>
            <w:gridSpan w:val="2"/>
            <w:tcBorders>
              <w:bottom w:val="single" w:sz="6" w:space="0" w:color="000000"/>
            </w:tcBorders>
            <w:noWrap/>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As of December 31, 2018</w:t>
            </w:r>
          </w:p>
        </w:tc>
        <w:tc>
          <w:tcPr>
            <w:tcW w:w="0" w:type="auto"/>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492866050"/>
          <w:tblCellSpacing w:w="0" w:type="dxa"/>
        </w:trPr>
        <w:tc>
          <w:tcPr>
            <w:tcW w:w="3300" w:type="pct"/>
            <w:shd w:val="clear" w:color="auto" w:fill="CCEEFF"/>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Number of unencumbered VIEs</w:t>
            </w:r>
          </w:p>
        </w:tc>
        <w:tc>
          <w:tcPr>
            <w:tcW w:w="50" w:type="pct"/>
            <w:tcBorders>
              <w:bottom w:val="nil"/>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nil"/>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700" w:type="pct"/>
            <w:tcBorders>
              <w:bottom w:val="nil"/>
            </w:tcBorders>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20</w:t>
            </w:r>
          </w:p>
        </w:tc>
        <w:tc>
          <w:tcPr>
            <w:tcW w:w="50" w:type="pct"/>
            <w:tcBorders>
              <w:bottom w:val="nil"/>
            </w:tcBorders>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nil"/>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nil"/>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700" w:type="pct"/>
            <w:tcBorders>
              <w:bottom w:val="nil"/>
            </w:tcBorders>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20</w:t>
            </w:r>
          </w:p>
        </w:tc>
        <w:tc>
          <w:tcPr>
            <w:tcW w:w="50" w:type="pct"/>
            <w:tcBorders>
              <w:bottom w:val="nil"/>
            </w:tcBorders>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492866050"/>
          <w:tblCellSpacing w:w="0" w:type="dxa"/>
        </w:trPr>
        <w:tc>
          <w:tcPr>
            <w:tcW w:w="0" w:type="auto"/>
            <w:shd w:val="clear" w:color="auto" w:fill="FFFFFF"/>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Number of encumbered VIEs</w:t>
            </w:r>
          </w:p>
        </w:tc>
        <w:tc>
          <w:tcPr>
            <w:tcW w:w="50" w:type="pct"/>
            <w:shd w:val="clear" w:color="auto" w:fill="FFFFFF"/>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single" w:sz="6" w:space="0" w:color="000000"/>
            </w:tcBorders>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700" w:type="pct"/>
            <w:tcBorders>
              <w:bottom w:val="single" w:sz="6" w:space="0" w:color="000000"/>
            </w:tcBorders>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4</w:t>
            </w:r>
          </w:p>
        </w:tc>
        <w:tc>
          <w:tcPr>
            <w:tcW w:w="50" w:type="pct"/>
            <w:shd w:val="clear" w:color="auto" w:fill="FFFFFF"/>
            <w:noWrap/>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single" w:sz="6" w:space="0" w:color="000000"/>
            </w:tcBorders>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700" w:type="pct"/>
            <w:tcBorders>
              <w:bottom w:val="single" w:sz="6" w:space="0" w:color="000000"/>
            </w:tcBorders>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4</w:t>
            </w:r>
          </w:p>
        </w:tc>
        <w:tc>
          <w:tcPr>
            <w:tcW w:w="50" w:type="pct"/>
            <w:shd w:val="clear" w:color="auto" w:fill="FFFFFF"/>
            <w:noWrap/>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492866050"/>
          <w:tblCellSpacing w:w="0" w:type="dxa"/>
        </w:trPr>
        <w:tc>
          <w:tcPr>
            <w:tcW w:w="0" w:type="auto"/>
            <w:shd w:val="clear" w:color="auto" w:fill="CCEEFF"/>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Total number of consolidated VIEs</w:t>
            </w:r>
          </w:p>
        </w:tc>
        <w:tc>
          <w:tcPr>
            <w:tcW w:w="50" w:type="pct"/>
            <w:tcBorders>
              <w:bottom w:val="nil"/>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nil"/>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700" w:type="pct"/>
            <w:tcBorders>
              <w:bottom w:val="nil"/>
            </w:tcBorders>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24</w:t>
            </w:r>
          </w:p>
        </w:tc>
        <w:tc>
          <w:tcPr>
            <w:tcW w:w="50" w:type="pct"/>
            <w:tcBorders>
              <w:bottom w:val="nil"/>
            </w:tcBorders>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nil"/>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nil"/>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700" w:type="pct"/>
            <w:tcBorders>
              <w:bottom w:val="nil"/>
            </w:tcBorders>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24</w:t>
            </w:r>
          </w:p>
        </w:tc>
        <w:tc>
          <w:tcPr>
            <w:tcW w:w="50" w:type="pct"/>
            <w:tcBorders>
              <w:bottom w:val="nil"/>
            </w:tcBorders>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492866050"/>
          <w:tblCellSpacing w:w="0" w:type="dxa"/>
        </w:trPr>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492866050"/>
          <w:tblCellSpacing w:w="0" w:type="dxa"/>
        </w:trPr>
        <w:tc>
          <w:tcPr>
            <w:tcW w:w="0" w:type="auto"/>
            <w:shd w:val="clear" w:color="auto" w:fill="CCEEFF"/>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Restricted Assets:</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492866050"/>
          <w:tblCellSpacing w:w="0" w:type="dxa"/>
        </w:trPr>
        <w:tc>
          <w:tcPr>
            <w:tcW w:w="0" w:type="auto"/>
            <w:shd w:val="clear" w:color="auto" w:fill="FFFFFF"/>
            <w:vAlign w:val="bottom"/>
            <w:hideMark/>
          </w:tcPr>
          <w:p w:rsidR="00000000" w:rsidRDefault="008E203B">
            <w:pPr>
              <w:pStyle w:val="a3"/>
              <w:spacing w:before="0" w:beforeAutospacing="0" w:after="0" w:afterAutospacing="0"/>
              <w:ind w:left="180"/>
              <w:rPr>
                <w:rFonts w:ascii="Times New Roman" w:hAnsi="Times New Roman" w:cs="Times New Roman"/>
                <w:sz w:val="20"/>
                <w:szCs w:val="20"/>
              </w:rPr>
            </w:pPr>
            <w:r>
              <w:rPr>
                <w:rFonts w:ascii="Times New Roman" w:hAnsi="Times New Roman" w:cs="Times New Roman"/>
                <w:sz w:val="20"/>
                <w:szCs w:val="20"/>
              </w:rPr>
              <w:t>Real estate, net</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70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229.4</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70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229.2</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492866050"/>
          <w:tblCellSpacing w:w="0" w:type="dxa"/>
        </w:trPr>
        <w:tc>
          <w:tcPr>
            <w:tcW w:w="0" w:type="auto"/>
            <w:shd w:val="clear" w:color="auto" w:fill="CCEEFF"/>
            <w:vAlign w:val="bottom"/>
            <w:hideMark/>
          </w:tcPr>
          <w:p w:rsidR="00000000" w:rsidRDefault="008E203B">
            <w:pPr>
              <w:pStyle w:val="a3"/>
              <w:spacing w:before="0" w:beforeAutospacing="0" w:after="0" w:afterAutospacing="0"/>
              <w:ind w:left="180"/>
              <w:rPr>
                <w:rFonts w:ascii="Times New Roman" w:hAnsi="Times New Roman" w:cs="Times New Roman"/>
                <w:sz w:val="20"/>
                <w:szCs w:val="20"/>
              </w:rPr>
            </w:pPr>
            <w:r>
              <w:rPr>
                <w:rFonts w:ascii="Times New Roman" w:hAnsi="Times New Roman" w:cs="Times New Roman"/>
                <w:sz w:val="20"/>
                <w:szCs w:val="20"/>
              </w:rPr>
              <w:t>Cash and cash equivalents</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70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5.2</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70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4.4</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492866050"/>
          <w:tblCellSpacing w:w="0" w:type="dxa"/>
        </w:trPr>
        <w:tc>
          <w:tcPr>
            <w:tcW w:w="0" w:type="auto"/>
            <w:shd w:val="clear" w:color="auto" w:fill="FFFFFF"/>
            <w:vAlign w:val="bottom"/>
            <w:hideMark/>
          </w:tcPr>
          <w:p w:rsidR="00000000" w:rsidRDefault="008E203B">
            <w:pPr>
              <w:pStyle w:val="a3"/>
              <w:spacing w:before="0" w:beforeAutospacing="0" w:after="0" w:afterAutospacing="0"/>
              <w:ind w:left="180"/>
              <w:rPr>
                <w:rFonts w:ascii="Times New Roman" w:hAnsi="Times New Roman" w:cs="Times New Roman"/>
                <w:sz w:val="20"/>
                <w:szCs w:val="20"/>
              </w:rPr>
            </w:pPr>
            <w:r>
              <w:rPr>
                <w:rFonts w:ascii="Times New Roman" w:hAnsi="Times New Roman" w:cs="Times New Roman"/>
                <w:sz w:val="20"/>
                <w:szCs w:val="20"/>
              </w:rPr>
              <w:t>Accounts and notes receivable, net</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70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2.9</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70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2.1</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492866050"/>
          <w:tblCellSpacing w:w="0" w:type="dxa"/>
        </w:trPr>
        <w:tc>
          <w:tcPr>
            <w:tcW w:w="0" w:type="auto"/>
            <w:shd w:val="clear" w:color="auto" w:fill="CCEEFF"/>
            <w:vAlign w:val="bottom"/>
            <w:hideMark/>
          </w:tcPr>
          <w:p w:rsidR="00000000" w:rsidRDefault="008E203B">
            <w:pPr>
              <w:pStyle w:val="a3"/>
              <w:spacing w:before="0" w:beforeAutospacing="0" w:after="0" w:afterAutospacing="0"/>
              <w:ind w:left="180"/>
              <w:rPr>
                <w:rFonts w:ascii="Times New Roman" w:hAnsi="Times New Roman" w:cs="Times New Roman"/>
                <w:sz w:val="20"/>
                <w:szCs w:val="20"/>
              </w:rPr>
            </w:pPr>
            <w:r>
              <w:rPr>
                <w:rFonts w:ascii="Times New Roman" w:hAnsi="Times New Roman" w:cs="Times New Roman"/>
                <w:sz w:val="20"/>
                <w:szCs w:val="20"/>
              </w:rPr>
              <w:t>Other assets</w:t>
            </w:r>
          </w:p>
        </w:tc>
        <w:tc>
          <w:tcPr>
            <w:tcW w:w="50" w:type="pct"/>
            <w:shd w:val="clear" w:color="auto" w:fill="CCEEFF"/>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single" w:sz="6" w:space="0" w:color="000000"/>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700" w:type="pct"/>
            <w:tcBorders>
              <w:bottom w:val="single" w:sz="6" w:space="0" w:color="000000"/>
            </w:tcBorders>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4.0</w:t>
            </w:r>
          </w:p>
        </w:tc>
        <w:tc>
          <w:tcPr>
            <w:tcW w:w="50" w:type="pct"/>
            <w:shd w:val="clear" w:color="auto" w:fill="CCEEFF"/>
            <w:noWrap/>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single" w:sz="6" w:space="0" w:color="000000"/>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700" w:type="pct"/>
            <w:tcBorders>
              <w:bottom w:val="single" w:sz="6" w:space="0" w:color="000000"/>
            </w:tcBorders>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3.3</w:t>
            </w:r>
          </w:p>
        </w:tc>
        <w:tc>
          <w:tcPr>
            <w:tcW w:w="50" w:type="pct"/>
            <w:shd w:val="clear" w:color="auto" w:fill="CCEEFF"/>
            <w:noWrap/>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492866050"/>
          <w:tblCellSpacing w:w="0" w:type="dxa"/>
        </w:trPr>
        <w:tc>
          <w:tcPr>
            <w:tcW w:w="0" w:type="auto"/>
            <w:shd w:val="clear" w:color="auto" w:fill="FFFFFF"/>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Total Restricted Assets</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double" w:sz="6" w:space="0" w:color="000000"/>
            </w:tcBorders>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700" w:type="pct"/>
            <w:tcBorders>
              <w:bottom w:val="double" w:sz="6" w:space="0" w:color="000000"/>
            </w:tcBorders>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241.5</w:t>
            </w:r>
          </w:p>
        </w:tc>
        <w:tc>
          <w:tcPr>
            <w:tcW w:w="50" w:type="pct"/>
            <w:shd w:val="clear" w:color="auto" w:fill="FFFFFF"/>
            <w:noWrap/>
            <w:tcMar>
              <w:top w:w="0" w:type="dxa"/>
              <w:left w:w="0" w:type="dxa"/>
              <w:bottom w:w="4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double" w:sz="6" w:space="0" w:color="000000"/>
            </w:tcBorders>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700" w:type="pct"/>
            <w:tcBorders>
              <w:bottom w:val="double" w:sz="6" w:space="0" w:color="000000"/>
            </w:tcBorders>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239.0</w:t>
            </w:r>
          </w:p>
        </w:tc>
        <w:tc>
          <w:tcPr>
            <w:tcW w:w="50" w:type="pct"/>
            <w:shd w:val="clear" w:color="auto" w:fill="FFFFFF"/>
            <w:noWrap/>
            <w:tcMar>
              <w:top w:w="0" w:type="dxa"/>
              <w:left w:w="0" w:type="dxa"/>
              <w:bottom w:w="4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492866050"/>
          <w:tblCellSpacing w:w="0" w:type="dxa"/>
        </w:trPr>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492866050"/>
          <w:tblCellSpacing w:w="0" w:type="dxa"/>
        </w:trPr>
        <w:tc>
          <w:tcPr>
            <w:tcW w:w="0" w:type="auto"/>
            <w:shd w:val="clear" w:color="auto" w:fill="FFFFFF"/>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VIE Liabilities:</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492866050"/>
          <w:tblCellSpacing w:w="0" w:type="dxa"/>
        </w:trPr>
        <w:tc>
          <w:tcPr>
            <w:tcW w:w="0" w:type="auto"/>
            <w:shd w:val="clear" w:color="auto" w:fill="CCEEFF"/>
            <w:vAlign w:val="bottom"/>
            <w:hideMark/>
          </w:tcPr>
          <w:p w:rsidR="00000000" w:rsidRDefault="008E203B">
            <w:pPr>
              <w:pStyle w:val="a3"/>
              <w:spacing w:before="0" w:beforeAutospacing="0" w:after="0" w:afterAutospacing="0"/>
              <w:ind w:left="180"/>
              <w:rPr>
                <w:rFonts w:ascii="Times New Roman" w:hAnsi="Times New Roman" w:cs="Times New Roman"/>
                <w:sz w:val="20"/>
                <w:szCs w:val="20"/>
              </w:rPr>
            </w:pPr>
            <w:r>
              <w:rPr>
                <w:rFonts w:ascii="Times New Roman" w:hAnsi="Times New Roman" w:cs="Times New Roman"/>
                <w:sz w:val="20"/>
                <w:szCs w:val="20"/>
              </w:rPr>
              <w:t>Mortgages and construction loan payable, net</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70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88.0</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70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83.8</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492866050"/>
          <w:tblCellSpacing w:w="0" w:type="dxa"/>
        </w:trPr>
        <w:tc>
          <w:tcPr>
            <w:tcW w:w="0" w:type="auto"/>
            <w:shd w:val="clear" w:color="auto" w:fill="FFFFFF"/>
            <w:vAlign w:val="bottom"/>
            <w:hideMark/>
          </w:tcPr>
          <w:p w:rsidR="00000000" w:rsidRDefault="008E203B">
            <w:pPr>
              <w:pStyle w:val="a3"/>
              <w:spacing w:before="0" w:beforeAutospacing="0" w:after="0" w:afterAutospacing="0"/>
              <w:ind w:left="180"/>
              <w:rPr>
                <w:rFonts w:ascii="Times New Roman" w:hAnsi="Times New Roman" w:cs="Times New Roman"/>
                <w:sz w:val="20"/>
                <w:szCs w:val="20"/>
              </w:rPr>
            </w:pPr>
            <w:r>
              <w:rPr>
                <w:rFonts w:ascii="Times New Roman" w:hAnsi="Times New Roman" w:cs="Times New Roman"/>
                <w:sz w:val="20"/>
                <w:szCs w:val="20"/>
              </w:rPr>
              <w:t>Other liabilities</w:t>
            </w:r>
          </w:p>
        </w:tc>
        <w:tc>
          <w:tcPr>
            <w:tcW w:w="50" w:type="pct"/>
            <w:shd w:val="clear" w:color="auto" w:fill="FFFFFF"/>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single" w:sz="6" w:space="0" w:color="000000"/>
            </w:tcBorders>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700" w:type="pct"/>
            <w:tcBorders>
              <w:bottom w:val="single" w:sz="6" w:space="0" w:color="000000"/>
            </w:tcBorders>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52.8</w:t>
            </w:r>
          </w:p>
        </w:tc>
        <w:tc>
          <w:tcPr>
            <w:tcW w:w="50" w:type="pct"/>
            <w:shd w:val="clear" w:color="auto" w:fill="FFFFFF"/>
            <w:noWrap/>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single" w:sz="6" w:space="0" w:color="000000"/>
            </w:tcBorders>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700" w:type="pct"/>
            <w:tcBorders>
              <w:bottom w:val="single" w:sz="6" w:space="0" w:color="000000"/>
            </w:tcBorders>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59.4</w:t>
            </w:r>
          </w:p>
        </w:tc>
        <w:tc>
          <w:tcPr>
            <w:tcW w:w="50" w:type="pct"/>
            <w:shd w:val="clear" w:color="auto" w:fill="FFFFFF"/>
            <w:noWrap/>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492866050"/>
          <w:tblCellSpacing w:w="0" w:type="dxa"/>
        </w:trPr>
        <w:tc>
          <w:tcPr>
            <w:tcW w:w="0" w:type="auto"/>
            <w:shd w:val="clear" w:color="auto" w:fill="CCEEFF"/>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Total VIE Liabilities</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double" w:sz="6" w:space="0" w:color="000000"/>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700" w:type="pct"/>
            <w:tcBorders>
              <w:bottom w:val="double" w:sz="6" w:space="0" w:color="000000"/>
            </w:tcBorders>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140.8</w:t>
            </w:r>
          </w:p>
        </w:tc>
        <w:tc>
          <w:tcPr>
            <w:tcW w:w="50" w:type="pct"/>
            <w:shd w:val="clear" w:color="auto" w:fill="CCEEFF"/>
            <w:noWrap/>
            <w:tcMar>
              <w:top w:w="0" w:type="dxa"/>
              <w:left w:w="0" w:type="dxa"/>
              <w:bottom w:w="4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double" w:sz="6" w:space="0" w:color="000000"/>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700" w:type="pct"/>
            <w:tcBorders>
              <w:bottom w:val="double" w:sz="6" w:space="0" w:color="000000"/>
            </w:tcBorders>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143.2</w:t>
            </w:r>
          </w:p>
        </w:tc>
        <w:tc>
          <w:tcPr>
            <w:tcW w:w="50" w:type="pct"/>
            <w:shd w:val="clear" w:color="auto" w:fill="CCEEFF"/>
            <w:noWrap/>
            <w:tcMar>
              <w:top w:w="0" w:type="dxa"/>
              <w:left w:w="0" w:type="dxa"/>
              <w:bottom w:w="4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bl>
    <w:p w:rsidR="00000000" w:rsidRDefault="008E203B">
      <w:pPr>
        <w:pStyle w:val="a3"/>
        <w:spacing w:before="0" w:beforeAutospacing="0" w:after="0" w:afterAutospacing="0"/>
        <w:divId w:val="2061245044"/>
        <w:rPr>
          <w:rFonts w:ascii="Times New Roman" w:hAnsi="Times New Roman" w:cs="Times New Roman"/>
          <w:sz w:val="20"/>
          <w:szCs w:val="20"/>
        </w:rPr>
      </w:pPr>
      <w:r>
        <w:rPr>
          <w:rFonts w:ascii="Times New Roman" w:hAnsi="Times New Roman" w:cs="Times New Roman"/>
          <w:sz w:val="20"/>
          <w:szCs w:val="20"/>
        </w:rPr>
        <w:t> </w:t>
      </w:r>
    </w:p>
    <w:p w:rsidR="00000000" w:rsidRDefault="008E203B">
      <w:pPr>
        <w:divId w:val="1472166278"/>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divId w:val="1482114578"/>
        <w:rPr>
          <w:rFonts w:ascii="Times New Roman" w:hAnsi="Times New Roman" w:cs="Times New Roman"/>
          <w:sz w:val="20"/>
          <w:szCs w:val="20"/>
        </w:rPr>
      </w:pPr>
      <w:r>
        <w:rPr>
          <w:rFonts w:ascii="Times New Roman" w:hAnsi="Times New Roman" w:cs="Times New Roman"/>
          <w:sz w:val="20"/>
          <w:szCs w:val="20"/>
        </w:rPr>
        <w:t xml:space="preserve">12. </w:t>
      </w:r>
      <w:r>
        <w:rPr>
          <w:rFonts w:ascii="Times New Roman" w:hAnsi="Times New Roman" w:cs="Times New Roman"/>
          <w:sz w:val="20"/>
          <w:szCs w:val="20"/>
          <w:u w:val="single"/>
        </w:rPr>
        <w:t>Fair Value Measurements</w:t>
      </w:r>
    </w:p>
    <w:p w:rsidR="00000000" w:rsidRDefault="008E203B">
      <w:pPr>
        <w:pStyle w:val="a3"/>
        <w:spacing w:before="0" w:beforeAutospacing="0" w:after="0" w:afterAutospacing="0"/>
        <w:jc w:val="both"/>
        <w:divId w:val="1482114578"/>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ind w:firstLine="360"/>
        <w:jc w:val="both"/>
        <w:divId w:val="1482114578"/>
        <w:rPr>
          <w:rFonts w:ascii="Times New Roman" w:hAnsi="Times New Roman" w:cs="Times New Roman"/>
          <w:sz w:val="20"/>
          <w:szCs w:val="20"/>
        </w:rPr>
      </w:pPr>
      <w:r>
        <w:rPr>
          <w:rFonts w:ascii="Times New Roman" w:hAnsi="Times New Roman" w:cs="Times New Roman"/>
          <w:sz w:val="20"/>
          <w:szCs w:val="20"/>
        </w:rPr>
        <w:t>All financial instruments of the Company are reflected in the accompanying Condensed Consolidated Balance Sheets at amounts which, in management’s estimation, based upon an interpretation of available market information and valuation methodologies, reasona</w:t>
      </w:r>
      <w:r>
        <w:rPr>
          <w:rFonts w:ascii="Times New Roman" w:hAnsi="Times New Roman" w:cs="Times New Roman"/>
          <w:sz w:val="20"/>
          <w:szCs w:val="20"/>
        </w:rPr>
        <w:t>bly approximate their fair values except those listed below, for which fair values are disclosed. The valuation method used to estimate fair value for fixed-rate and variable-rate debt is based on discounted cash flow analyses, with assumptions that includ</w:t>
      </w:r>
      <w:r>
        <w:rPr>
          <w:rFonts w:ascii="Times New Roman" w:hAnsi="Times New Roman" w:cs="Times New Roman"/>
          <w:sz w:val="20"/>
          <w:szCs w:val="20"/>
        </w:rPr>
        <w:t>e credit spreads, market yield curves, trading activity, loan amounts and debt maturities. The fair values for marketable securities are based on published values, securities dealers’ estimated market values or comparable market sales. Such fair value esti</w:t>
      </w:r>
      <w:r>
        <w:rPr>
          <w:rFonts w:ascii="Times New Roman" w:hAnsi="Times New Roman" w:cs="Times New Roman"/>
          <w:sz w:val="20"/>
          <w:szCs w:val="20"/>
        </w:rPr>
        <w:t>mates are not necessarily indicative of the amounts that would be realized upon disposition.</w:t>
      </w:r>
    </w:p>
    <w:p w:rsidR="00000000" w:rsidRDefault="008E203B">
      <w:pPr>
        <w:pStyle w:val="a3"/>
        <w:spacing w:before="0" w:beforeAutospacing="0" w:after="0" w:afterAutospacing="0"/>
        <w:ind w:left="360"/>
        <w:jc w:val="both"/>
        <w:divId w:val="1482114578"/>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ind w:firstLine="360"/>
        <w:jc w:val="both"/>
        <w:divId w:val="1482114578"/>
        <w:rPr>
          <w:rFonts w:ascii="Times New Roman" w:hAnsi="Times New Roman" w:cs="Times New Roman"/>
          <w:sz w:val="20"/>
          <w:szCs w:val="20"/>
        </w:rPr>
      </w:pPr>
      <w:r>
        <w:rPr>
          <w:rFonts w:ascii="Times New Roman" w:hAnsi="Times New Roman" w:cs="Times New Roman"/>
          <w:sz w:val="20"/>
          <w:szCs w:val="20"/>
        </w:rPr>
        <w:t>As a basis for considering market participant assumptions in fair value measurements, the FASB’s Fair Value Measurements and Disclosures guidance establishes a f</w:t>
      </w:r>
      <w:r>
        <w:rPr>
          <w:rFonts w:ascii="Times New Roman" w:hAnsi="Times New Roman" w:cs="Times New Roman"/>
          <w:sz w:val="20"/>
          <w:szCs w:val="20"/>
        </w:rPr>
        <w:t>air value hierarchy that distinguishes between market participant assumptions based on market data obtained from sources independent of the reporting entity (observable inputs that are classified within Levels 1 and 2 of the hierarchy) and the reporting en</w:t>
      </w:r>
      <w:r>
        <w:rPr>
          <w:rFonts w:ascii="Times New Roman" w:hAnsi="Times New Roman" w:cs="Times New Roman"/>
          <w:sz w:val="20"/>
          <w:szCs w:val="20"/>
        </w:rPr>
        <w:t>tity’s own assumptions about market participant assumptions (unobservable inputs classified within Level 3 of the hierarchy).</w:t>
      </w:r>
    </w:p>
    <w:p w:rsidR="00000000" w:rsidRDefault="008E203B">
      <w:pPr>
        <w:pStyle w:val="a3"/>
        <w:spacing w:before="0" w:beforeAutospacing="0" w:after="0" w:afterAutospacing="0"/>
        <w:ind w:left="360"/>
        <w:jc w:val="both"/>
        <w:divId w:val="1482114578"/>
        <w:rPr>
          <w:rFonts w:ascii="Times New Roman" w:hAnsi="Times New Roman" w:cs="Times New Roman"/>
          <w:sz w:val="20"/>
          <w:szCs w:val="20"/>
        </w:rPr>
      </w:pPr>
      <w:r>
        <w:rPr>
          <w:rFonts w:ascii="Times New Roman" w:hAnsi="Times New Roman" w:cs="Times New Roman"/>
          <w:sz w:val="20"/>
          <w:szCs w:val="20"/>
        </w:rPr>
        <w:t> </w:t>
      </w:r>
    </w:p>
    <w:p w:rsidR="00000000" w:rsidRDefault="008E203B">
      <w:pPr>
        <w:jc w:val="center"/>
        <w:divId w:val="882133694"/>
        <w:rPr>
          <w:rFonts w:ascii="Times New Roman" w:hAnsi="Times New Roman" w:cs="Times New Roman"/>
          <w:sz w:val="20"/>
          <w:szCs w:val="20"/>
        </w:rPr>
      </w:pPr>
      <w:r>
        <w:rPr>
          <w:rFonts w:ascii="Times New Roman" w:hAnsi="Times New Roman" w:cs="Times New Roman"/>
          <w:sz w:val="20"/>
          <w:szCs w:val="20"/>
        </w:rPr>
        <w:t>17</w:t>
      </w:r>
    </w:p>
    <w:p w:rsidR="00000000" w:rsidRDefault="008E203B">
      <w:pPr>
        <w:divId w:val="882133694"/>
        <w:rPr>
          <w:rFonts w:ascii="Times New Roman" w:hAnsi="Times New Roman" w:cs="Times New Roman"/>
          <w:sz w:val="20"/>
          <w:szCs w:val="20"/>
        </w:rPr>
      </w:pPr>
      <w:r>
        <w:rPr>
          <w:rFonts w:ascii="Times New Roman" w:hAnsi="Times New Roman" w:cs="Times New Roman"/>
          <w:sz w:val="20"/>
          <w:szCs w:val="20"/>
        </w:rPr>
        <w:pict>
          <v:rect id="_x0000_i1045" style="width:415.3pt;height:1.5pt" o:hralign="center" o:hrstd="t" o:hrnoshade="t" o:hr="t" fillcolor="black" stroked="f"/>
        </w:pict>
      </w:r>
    </w:p>
    <w:p w:rsidR="00000000" w:rsidRDefault="008E203B">
      <w:pPr>
        <w:divId w:val="882133694"/>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8E203B">
      <w:pPr>
        <w:pStyle w:val="a3"/>
        <w:spacing w:before="0" w:beforeAutospacing="0" w:after="0" w:afterAutospacing="0"/>
        <w:divId w:val="1482114578"/>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ind w:firstLine="360"/>
        <w:jc w:val="both"/>
        <w:divId w:val="1482114578"/>
        <w:rPr>
          <w:rFonts w:ascii="Times New Roman" w:hAnsi="Times New Roman" w:cs="Times New Roman"/>
          <w:sz w:val="20"/>
          <w:szCs w:val="20"/>
        </w:rPr>
      </w:pPr>
      <w:r>
        <w:rPr>
          <w:rFonts w:ascii="Times New Roman" w:hAnsi="Times New Roman" w:cs="Times New Roman"/>
          <w:sz w:val="20"/>
          <w:szCs w:val="20"/>
        </w:rPr>
        <w:t>The following are financial instruments for which the Company’s estimated fair value differs from the carrying value (in thousands):</w:t>
      </w:r>
    </w:p>
    <w:p w:rsidR="00000000" w:rsidRDefault="008E203B">
      <w:pPr>
        <w:pStyle w:val="a3"/>
        <w:spacing w:before="0" w:beforeAutospacing="0" w:after="0" w:afterAutospacing="0"/>
        <w:ind w:firstLine="360"/>
        <w:jc w:val="both"/>
        <w:divId w:val="1482114578"/>
        <w:rPr>
          <w:rFonts w:ascii="Times New Roman" w:hAnsi="Times New Roman" w:cs="Times New Roman"/>
          <w:sz w:val="20"/>
          <w:szCs w:val="20"/>
        </w:rPr>
      </w:pPr>
      <w:r>
        <w:rPr>
          <w:rFonts w:ascii="Times New Roman" w:hAnsi="Times New Roman" w:cs="Times New Roman"/>
          <w:sz w:val="20"/>
          <w:szCs w:val="20"/>
        </w:rPr>
        <w:t> </w:t>
      </w:r>
    </w:p>
    <w:tbl>
      <w:tblPr>
        <w:tblW w:w="4750" w:type="pct"/>
        <w:tblCellSpacing w:w="0" w:type="dxa"/>
        <w:tblInd w:w="2" w:type="dxa"/>
        <w:tblCellMar>
          <w:left w:w="0" w:type="dxa"/>
          <w:right w:w="0" w:type="dxa"/>
        </w:tblCellMar>
        <w:tblLook w:val="04A0" w:firstRow="1" w:lastRow="0" w:firstColumn="1" w:lastColumn="0" w:noHBand="0" w:noVBand="1"/>
      </w:tblPr>
      <w:tblGrid>
        <w:gridCol w:w="3773"/>
        <w:gridCol w:w="64"/>
        <w:gridCol w:w="100"/>
        <w:gridCol w:w="800"/>
        <w:gridCol w:w="64"/>
        <w:gridCol w:w="65"/>
        <w:gridCol w:w="100"/>
        <w:gridCol w:w="800"/>
        <w:gridCol w:w="65"/>
        <w:gridCol w:w="65"/>
        <w:gridCol w:w="100"/>
        <w:gridCol w:w="800"/>
        <w:gridCol w:w="65"/>
        <w:gridCol w:w="65"/>
        <w:gridCol w:w="100"/>
        <w:gridCol w:w="800"/>
        <w:gridCol w:w="65"/>
      </w:tblGrid>
      <w:tr w:rsidR="00000000">
        <w:trPr>
          <w:divId w:val="809440065"/>
          <w:tblCellSpacing w:w="0" w:type="dxa"/>
        </w:trPr>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gridSpan w:val="6"/>
            <w:tcBorders>
              <w:bottom w:val="single" w:sz="6" w:space="0" w:color="000000"/>
            </w:tcBorders>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March 31, 2019</w:t>
            </w:r>
          </w:p>
        </w:tc>
        <w:tc>
          <w:tcPr>
            <w:tcW w:w="0" w:type="auto"/>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gridSpan w:val="6"/>
            <w:tcBorders>
              <w:bottom w:val="single" w:sz="6" w:space="0" w:color="000000"/>
            </w:tcBorders>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December 31, 2018</w:t>
            </w:r>
          </w:p>
        </w:tc>
        <w:tc>
          <w:tcPr>
            <w:tcW w:w="0" w:type="auto"/>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809440065"/>
          <w:tblCellSpacing w:w="0" w:type="dxa"/>
        </w:trPr>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gridSpan w:val="2"/>
            <w:tcBorders>
              <w:bottom w:val="single" w:sz="6" w:space="0" w:color="000000"/>
            </w:tcBorders>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Carrying Value</w:t>
            </w:r>
          </w:p>
        </w:tc>
        <w:tc>
          <w:tcPr>
            <w:tcW w:w="0" w:type="auto"/>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gridSpan w:val="2"/>
            <w:tcBorders>
              <w:bottom w:val="single" w:sz="6" w:space="0" w:color="000000"/>
            </w:tcBorders>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Fair Value</w:t>
            </w:r>
          </w:p>
        </w:tc>
        <w:tc>
          <w:tcPr>
            <w:tcW w:w="0" w:type="auto"/>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gridSpan w:val="2"/>
            <w:tcBorders>
              <w:bottom w:val="single" w:sz="6" w:space="0" w:color="000000"/>
            </w:tcBorders>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Carrying Value</w:t>
            </w:r>
          </w:p>
        </w:tc>
        <w:tc>
          <w:tcPr>
            <w:tcW w:w="0" w:type="auto"/>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gridSpan w:val="2"/>
            <w:tcBorders>
              <w:bottom w:val="single" w:sz="6" w:space="0" w:color="000000"/>
            </w:tcBorders>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Fair Value</w:t>
            </w:r>
          </w:p>
        </w:tc>
        <w:tc>
          <w:tcPr>
            <w:tcW w:w="0" w:type="auto"/>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809440065"/>
          <w:tblCellSpacing w:w="0" w:type="dxa"/>
        </w:trPr>
        <w:tc>
          <w:tcPr>
            <w:tcW w:w="2400" w:type="pct"/>
            <w:shd w:val="clear" w:color="auto" w:fill="CCEEFF"/>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Notes payable, net (1)</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double" w:sz="6" w:space="0" w:color="000000"/>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500" w:type="pct"/>
            <w:tcBorders>
              <w:bottom w:val="double" w:sz="6" w:space="0" w:color="000000"/>
            </w:tcBorders>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4,383,413</w:t>
            </w:r>
          </w:p>
        </w:tc>
        <w:tc>
          <w:tcPr>
            <w:tcW w:w="50" w:type="pct"/>
            <w:shd w:val="clear" w:color="auto" w:fill="CCEEFF"/>
            <w:noWrap/>
            <w:tcMar>
              <w:top w:w="0" w:type="dxa"/>
              <w:left w:w="0" w:type="dxa"/>
              <w:bottom w:w="4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double" w:sz="6" w:space="0" w:color="000000"/>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500" w:type="pct"/>
            <w:tcBorders>
              <w:bottom w:val="double" w:sz="6" w:space="0" w:color="000000"/>
            </w:tcBorders>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4,302,177</w:t>
            </w:r>
          </w:p>
        </w:tc>
        <w:tc>
          <w:tcPr>
            <w:tcW w:w="50" w:type="pct"/>
            <w:shd w:val="clear" w:color="auto" w:fill="CCEEFF"/>
            <w:noWrap/>
            <w:tcMar>
              <w:top w:w="0" w:type="dxa"/>
              <w:left w:w="0" w:type="dxa"/>
              <w:bottom w:w="4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double" w:sz="6" w:space="0" w:color="000000"/>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500" w:type="pct"/>
            <w:tcBorders>
              <w:bottom w:val="double" w:sz="6" w:space="0" w:color="000000"/>
            </w:tcBorders>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4,381,456</w:t>
            </w:r>
          </w:p>
        </w:tc>
        <w:tc>
          <w:tcPr>
            <w:tcW w:w="50" w:type="pct"/>
            <w:shd w:val="clear" w:color="auto" w:fill="CCEEFF"/>
            <w:noWrap/>
            <w:tcMar>
              <w:top w:w="0" w:type="dxa"/>
              <w:left w:w="0" w:type="dxa"/>
              <w:bottom w:w="4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double" w:sz="6" w:space="0" w:color="000000"/>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500" w:type="pct"/>
            <w:tcBorders>
              <w:bottom w:val="double" w:sz="6" w:space="0" w:color="000000"/>
            </w:tcBorders>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4,126,450</w:t>
            </w:r>
          </w:p>
        </w:tc>
        <w:tc>
          <w:tcPr>
            <w:tcW w:w="50" w:type="pct"/>
            <w:shd w:val="clear" w:color="auto" w:fill="CCEEFF"/>
            <w:noWrap/>
            <w:tcMar>
              <w:top w:w="0" w:type="dxa"/>
              <w:left w:w="0" w:type="dxa"/>
              <w:bottom w:w="4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809440065"/>
          <w:tblCellSpacing w:w="0" w:type="dxa"/>
        </w:trPr>
        <w:tc>
          <w:tcPr>
            <w:tcW w:w="0" w:type="auto"/>
            <w:shd w:val="clear" w:color="auto" w:fill="FFFFFF"/>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Mortgages and construction loan payable, net (2)</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double" w:sz="6" w:space="0" w:color="000000"/>
            </w:tcBorders>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500" w:type="pct"/>
            <w:tcBorders>
              <w:bottom w:val="double" w:sz="6" w:space="0" w:color="000000"/>
            </w:tcBorders>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485,341</w:t>
            </w:r>
          </w:p>
        </w:tc>
        <w:tc>
          <w:tcPr>
            <w:tcW w:w="50" w:type="pct"/>
            <w:shd w:val="clear" w:color="auto" w:fill="FFFFFF"/>
            <w:noWrap/>
            <w:tcMar>
              <w:top w:w="0" w:type="dxa"/>
              <w:left w:w="0" w:type="dxa"/>
              <w:bottom w:w="4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double" w:sz="6" w:space="0" w:color="000000"/>
            </w:tcBorders>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500" w:type="pct"/>
            <w:tcBorders>
              <w:bottom w:val="double" w:sz="6" w:space="0" w:color="000000"/>
            </w:tcBorders>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483,412</w:t>
            </w:r>
          </w:p>
        </w:tc>
        <w:tc>
          <w:tcPr>
            <w:tcW w:w="50" w:type="pct"/>
            <w:shd w:val="clear" w:color="auto" w:fill="FFFFFF"/>
            <w:noWrap/>
            <w:tcMar>
              <w:top w:w="0" w:type="dxa"/>
              <w:left w:w="0" w:type="dxa"/>
              <w:bottom w:w="4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double" w:sz="6" w:space="0" w:color="000000"/>
            </w:tcBorders>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500" w:type="pct"/>
            <w:tcBorders>
              <w:bottom w:val="double" w:sz="6" w:space="0" w:color="000000"/>
            </w:tcBorders>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492,416</w:t>
            </w:r>
          </w:p>
        </w:tc>
        <w:tc>
          <w:tcPr>
            <w:tcW w:w="50" w:type="pct"/>
            <w:shd w:val="clear" w:color="auto" w:fill="FFFFFF"/>
            <w:noWrap/>
            <w:tcMar>
              <w:top w:w="0" w:type="dxa"/>
              <w:left w:w="0" w:type="dxa"/>
              <w:bottom w:w="4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double" w:sz="6" w:space="0" w:color="000000"/>
            </w:tcBorders>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500" w:type="pct"/>
            <w:tcBorders>
              <w:bottom w:val="double" w:sz="6" w:space="0" w:color="000000"/>
            </w:tcBorders>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486,341</w:t>
            </w:r>
          </w:p>
        </w:tc>
        <w:tc>
          <w:tcPr>
            <w:tcW w:w="50" w:type="pct"/>
            <w:shd w:val="clear" w:color="auto" w:fill="FFFFFF"/>
            <w:noWrap/>
            <w:tcMar>
              <w:top w:w="0" w:type="dxa"/>
              <w:left w:w="0" w:type="dxa"/>
              <w:bottom w:w="4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bl>
    <w:p w:rsidR="00000000" w:rsidRDefault="008E203B">
      <w:pPr>
        <w:pStyle w:val="a3"/>
        <w:spacing w:before="0" w:beforeAutospacing="0" w:after="0" w:afterAutospacing="0"/>
        <w:jc w:val="both"/>
        <w:divId w:val="1482114578"/>
        <w:rPr>
          <w:rFonts w:ascii="Times New Roman" w:hAnsi="Times New Roman" w:cs="Times New Roman"/>
          <w:sz w:val="20"/>
          <w:szCs w:val="20"/>
        </w:rPr>
      </w:pPr>
      <w:r>
        <w:rPr>
          <w:rFonts w:ascii="Times New Roman" w:hAnsi="Times New Roman" w:cs="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divId w:val="1482114578"/>
          <w:tblCellSpacing w:w="0" w:type="dxa"/>
        </w:trPr>
        <w:tc>
          <w:tcPr>
            <w:tcW w:w="360" w:type="dxa"/>
            <w:vAlign w:val="center"/>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360" w:type="dxa"/>
            <w:hideMark/>
          </w:tcPr>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(1)</w:t>
            </w:r>
          </w:p>
        </w:tc>
        <w:tc>
          <w:tcPr>
            <w:tcW w:w="0" w:type="auto"/>
            <w:hideMark/>
          </w:tcPr>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The Company determined that the valuation of its Senior Unsecured Notes were classified within Level 2 of the fair value hierarchy and its unsecured revolving credit facility was classified within Level 3 of the fair value hierarchy.  The estimated fai</w:t>
            </w:r>
            <w:r>
              <w:rPr>
                <w:rFonts w:ascii="Times New Roman" w:hAnsi="Times New Roman" w:cs="Times New Roman"/>
                <w:sz w:val="20"/>
                <w:szCs w:val="20"/>
              </w:rPr>
              <w:t xml:space="preserve">r value amounts classified as Level 2, as of March 31, 2019 and December 31, 2018, were $4.2 billion and $4.0 billion, respectively. The estimated fair value amounts classified as Level 3, as of March 31, 2019 and December 31, 2018, were $97.9 million and </w:t>
            </w:r>
            <w:r>
              <w:rPr>
                <w:rFonts w:ascii="Times New Roman" w:hAnsi="Times New Roman" w:cs="Times New Roman"/>
                <w:sz w:val="20"/>
                <w:szCs w:val="20"/>
              </w:rPr>
              <w:t>$97.6 million, respectively.</w:t>
            </w:r>
          </w:p>
        </w:tc>
      </w:tr>
    </w:tbl>
    <w:p w:rsidR="00000000" w:rsidRDefault="008E203B">
      <w:pPr>
        <w:divId w:val="1482114578"/>
        <w:rPr>
          <w:rFonts w:ascii="Times New Roman" w:hAnsi="Times New Roman" w:cs="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divId w:val="1482114578"/>
          <w:tblCellSpacing w:w="0" w:type="dxa"/>
        </w:trPr>
        <w:tc>
          <w:tcPr>
            <w:tcW w:w="360" w:type="dxa"/>
            <w:vAlign w:val="center"/>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360" w:type="dxa"/>
            <w:hideMark/>
          </w:tcPr>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(2)</w:t>
            </w:r>
          </w:p>
        </w:tc>
        <w:tc>
          <w:tcPr>
            <w:tcW w:w="0" w:type="auto"/>
            <w:hideMark/>
          </w:tcPr>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The Company determined that its valuation of its mortgages and construction loan were classified within Level 3 of the fair value hierarchy. </w:t>
            </w:r>
          </w:p>
        </w:tc>
      </w:tr>
    </w:tbl>
    <w:p w:rsidR="00000000" w:rsidRDefault="008E203B">
      <w:pPr>
        <w:pStyle w:val="a3"/>
        <w:spacing w:before="0" w:beforeAutospacing="0" w:after="0" w:afterAutospacing="0"/>
        <w:jc w:val="both"/>
        <w:divId w:val="1482114578"/>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ind w:firstLine="360"/>
        <w:jc w:val="both"/>
        <w:divId w:val="1482114578"/>
        <w:rPr>
          <w:rFonts w:ascii="Times New Roman" w:hAnsi="Times New Roman" w:cs="Times New Roman"/>
          <w:sz w:val="20"/>
          <w:szCs w:val="20"/>
        </w:rPr>
      </w:pPr>
      <w:r>
        <w:rPr>
          <w:rFonts w:ascii="Times New Roman" w:hAnsi="Times New Roman" w:cs="Times New Roman"/>
          <w:sz w:val="20"/>
          <w:szCs w:val="20"/>
        </w:rPr>
        <w:t>The Company has certain financial instruments that must be measured under the FASB’s Fair Value Measurements an</w:t>
      </w:r>
      <w:r>
        <w:rPr>
          <w:rFonts w:ascii="Times New Roman" w:hAnsi="Times New Roman" w:cs="Times New Roman"/>
          <w:sz w:val="20"/>
          <w:szCs w:val="20"/>
        </w:rPr>
        <w:t>d Disclosures guidance, including available for sale securities. The Company currently does not have non-financial assets and non-financial liabilities that are required to be measured at fair value on a recurring basis.</w:t>
      </w:r>
    </w:p>
    <w:p w:rsidR="00000000" w:rsidRDefault="008E203B">
      <w:pPr>
        <w:pStyle w:val="a3"/>
        <w:spacing w:before="0" w:beforeAutospacing="0" w:after="0" w:afterAutospacing="0"/>
        <w:ind w:firstLine="720"/>
        <w:jc w:val="both"/>
        <w:divId w:val="1482114578"/>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ind w:firstLine="360"/>
        <w:jc w:val="both"/>
        <w:divId w:val="1482114578"/>
        <w:rPr>
          <w:rFonts w:ascii="Times New Roman" w:hAnsi="Times New Roman" w:cs="Times New Roman"/>
          <w:sz w:val="20"/>
          <w:szCs w:val="20"/>
        </w:rPr>
      </w:pPr>
      <w:r>
        <w:rPr>
          <w:rFonts w:ascii="Times New Roman" w:hAnsi="Times New Roman" w:cs="Times New Roman"/>
          <w:sz w:val="20"/>
          <w:szCs w:val="20"/>
        </w:rPr>
        <w:t>The tables below present the Comp</w:t>
      </w:r>
      <w:r>
        <w:rPr>
          <w:rFonts w:ascii="Times New Roman" w:hAnsi="Times New Roman" w:cs="Times New Roman"/>
          <w:sz w:val="20"/>
          <w:szCs w:val="20"/>
        </w:rPr>
        <w:t>any’s financial assets and liabilities measured at fair value on a recurring basis as of March 31, 2019 and December 31, 2018, aggregated by the level in the fair value hierarchy within which those measurements fall (in thousands):</w:t>
      </w:r>
    </w:p>
    <w:p w:rsidR="00000000" w:rsidRDefault="008E203B">
      <w:pPr>
        <w:pStyle w:val="a3"/>
        <w:spacing w:before="0" w:beforeAutospacing="0" w:after="0" w:afterAutospacing="0"/>
        <w:ind w:firstLine="360"/>
        <w:jc w:val="both"/>
        <w:divId w:val="1482114578"/>
        <w:rPr>
          <w:rFonts w:ascii="Times New Roman" w:hAnsi="Times New Roman" w:cs="Times New Roman"/>
          <w:sz w:val="20"/>
          <w:szCs w:val="20"/>
        </w:rPr>
      </w:pPr>
      <w:r>
        <w:rPr>
          <w:rFonts w:ascii="Times New Roman" w:hAnsi="Times New Roman" w:cs="Times New Roman"/>
          <w:sz w:val="20"/>
          <w:szCs w:val="20"/>
        </w:rPr>
        <w:t> </w:t>
      </w:r>
    </w:p>
    <w:tbl>
      <w:tblPr>
        <w:tblW w:w="4500" w:type="pct"/>
        <w:tblCellSpacing w:w="0" w:type="dxa"/>
        <w:tblInd w:w="5" w:type="dxa"/>
        <w:tblCellMar>
          <w:left w:w="0" w:type="dxa"/>
          <w:right w:w="0" w:type="dxa"/>
        </w:tblCellMar>
        <w:tblLook w:val="04A0" w:firstRow="1" w:lastRow="0" w:firstColumn="1" w:lastColumn="0" w:noHBand="0" w:noVBand="1"/>
      </w:tblPr>
      <w:tblGrid>
        <w:gridCol w:w="2367"/>
        <w:gridCol w:w="50"/>
        <w:gridCol w:w="101"/>
        <w:gridCol w:w="1239"/>
        <w:gridCol w:w="50"/>
        <w:gridCol w:w="50"/>
        <w:gridCol w:w="100"/>
        <w:gridCol w:w="1022"/>
        <w:gridCol w:w="50"/>
        <w:gridCol w:w="50"/>
        <w:gridCol w:w="101"/>
        <w:gridCol w:w="1022"/>
        <w:gridCol w:w="50"/>
        <w:gridCol w:w="50"/>
        <w:gridCol w:w="101"/>
        <w:gridCol w:w="1022"/>
        <w:gridCol w:w="50"/>
      </w:tblGrid>
      <w:tr w:rsidR="00000000">
        <w:trPr>
          <w:divId w:val="987199701"/>
          <w:tblCellSpacing w:w="0" w:type="dxa"/>
        </w:trPr>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pct"/>
            <w:gridSpan w:val="2"/>
            <w:tcBorders>
              <w:bottom w:val="single" w:sz="6" w:space="0" w:color="000000"/>
            </w:tcBorders>
            <w:noWrap/>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Balance at</w:t>
            </w:r>
          </w:p>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March 3</w:t>
            </w:r>
            <w:r>
              <w:rPr>
                <w:rFonts w:ascii="Times New Roman" w:hAnsi="Times New Roman" w:cs="Times New Roman"/>
                <w:b/>
                <w:bCs/>
                <w:sz w:val="20"/>
                <w:szCs w:val="20"/>
              </w:rPr>
              <w:t>1, 2019</w:t>
            </w:r>
          </w:p>
        </w:tc>
        <w:tc>
          <w:tcPr>
            <w:tcW w:w="0" w:type="auto"/>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gridSpan w:val="2"/>
            <w:tcBorders>
              <w:bottom w:val="single" w:sz="6" w:space="0" w:color="000000"/>
            </w:tcBorders>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Level 1</w:t>
            </w:r>
          </w:p>
        </w:tc>
        <w:tc>
          <w:tcPr>
            <w:tcW w:w="0" w:type="auto"/>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gridSpan w:val="2"/>
            <w:tcBorders>
              <w:bottom w:val="single" w:sz="6" w:space="0" w:color="000000"/>
            </w:tcBorders>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Level 2</w:t>
            </w:r>
          </w:p>
        </w:tc>
        <w:tc>
          <w:tcPr>
            <w:tcW w:w="0" w:type="auto"/>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gridSpan w:val="2"/>
            <w:tcBorders>
              <w:bottom w:val="single" w:sz="6" w:space="0" w:color="000000"/>
            </w:tcBorders>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Level 3</w:t>
            </w:r>
          </w:p>
        </w:tc>
        <w:tc>
          <w:tcPr>
            <w:tcW w:w="0" w:type="auto"/>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987199701"/>
          <w:tblCellSpacing w:w="0" w:type="dxa"/>
        </w:trPr>
        <w:tc>
          <w:tcPr>
            <w:tcW w:w="1600" w:type="pct"/>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20"/>
                <w:szCs w:val="20"/>
              </w:rPr>
              <w:t>Assets:</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b/>
                <w:bCs/>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b/>
                <w:bCs/>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b/>
                <w:bCs/>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b/>
                <w:bCs/>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b/>
                <w:bCs/>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b/>
                <w:bCs/>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b/>
                <w:bCs/>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b/>
                <w:bCs/>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b/>
                <w:bCs/>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b/>
                <w:bCs/>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b/>
                <w:bCs/>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b/>
                <w:bCs/>
                <w:sz w:val="20"/>
                <w:szCs w:val="20"/>
              </w:rPr>
              <w:t> </w:t>
            </w:r>
          </w:p>
        </w:tc>
      </w:tr>
      <w:tr w:rsidR="00000000">
        <w:trPr>
          <w:divId w:val="987199701"/>
          <w:tblCellSpacing w:w="0" w:type="dxa"/>
        </w:trPr>
        <w:tc>
          <w:tcPr>
            <w:tcW w:w="0" w:type="auto"/>
            <w:shd w:val="clear" w:color="auto" w:fill="CCEEFF"/>
            <w:vAlign w:val="bottom"/>
            <w:hideMark/>
          </w:tcPr>
          <w:p w:rsidR="00000000" w:rsidRDefault="008E203B">
            <w:pPr>
              <w:pStyle w:val="a3"/>
              <w:spacing w:before="0" w:beforeAutospacing="0" w:after="0" w:afterAutospacing="0"/>
              <w:ind w:left="180"/>
              <w:rPr>
                <w:rFonts w:ascii="Times New Roman" w:hAnsi="Times New Roman" w:cs="Times New Roman"/>
                <w:sz w:val="20"/>
                <w:szCs w:val="20"/>
              </w:rPr>
            </w:pPr>
            <w:r>
              <w:rPr>
                <w:rFonts w:ascii="Times New Roman" w:hAnsi="Times New Roman" w:cs="Times New Roman"/>
                <w:sz w:val="20"/>
                <w:szCs w:val="20"/>
              </w:rPr>
              <w:t>Marketable equity securities</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70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10,705</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70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10,705</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70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70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bl>
    <w:p w:rsidR="00000000" w:rsidRDefault="008E203B">
      <w:pPr>
        <w:pStyle w:val="a3"/>
        <w:spacing w:before="0" w:beforeAutospacing="0" w:after="0" w:afterAutospacing="0"/>
        <w:divId w:val="1482114578"/>
        <w:rPr>
          <w:rFonts w:ascii="Times New Roman" w:hAnsi="Times New Roman" w:cs="Times New Roman"/>
          <w:sz w:val="20"/>
          <w:szCs w:val="20"/>
        </w:rPr>
      </w:pPr>
      <w:r>
        <w:rPr>
          <w:rFonts w:ascii="Times New Roman" w:hAnsi="Times New Roman" w:cs="Times New Roman"/>
          <w:sz w:val="20"/>
          <w:szCs w:val="20"/>
        </w:rPr>
        <w:t> </w:t>
      </w:r>
    </w:p>
    <w:tbl>
      <w:tblPr>
        <w:tblW w:w="4500" w:type="pct"/>
        <w:tblCellSpacing w:w="0" w:type="dxa"/>
        <w:tblInd w:w="5" w:type="dxa"/>
        <w:tblCellMar>
          <w:left w:w="0" w:type="dxa"/>
          <w:right w:w="0" w:type="dxa"/>
        </w:tblCellMar>
        <w:tblLook w:val="04A0" w:firstRow="1" w:lastRow="0" w:firstColumn="1" w:lastColumn="0" w:noHBand="0" w:noVBand="1"/>
      </w:tblPr>
      <w:tblGrid>
        <w:gridCol w:w="2337"/>
        <w:gridCol w:w="50"/>
        <w:gridCol w:w="108"/>
        <w:gridCol w:w="1509"/>
        <w:gridCol w:w="50"/>
        <w:gridCol w:w="50"/>
        <w:gridCol w:w="100"/>
        <w:gridCol w:w="924"/>
        <w:gridCol w:w="50"/>
        <w:gridCol w:w="50"/>
        <w:gridCol w:w="101"/>
        <w:gridCol w:w="947"/>
        <w:gridCol w:w="50"/>
        <w:gridCol w:w="50"/>
        <w:gridCol w:w="101"/>
        <w:gridCol w:w="948"/>
        <w:gridCol w:w="50"/>
      </w:tblGrid>
      <w:tr w:rsidR="00000000">
        <w:trPr>
          <w:divId w:val="1728649864"/>
          <w:tblCellSpacing w:w="0" w:type="dxa"/>
        </w:trPr>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pct"/>
            <w:gridSpan w:val="2"/>
            <w:tcBorders>
              <w:bottom w:val="single" w:sz="6" w:space="0" w:color="000000"/>
            </w:tcBorders>
            <w:noWrap/>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Balance at</w:t>
            </w:r>
          </w:p>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December 31, 2018</w:t>
            </w:r>
          </w:p>
        </w:tc>
        <w:tc>
          <w:tcPr>
            <w:tcW w:w="0" w:type="auto"/>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gridSpan w:val="2"/>
            <w:tcBorders>
              <w:bottom w:val="single" w:sz="6" w:space="0" w:color="000000"/>
            </w:tcBorders>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Level 1</w:t>
            </w:r>
          </w:p>
        </w:tc>
        <w:tc>
          <w:tcPr>
            <w:tcW w:w="0" w:type="auto"/>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gridSpan w:val="2"/>
            <w:tcBorders>
              <w:bottom w:val="single" w:sz="6" w:space="0" w:color="000000"/>
            </w:tcBorders>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Level 2</w:t>
            </w:r>
          </w:p>
        </w:tc>
        <w:tc>
          <w:tcPr>
            <w:tcW w:w="0" w:type="auto"/>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gridSpan w:val="2"/>
            <w:tcBorders>
              <w:bottom w:val="single" w:sz="6" w:space="0" w:color="000000"/>
            </w:tcBorders>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Level 3</w:t>
            </w:r>
          </w:p>
        </w:tc>
        <w:tc>
          <w:tcPr>
            <w:tcW w:w="0" w:type="auto"/>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728649864"/>
          <w:tblCellSpacing w:w="0" w:type="dxa"/>
        </w:trPr>
        <w:tc>
          <w:tcPr>
            <w:tcW w:w="1600" w:type="pct"/>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20"/>
                <w:szCs w:val="20"/>
              </w:rPr>
              <w:t>Assets:</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b/>
                <w:bCs/>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b/>
                <w:bCs/>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b/>
                <w:bCs/>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b/>
                <w:bCs/>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b/>
                <w:bCs/>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b/>
                <w:bCs/>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b/>
                <w:bCs/>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b/>
                <w:bCs/>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b/>
                <w:bCs/>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b/>
                <w:bCs/>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b/>
                <w:bCs/>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b/>
                <w:bCs/>
                <w:sz w:val="20"/>
                <w:szCs w:val="20"/>
              </w:rPr>
              <w:t> </w:t>
            </w:r>
          </w:p>
        </w:tc>
      </w:tr>
      <w:tr w:rsidR="00000000">
        <w:trPr>
          <w:divId w:val="1728649864"/>
          <w:tblCellSpacing w:w="0" w:type="dxa"/>
        </w:trPr>
        <w:tc>
          <w:tcPr>
            <w:tcW w:w="0" w:type="auto"/>
            <w:shd w:val="clear" w:color="auto" w:fill="CCEEFF"/>
            <w:vAlign w:val="bottom"/>
            <w:hideMark/>
          </w:tcPr>
          <w:p w:rsidR="00000000" w:rsidRDefault="008E203B">
            <w:pPr>
              <w:pStyle w:val="a3"/>
              <w:spacing w:before="0" w:beforeAutospacing="0" w:after="0" w:afterAutospacing="0"/>
              <w:ind w:left="180"/>
              <w:rPr>
                <w:rFonts w:ascii="Times New Roman" w:hAnsi="Times New Roman" w:cs="Times New Roman"/>
                <w:sz w:val="20"/>
                <w:szCs w:val="20"/>
              </w:rPr>
            </w:pPr>
            <w:r>
              <w:rPr>
                <w:rFonts w:ascii="Times New Roman" w:hAnsi="Times New Roman" w:cs="Times New Roman"/>
                <w:sz w:val="20"/>
                <w:szCs w:val="20"/>
              </w:rPr>
              <w:t>Marketable equity securities</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70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9,045</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70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9,045</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70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70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bl>
    <w:p w:rsidR="00000000" w:rsidRDefault="008E203B">
      <w:pPr>
        <w:pStyle w:val="a3"/>
        <w:spacing w:before="0" w:beforeAutospacing="0" w:after="0" w:afterAutospacing="0"/>
        <w:jc w:val="both"/>
        <w:divId w:val="1482114578"/>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ind w:firstLine="360"/>
        <w:jc w:val="both"/>
        <w:divId w:val="1482114578"/>
        <w:rPr>
          <w:rFonts w:ascii="Times New Roman" w:hAnsi="Times New Roman" w:cs="Times New Roman"/>
          <w:sz w:val="20"/>
          <w:szCs w:val="20"/>
        </w:rPr>
      </w:pPr>
      <w:r>
        <w:rPr>
          <w:rFonts w:ascii="Times New Roman" w:hAnsi="Times New Roman" w:cs="Times New Roman"/>
          <w:sz w:val="20"/>
          <w:szCs w:val="20"/>
        </w:rPr>
        <w:t>Assets measured at fair value on a non-recurring basis during the three months ended March 31, 2019 and the year ended December 31, 2018, are as follows (in thousands): </w:t>
      </w:r>
    </w:p>
    <w:p w:rsidR="00000000" w:rsidRDefault="008E203B">
      <w:pPr>
        <w:pStyle w:val="a3"/>
        <w:spacing w:before="0" w:beforeAutospacing="0" w:after="0" w:afterAutospacing="0"/>
        <w:ind w:firstLine="360"/>
        <w:jc w:val="both"/>
        <w:divId w:val="1482114578"/>
        <w:rPr>
          <w:rFonts w:ascii="Times New Roman" w:hAnsi="Times New Roman" w:cs="Times New Roman"/>
          <w:sz w:val="20"/>
          <w:szCs w:val="20"/>
        </w:rPr>
      </w:pPr>
      <w:r>
        <w:rPr>
          <w:rFonts w:ascii="Times New Roman" w:hAnsi="Times New Roman" w:cs="Times New Roman"/>
          <w:sz w:val="20"/>
          <w:szCs w:val="20"/>
        </w:rPr>
        <w:t> </w:t>
      </w:r>
    </w:p>
    <w:tbl>
      <w:tblPr>
        <w:tblW w:w="4500" w:type="pct"/>
        <w:tblCellSpacing w:w="0" w:type="dxa"/>
        <w:tblInd w:w="5" w:type="dxa"/>
        <w:tblCellMar>
          <w:left w:w="0" w:type="dxa"/>
          <w:right w:w="0" w:type="dxa"/>
        </w:tblCellMar>
        <w:tblLook w:val="04A0" w:firstRow="1" w:lastRow="0" w:firstColumn="1" w:lastColumn="0" w:noHBand="0" w:noVBand="1"/>
      </w:tblPr>
      <w:tblGrid>
        <w:gridCol w:w="2367"/>
        <w:gridCol w:w="50"/>
        <w:gridCol w:w="101"/>
        <w:gridCol w:w="1239"/>
        <w:gridCol w:w="50"/>
        <w:gridCol w:w="50"/>
        <w:gridCol w:w="101"/>
        <w:gridCol w:w="1022"/>
        <w:gridCol w:w="50"/>
        <w:gridCol w:w="50"/>
        <w:gridCol w:w="101"/>
        <w:gridCol w:w="1022"/>
        <w:gridCol w:w="50"/>
        <w:gridCol w:w="50"/>
        <w:gridCol w:w="100"/>
        <w:gridCol w:w="1022"/>
        <w:gridCol w:w="50"/>
      </w:tblGrid>
      <w:tr w:rsidR="00000000">
        <w:trPr>
          <w:divId w:val="131219048"/>
          <w:tblCellSpacing w:w="0" w:type="dxa"/>
        </w:trPr>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pct"/>
            <w:gridSpan w:val="2"/>
            <w:tcBorders>
              <w:bottom w:val="single" w:sz="6" w:space="0" w:color="000000"/>
            </w:tcBorders>
            <w:noWrap/>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Balance at</w:t>
            </w:r>
          </w:p>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March 31, 2019</w:t>
            </w:r>
          </w:p>
        </w:tc>
        <w:tc>
          <w:tcPr>
            <w:tcW w:w="0" w:type="auto"/>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gridSpan w:val="2"/>
            <w:tcBorders>
              <w:bottom w:val="single" w:sz="6" w:space="0" w:color="000000"/>
            </w:tcBorders>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Level 1</w:t>
            </w:r>
          </w:p>
        </w:tc>
        <w:tc>
          <w:tcPr>
            <w:tcW w:w="0" w:type="auto"/>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gridSpan w:val="2"/>
            <w:tcBorders>
              <w:bottom w:val="single" w:sz="6" w:space="0" w:color="000000"/>
            </w:tcBorders>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Level 2</w:t>
            </w:r>
          </w:p>
        </w:tc>
        <w:tc>
          <w:tcPr>
            <w:tcW w:w="0" w:type="auto"/>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gridSpan w:val="2"/>
            <w:tcBorders>
              <w:bottom w:val="single" w:sz="6" w:space="0" w:color="000000"/>
            </w:tcBorders>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Level 3</w:t>
            </w:r>
          </w:p>
        </w:tc>
        <w:tc>
          <w:tcPr>
            <w:tcW w:w="0" w:type="auto"/>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31219048"/>
          <w:tblCellSpacing w:w="0" w:type="dxa"/>
        </w:trPr>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31219048"/>
          <w:tblCellSpacing w:w="0" w:type="dxa"/>
        </w:trPr>
        <w:tc>
          <w:tcPr>
            <w:tcW w:w="0" w:type="auto"/>
            <w:shd w:val="clear" w:color="auto" w:fill="CCEEFF"/>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Real estate</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70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13,700</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70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70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70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13,700</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bl>
    <w:p w:rsidR="00000000" w:rsidRDefault="008E203B">
      <w:pPr>
        <w:pStyle w:val="a3"/>
        <w:spacing w:before="0" w:beforeAutospacing="0" w:after="0" w:afterAutospacing="0"/>
        <w:jc w:val="both"/>
        <w:divId w:val="1482114578"/>
        <w:rPr>
          <w:rFonts w:ascii="Times New Roman" w:hAnsi="Times New Roman" w:cs="Times New Roman"/>
          <w:sz w:val="20"/>
          <w:szCs w:val="20"/>
        </w:rPr>
      </w:pPr>
      <w:r>
        <w:rPr>
          <w:rFonts w:ascii="Times New Roman" w:hAnsi="Times New Roman" w:cs="Times New Roman"/>
          <w:sz w:val="20"/>
          <w:szCs w:val="20"/>
        </w:rPr>
        <w:t> </w:t>
      </w:r>
    </w:p>
    <w:tbl>
      <w:tblPr>
        <w:tblW w:w="4500" w:type="pct"/>
        <w:tblCellSpacing w:w="0" w:type="dxa"/>
        <w:tblInd w:w="5" w:type="dxa"/>
        <w:tblCellMar>
          <w:left w:w="0" w:type="dxa"/>
          <w:right w:w="0" w:type="dxa"/>
        </w:tblCellMar>
        <w:tblLook w:val="04A0" w:firstRow="1" w:lastRow="0" w:firstColumn="1" w:lastColumn="0" w:noHBand="0" w:noVBand="1"/>
      </w:tblPr>
      <w:tblGrid>
        <w:gridCol w:w="2337"/>
        <w:gridCol w:w="50"/>
        <w:gridCol w:w="108"/>
        <w:gridCol w:w="1509"/>
        <w:gridCol w:w="50"/>
        <w:gridCol w:w="50"/>
        <w:gridCol w:w="101"/>
        <w:gridCol w:w="924"/>
        <w:gridCol w:w="50"/>
        <w:gridCol w:w="50"/>
        <w:gridCol w:w="101"/>
        <w:gridCol w:w="947"/>
        <w:gridCol w:w="50"/>
        <w:gridCol w:w="50"/>
        <w:gridCol w:w="100"/>
        <w:gridCol w:w="948"/>
        <w:gridCol w:w="50"/>
      </w:tblGrid>
      <w:tr w:rsidR="00000000">
        <w:trPr>
          <w:divId w:val="2022007848"/>
          <w:tblCellSpacing w:w="0" w:type="dxa"/>
        </w:trPr>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pct"/>
            <w:gridSpan w:val="2"/>
            <w:tcBorders>
              <w:bottom w:val="single" w:sz="6" w:space="0" w:color="000000"/>
            </w:tcBorders>
            <w:noWrap/>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Balance at</w:t>
            </w:r>
          </w:p>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December 31, 2018</w:t>
            </w:r>
          </w:p>
        </w:tc>
        <w:tc>
          <w:tcPr>
            <w:tcW w:w="0" w:type="auto"/>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gridSpan w:val="2"/>
            <w:tcBorders>
              <w:bottom w:val="single" w:sz="6" w:space="0" w:color="000000"/>
            </w:tcBorders>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Level 1</w:t>
            </w:r>
          </w:p>
        </w:tc>
        <w:tc>
          <w:tcPr>
            <w:tcW w:w="0" w:type="auto"/>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gridSpan w:val="2"/>
            <w:tcBorders>
              <w:bottom w:val="single" w:sz="6" w:space="0" w:color="000000"/>
            </w:tcBorders>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Level 2</w:t>
            </w:r>
          </w:p>
        </w:tc>
        <w:tc>
          <w:tcPr>
            <w:tcW w:w="0" w:type="auto"/>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gridSpan w:val="2"/>
            <w:tcBorders>
              <w:bottom w:val="single" w:sz="6" w:space="0" w:color="000000"/>
            </w:tcBorders>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Level 3</w:t>
            </w:r>
          </w:p>
        </w:tc>
        <w:tc>
          <w:tcPr>
            <w:tcW w:w="0" w:type="auto"/>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2022007848"/>
          <w:tblCellSpacing w:w="0" w:type="dxa"/>
        </w:trPr>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2022007848"/>
          <w:tblCellSpacing w:w="0" w:type="dxa"/>
        </w:trPr>
        <w:tc>
          <w:tcPr>
            <w:tcW w:w="1600" w:type="pct"/>
            <w:shd w:val="clear" w:color="auto" w:fill="CCEEFF"/>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Real estate</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70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99,693</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70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70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70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99,693</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2022007848"/>
          <w:tblCellSpacing w:w="0" w:type="dxa"/>
        </w:trPr>
        <w:tc>
          <w:tcPr>
            <w:tcW w:w="0" w:type="auto"/>
            <w:shd w:val="clear" w:color="auto" w:fill="FFFFFF"/>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Investments in real estate joint ventures (1)</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70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62,429</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70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70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70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62,429</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bl>
    <w:p w:rsidR="00000000" w:rsidRDefault="008E203B">
      <w:pPr>
        <w:pStyle w:val="a3"/>
        <w:spacing w:before="0" w:beforeAutospacing="0" w:after="0" w:afterAutospacing="0"/>
        <w:jc w:val="both"/>
        <w:divId w:val="1482114578"/>
        <w:rPr>
          <w:rFonts w:ascii="Times New Roman" w:hAnsi="Times New Roman" w:cs="Times New Roman"/>
          <w:sz w:val="20"/>
          <w:szCs w:val="20"/>
        </w:rPr>
      </w:pPr>
      <w:r>
        <w:rPr>
          <w:rFonts w:ascii="Times New Roman" w:hAnsi="Times New Roman" w:cs="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divId w:val="1482114578"/>
          <w:tblCellSpacing w:w="0" w:type="dxa"/>
        </w:trPr>
        <w:tc>
          <w:tcPr>
            <w:tcW w:w="360" w:type="dxa"/>
            <w:vAlign w:val="center"/>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360" w:type="dxa"/>
            <w:hideMark/>
          </w:tcPr>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(1)</w:t>
            </w:r>
          </w:p>
        </w:tc>
        <w:tc>
          <w:tcPr>
            <w:tcW w:w="0" w:type="auto"/>
            <w:hideMark/>
          </w:tcPr>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Fair value measurement as of date of deconsolidation.</w:t>
            </w:r>
          </w:p>
        </w:tc>
      </w:tr>
    </w:tbl>
    <w:p w:rsidR="00000000" w:rsidRDefault="008E203B">
      <w:pPr>
        <w:pStyle w:val="a3"/>
        <w:spacing w:before="0" w:beforeAutospacing="0" w:after="0" w:afterAutospacing="0"/>
        <w:ind w:firstLine="360"/>
        <w:jc w:val="both"/>
        <w:divId w:val="1482114578"/>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ind w:firstLine="360"/>
        <w:jc w:val="both"/>
        <w:divId w:val="1482114578"/>
        <w:rPr>
          <w:rFonts w:ascii="Times New Roman" w:hAnsi="Times New Roman" w:cs="Times New Roman"/>
          <w:sz w:val="20"/>
          <w:szCs w:val="20"/>
        </w:rPr>
      </w:pPr>
      <w:r>
        <w:rPr>
          <w:rFonts w:ascii="Times New Roman" w:hAnsi="Times New Roman" w:cs="Times New Roman"/>
          <w:sz w:val="20"/>
          <w:szCs w:val="20"/>
        </w:rPr>
        <w:t>During the three months ended March 31, 2019 and 2018, the Company recognized impairment charges related to adjustments to property carrying values of $4.2 million and $7.6 million, respectively. The Company’s estimated fair values of these properties were</w:t>
      </w:r>
      <w:r>
        <w:rPr>
          <w:rFonts w:ascii="Times New Roman" w:hAnsi="Times New Roman" w:cs="Times New Roman"/>
          <w:sz w:val="20"/>
          <w:szCs w:val="20"/>
        </w:rPr>
        <w:t xml:space="preserve"> primarily based upon estimated sales prices from signed contracts or letters of intent from third party offers. The Company does not have access to the unobservable inputs used to determine the estimated fair values of third party offers. Based on these i</w:t>
      </w:r>
      <w:r>
        <w:rPr>
          <w:rFonts w:ascii="Times New Roman" w:hAnsi="Times New Roman" w:cs="Times New Roman"/>
          <w:sz w:val="20"/>
          <w:szCs w:val="20"/>
        </w:rPr>
        <w:t>nputs, the Company determined that its valuation of these investments was classified within Level 3 of the fair value hierarchy. (See Footnote 3 to the Notes to the Company’s Condensed Consolidated Financial Statements for additional discussion regarding i</w:t>
      </w:r>
      <w:r>
        <w:rPr>
          <w:rFonts w:ascii="Times New Roman" w:hAnsi="Times New Roman" w:cs="Times New Roman"/>
          <w:sz w:val="20"/>
          <w:szCs w:val="20"/>
        </w:rPr>
        <w:t>mpairment charges).</w:t>
      </w:r>
    </w:p>
    <w:p w:rsidR="00000000" w:rsidRDefault="008E203B">
      <w:pPr>
        <w:pStyle w:val="a3"/>
        <w:spacing w:before="0" w:beforeAutospacing="0" w:after="0" w:afterAutospacing="0"/>
        <w:divId w:val="1482114578"/>
        <w:rPr>
          <w:rFonts w:ascii="Times New Roman" w:hAnsi="Times New Roman" w:cs="Times New Roman"/>
          <w:sz w:val="20"/>
          <w:szCs w:val="20"/>
        </w:rPr>
      </w:pPr>
      <w:r>
        <w:rPr>
          <w:rFonts w:ascii="Times New Roman" w:hAnsi="Times New Roman" w:cs="Times New Roman"/>
          <w:sz w:val="20"/>
          <w:szCs w:val="20"/>
        </w:rPr>
        <w:t> </w:t>
      </w:r>
    </w:p>
    <w:p w:rsidR="00000000" w:rsidRDefault="008E203B">
      <w:pPr>
        <w:divId w:val="987979091"/>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divId w:val="1599828737"/>
        <w:rPr>
          <w:rFonts w:ascii="Times New Roman" w:hAnsi="Times New Roman" w:cs="Times New Roman"/>
          <w:sz w:val="20"/>
          <w:szCs w:val="20"/>
        </w:rPr>
      </w:pPr>
      <w:r>
        <w:rPr>
          <w:rFonts w:ascii="Times New Roman" w:hAnsi="Times New Roman" w:cs="Times New Roman"/>
          <w:sz w:val="20"/>
          <w:szCs w:val="20"/>
        </w:rPr>
        <w:t xml:space="preserve">13. </w:t>
      </w:r>
      <w:r>
        <w:rPr>
          <w:rFonts w:ascii="Times New Roman" w:hAnsi="Times New Roman" w:cs="Times New Roman"/>
          <w:sz w:val="20"/>
          <w:szCs w:val="20"/>
          <w:u w:val="single"/>
        </w:rPr>
        <w:t>Incentive Plans</w:t>
      </w:r>
    </w:p>
    <w:p w:rsidR="00000000" w:rsidRDefault="008E203B">
      <w:pPr>
        <w:pStyle w:val="a3"/>
        <w:spacing w:before="0" w:beforeAutospacing="0" w:after="0" w:afterAutospacing="0"/>
        <w:jc w:val="both"/>
        <w:divId w:val="1599828737"/>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ind w:firstLine="360"/>
        <w:jc w:val="both"/>
        <w:divId w:val="1599828737"/>
        <w:rPr>
          <w:rFonts w:ascii="Times New Roman" w:hAnsi="Times New Roman" w:cs="Times New Roman"/>
          <w:sz w:val="20"/>
          <w:szCs w:val="20"/>
        </w:rPr>
      </w:pPr>
      <w:r>
        <w:rPr>
          <w:rFonts w:ascii="Times New Roman" w:hAnsi="Times New Roman" w:cs="Times New Roman"/>
          <w:sz w:val="20"/>
          <w:szCs w:val="20"/>
        </w:rPr>
        <w:t>The Company accounts for equity awards in accordance with FASB’s Compensation – Stock Compensation guidance which requires that all share-based payments to employees, including grants of employee stock options,</w:t>
      </w:r>
      <w:r>
        <w:rPr>
          <w:rFonts w:ascii="Times New Roman" w:hAnsi="Times New Roman" w:cs="Times New Roman"/>
          <w:sz w:val="20"/>
          <w:szCs w:val="20"/>
        </w:rPr>
        <w:t xml:space="preserve"> restricted stock and performance shares, be recognized in the Condensed Consolidated Statements of Income over the service period based on their fair values. Fair value is determined, depending on the type of award, using either the Black-Scholes option p</w:t>
      </w:r>
      <w:r>
        <w:rPr>
          <w:rFonts w:ascii="Times New Roman" w:hAnsi="Times New Roman" w:cs="Times New Roman"/>
          <w:sz w:val="20"/>
          <w:szCs w:val="20"/>
        </w:rPr>
        <w:t>ricing formula or the Monte Carlo method for performance shares, both of which are intended to estimate the fair value of the awards at the grant date. Fair value of restricted shares is calculated based on the price on the date of grant.</w:t>
      </w:r>
    </w:p>
    <w:p w:rsidR="00000000" w:rsidRDefault="008E203B">
      <w:pPr>
        <w:pStyle w:val="a3"/>
        <w:spacing w:before="0" w:beforeAutospacing="0" w:after="0" w:afterAutospacing="0"/>
        <w:ind w:left="360"/>
        <w:jc w:val="both"/>
        <w:divId w:val="1599828737"/>
        <w:rPr>
          <w:rFonts w:ascii="Times New Roman" w:hAnsi="Times New Roman" w:cs="Times New Roman"/>
          <w:sz w:val="20"/>
          <w:szCs w:val="20"/>
        </w:rPr>
      </w:pPr>
      <w:r>
        <w:rPr>
          <w:rFonts w:ascii="Times New Roman" w:hAnsi="Times New Roman" w:cs="Times New Roman"/>
          <w:sz w:val="20"/>
          <w:szCs w:val="20"/>
        </w:rPr>
        <w:t> </w:t>
      </w:r>
    </w:p>
    <w:p w:rsidR="00000000" w:rsidRDefault="008E203B">
      <w:pPr>
        <w:jc w:val="center"/>
        <w:divId w:val="1699695423"/>
        <w:rPr>
          <w:rFonts w:ascii="Times New Roman" w:hAnsi="Times New Roman" w:cs="Times New Roman"/>
          <w:sz w:val="20"/>
          <w:szCs w:val="20"/>
        </w:rPr>
      </w:pPr>
      <w:r>
        <w:rPr>
          <w:rFonts w:ascii="Times New Roman" w:hAnsi="Times New Roman" w:cs="Times New Roman"/>
          <w:sz w:val="20"/>
          <w:szCs w:val="20"/>
        </w:rPr>
        <w:t>18</w:t>
      </w:r>
    </w:p>
    <w:p w:rsidR="00000000" w:rsidRDefault="008E203B">
      <w:pPr>
        <w:divId w:val="1699695423"/>
        <w:rPr>
          <w:rFonts w:ascii="Times New Roman" w:hAnsi="Times New Roman" w:cs="Times New Roman"/>
          <w:sz w:val="20"/>
          <w:szCs w:val="20"/>
        </w:rPr>
      </w:pPr>
      <w:r>
        <w:rPr>
          <w:rFonts w:ascii="Times New Roman" w:hAnsi="Times New Roman" w:cs="Times New Roman"/>
          <w:sz w:val="20"/>
          <w:szCs w:val="20"/>
        </w:rPr>
        <w:pict>
          <v:rect id="_x0000_i1046" style="width:415.3pt;height:1.5pt" o:hralign="center" o:hrstd="t" o:hrnoshade="t" o:hr="t" fillcolor="black" stroked="f"/>
        </w:pict>
      </w:r>
    </w:p>
    <w:p w:rsidR="00000000" w:rsidRDefault="008E203B">
      <w:pPr>
        <w:divId w:val="1699695423"/>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8E203B">
      <w:pPr>
        <w:pStyle w:val="a3"/>
        <w:spacing w:before="0" w:beforeAutospacing="0" w:after="0" w:afterAutospacing="0"/>
        <w:divId w:val="1599828737"/>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ind w:firstLine="360"/>
        <w:jc w:val="both"/>
        <w:divId w:val="1599828737"/>
        <w:rPr>
          <w:rFonts w:ascii="Times New Roman" w:hAnsi="Times New Roman" w:cs="Times New Roman"/>
          <w:sz w:val="20"/>
          <w:szCs w:val="20"/>
        </w:rPr>
      </w:pPr>
      <w:r>
        <w:rPr>
          <w:rFonts w:ascii="Times New Roman" w:hAnsi="Times New Roman" w:cs="Times New Roman"/>
          <w:sz w:val="20"/>
          <w:szCs w:val="20"/>
        </w:rPr>
        <w:t>The Company recognized expenses associated with its equity awards of $5.5 million and $5.2 million for the three months ended March 31, 20</w:t>
      </w:r>
      <w:r>
        <w:rPr>
          <w:rFonts w:ascii="Times New Roman" w:hAnsi="Times New Roman" w:cs="Times New Roman"/>
          <w:sz w:val="20"/>
          <w:szCs w:val="20"/>
        </w:rPr>
        <w:t>19 and 2018, respectively.  As of March 31, 2019, the Company had $46.8 million of total unrecognized compensation cost related to unvested stock compensation granted under the Plans.  That cost is expected to be recognized over a weighted average period o</w:t>
      </w:r>
      <w:r>
        <w:rPr>
          <w:rFonts w:ascii="Times New Roman" w:hAnsi="Times New Roman" w:cs="Times New Roman"/>
          <w:sz w:val="20"/>
          <w:szCs w:val="20"/>
        </w:rPr>
        <w:t>f approximately 3.2 years.</w:t>
      </w:r>
    </w:p>
    <w:p w:rsidR="00000000" w:rsidRDefault="008E203B">
      <w:pPr>
        <w:pStyle w:val="a3"/>
        <w:spacing w:before="0" w:beforeAutospacing="0" w:after="0" w:afterAutospacing="0"/>
        <w:divId w:val="1599828737"/>
        <w:rPr>
          <w:rFonts w:ascii="Times New Roman" w:hAnsi="Times New Roman" w:cs="Times New Roman"/>
          <w:sz w:val="20"/>
          <w:szCs w:val="20"/>
        </w:rPr>
      </w:pPr>
      <w:r>
        <w:rPr>
          <w:rFonts w:ascii="Times New Roman" w:hAnsi="Times New Roman" w:cs="Times New Roman"/>
          <w:sz w:val="20"/>
          <w:szCs w:val="20"/>
        </w:rPr>
        <w:t> </w:t>
      </w:r>
    </w:p>
    <w:p w:rsidR="00000000" w:rsidRDefault="008E203B">
      <w:pPr>
        <w:divId w:val="279846650"/>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divId w:val="1574856880"/>
        <w:rPr>
          <w:rFonts w:ascii="Times New Roman" w:hAnsi="Times New Roman" w:cs="Times New Roman"/>
          <w:sz w:val="20"/>
          <w:szCs w:val="20"/>
        </w:rPr>
      </w:pPr>
      <w:r>
        <w:rPr>
          <w:rFonts w:ascii="Times New Roman" w:hAnsi="Times New Roman" w:cs="Times New Roman"/>
          <w:sz w:val="20"/>
          <w:szCs w:val="20"/>
        </w:rPr>
        <w:t xml:space="preserve">14. </w:t>
      </w:r>
      <w:r>
        <w:rPr>
          <w:rFonts w:ascii="Times New Roman" w:hAnsi="Times New Roman" w:cs="Times New Roman"/>
          <w:sz w:val="20"/>
          <w:szCs w:val="20"/>
          <w:u w:val="single"/>
        </w:rPr>
        <w:t>Earnings Per Share</w:t>
      </w:r>
    </w:p>
    <w:p w:rsidR="00000000" w:rsidRDefault="008E203B">
      <w:pPr>
        <w:pStyle w:val="a3"/>
        <w:spacing w:before="0" w:beforeAutospacing="0" w:after="0" w:afterAutospacing="0"/>
        <w:jc w:val="both"/>
        <w:divId w:val="1574856880"/>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ind w:firstLine="360"/>
        <w:jc w:val="both"/>
        <w:divId w:val="1574856880"/>
        <w:rPr>
          <w:rFonts w:ascii="Times New Roman" w:hAnsi="Times New Roman" w:cs="Times New Roman"/>
          <w:sz w:val="20"/>
          <w:szCs w:val="20"/>
        </w:rPr>
      </w:pPr>
      <w:r>
        <w:rPr>
          <w:rFonts w:ascii="Times New Roman" w:hAnsi="Times New Roman" w:cs="Times New Roman"/>
          <w:sz w:val="20"/>
          <w:szCs w:val="20"/>
        </w:rPr>
        <w:t>The following table sets forth the reconciliation of earnings and the weighted average number of shares used in the calculation of basic and diluted earnings per share (amounts presented in thousands except per share data):</w:t>
      </w:r>
    </w:p>
    <w:p w:rsidR="00000000" w:rsidRDefault="008E203B">
      <w:pPr>
        <w:pStyle w:val="a3"/>
        <w:spacing w:before="0" w:beforeAutospacing="0" w:after="0" w:afterAutospacing="0"/>
        <w:ind w:firstLine="360"/>
        <w:jc w:val="both"/>
        <w:divId w:val="1574856880"/>
        <w:rPr>
          <w:rFonts w:ascii="Times New Roman" w:hAnsi="Times New Roman" w:cs="Times New Roman"/>
          <w:sz w:val="20"/>
          <w:szCs w:val="20"/>
        </w:rPr>
      </w:pPr>
      <w:r>
        <w:rPr>
          <w:rFonts w:ascii="Times New Roman" w:hAnsi="Times New Roman" w:cs="Times New Roman"/>
          <w:sz w:val="20"/>
          <w:szCs w:val="20"/>
        </w:rPr>
        <w:t> </w:t>
      </w:r>
    </w:p>
    <w:tbl>
      <w:tblPr>
        <w:tblW w:w="4500" w:type="pct"/>
        <w:tblCellSpacing w:w="0" w:type="dxa"/>
        <w:tblInd w:w="5" w:type="dxa"/>
        <w:tblCellMar>
          <w:left w:w="0" w:type="dxa"/>
          <w:right w:w="0" w:type="dxa"/>
        </w:tblCellMar>
        <w:tblLook w:val="04A0" w:firstRow="1" w:lastRow="0" w:firstColumn="1" w:lastColumn="0" w:noHBand="0" w:noVBand="1"/>
      </w:tblPr>
      <w:tblGrid>
        <w:gridCol w:w="4926"/>
        <w:gridCol w:w="67"/>
        <w:gridCol w:w="100"/>
        <w:gridCol w:w="1039"/>
        <w:gridCol w:w="67"/>
        <w:gridCol w:w="68"/>
        <w:gridCol w:w="100"/>
        <w:gridCol w:w="1040"/>
        <w:gridCol w:w="68"/>
      </w:tblGrid>
      <w:tr w:rsidR="00000000">
        <w:trPr>
          <w:divId w:val="440993459"/>
          <w:tblCellSpacing w:w="0" w:type="dxa"/>
        </w:trPr>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gridSpan w:val="6"/>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Three Months Ended</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440993459"/>
          <w:tblCellSpacing w:w="0" w:type="dxa"/>
        </w:trPr>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gridSpan w:val="6"/>
            <w:tcBorders>
              <w:bottom w:val="single" w:sz="6" w:space="0" w:color="000000"/>
            </w:tcBorders>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March 31,</w:t>
            </w:r>
          </w:p>
        </w:tc>
        <w:tc>
          <w:tcPr>
            <w:tcW w:w="0" w:type="auto"/>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440993459"/>
          <w:tblCellSpacing w:w="0" w:type="dxa"/>
        </w:trPr>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gridSpan w:val="2"/>
            <w:tcBorders>
              <w:bottom w:val="single" w:sz="6" w:space="0" w:color="000000"/>
            </w:tcBorders>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2019</w:t>
            </w:r>
          </w:p>
        </w:tc>
        <w:tc>
          <w:tcPr>
            <w:tcW w:w="0" w:type="auto"/>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gridSpan w:val="2"/>
            <w:tcBorders>
              <w:bottom w:val="single" w:sz="6" w:space="0" w:color="000000"/>
            </w:tcBorders>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2018</w:t>
            </w:r>
          </w:p>
        </w:tc>
        <w:tc>
          <w:tcPr>
            <w:tcW w:w="0" w:type="auto"/>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440993459"/>
          <w:tblCellSpacing w:w="0" w:type="dxa"/>
        </w:trPr>
        <w:tc>
          <w:tcPr>
            <w:tcW w:w="3300" w:type="pct"/>
            <w:shd w:val="clear" w:color="auto" w:fill="CCEEFF"/>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i/>
                <w:iCs/>
                <w:sz w:val="20"/>
                <w:szCs w:val="20"/>
              </w:rPr>
              <w:t>Computation of Basic and Diluted Earnings Per Share:</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i/>
                <w:iCs/>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i/>
                <w:iCs/>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i/>
                <w:iCs/>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i/>
                <w:iCs/>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i/>
                <w:iCs/>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i/>
                <w:iCs/>
                <w:sz w:val="20"/>
                <w:szCs w:val="20"/>
              </w:rPr>
              <w:t> </w:t>
            </w:r>
          </w:p>
        </w:tc>
      </w:tr>
      <w:tr w:rsidR="00000000">
        <w:trPr>
          <w:divId w:val="440993459"/>
          <w:tblCellSpacing w:w="0" w:type="dxa"/>
        </w:trPr>
        <w:tc>
          <w:tcPr>
            <w:tcW w:w="0" w:type="auto"/>
            <w:shd w:val="clear" w:color="auto" w:fill="FFFFFF"/>
            <w:vAlign w:val="bottom"/>
            <w:hideMark/>
          </w:tcPr>
          <w:p w:rsidR="00000000" w:rsidRDefault="008E203B">
            <w:pPr>
              <w:pStyle w:val="a3"/>
              <w:spacing w:before="0" w:beforeAutospacing="0" w:after="0" w:afterAutospacing="0"/>
              <w:ind w:left="674" w:hanging="337"/>
              <w:rPr>
                <w:rFonts w:ascii="Times New Roman" w:hAnsi="Times New Roman" w:cs="Times New Roman"/>
                <w:sz w:val="20"/>
                <w:szCs w:val="20"/>
              </w:rPr>
            </w:pPr>
            <w:r>
              <w:rPr>
                <w:rFonts w:ascii="Times New Roman" w:hAnsi="Times New Roman" w:cs="Times New Roman"/>
                <w:sz w:val="20"/>
                <w:szCs w:val="20"/>
              </w:rPr>
              <w:t>Net income available to the Company's common shareholders</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70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101,635</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70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129,501</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440993459"/>
          <w:tblCellSpacing w:w="0" w:type="dxa"/>
        </w:trPr>
        <w:tc>
          <w:tcPr>
            <w:tcW w:w="0" w:type="auto"/>
            <w:shd w:val="clear" w:color="auto" w:fill="CCEEFF"/>
            <w:vAlign w:val="bottom"/>
            <w:hideMark/>
          </w:tcPr>
          <w:p w:rsidR="00000000" w:rsidRDefault="008E203B">
            <w:pPr>
              <w:pStyle w:val="a3"/>
              <w:spacing w:before="0" w:beforeAutospacing="0" w:after="0" w:afterAutospacing="0"/>
              <w:ind w:left="674" w:hanging="337"/>
              <w:rPr>
                <w:rFonts w:ascii="Times New Roman" w:hAnsi="Times New Roman" w:cs="Times New Roman"/>
                <w:sz w:val="20"/>
                <w:szCs w:val="20"/>
              </w:rPr>
            </w:pPr>
            <w:r>
              <w:rPr>
                <w:rFonts w:ascii="Times New Roman" w:hAnsi="Times New Roman" w:cs="Times New Roman"/>
                <w:sz w:val="20"/>
                <w:szCs w:val="20"/>
              </w:rPr>
              <w:t>Earnings attributable to participating securities</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single" w:sz="6" w:space="0" w:color="000000"/>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700" w:type="pct"/>
            <w:tcBorders>
              <w:bottom w:val="single" w:sz="6" w:space="0" w:color="000000"/>
            </w:tcBorders>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(625</w:t>
            </w:r>
          </w:p>
        </w:tc>
        <w:tc>
          <w:tcPr>
            <w:tcW w:w="50" w:type="pct"/>
            <w:shd w:val="clear" w:color="auto" w:fill="CCEEFF"/>
            <w:noWrap/>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single" w:sz="6" w:space="0" w:color="000000"/>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700" w:type="pct"/>
            <w:tcBorders>
              <w:bottom w:val="single" w:sz="6" w:space="0" w:color="000000"/>
            </w:tcBorders>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(599</w:t>
            </w:r>
          </w:p>
        </w:tc>
        <w:tc>
          <w:tcPr>
            <w:tcW w:w="50" w:type="pct"/>
            <w:shd w:val="clear" w:color="auto" w:fill="CCEEFF"/>
            <w:noWrap/>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r>
      <w:tr w:rsidR="00000000">
        <w:trPr>
          <w:divId w:val="440993459"/>
          <w:tblCellSpacing w:w="0" w:type="dxa"/>
        </w:trPr>
        <w:tc>
          <w:tcPr>
            <w:tcW w:w="0" w:type="auto"/>
            <w:shd w:val="clear" w:color="auto" w:fill="FFFFFF"/>
            <w:vAlign w:val="bottom"/>
            <w:hideMark/>
          </w:tcPr>
          <w:p w:rsidR="00000000" w:rsidRDefault="008E203B">
            <w:pPr>
              <w:pStyle w:val="a3"/>
              <w:spacing w:before="0" w:beforeAutospacing="0" w:after="0" w:afterAutospacing="0"/>
              <w:ind w:left="674" w:hanging="337"/>
              <w:rPr>
                <w:rFonts w:ascii="Times New Roman" w:hAnsi="Times New Roman" w:cs="Times New Roman"/>
                <w:sz w:val="20"/>
                <w:szCs w:val="20"/>
              </w:rPr>
            </w:pPr>
            <w:r>
              <w:rPr>
                <w:rFonts w:ascii="Times New Roman" w:hAnsi="Times New Roman" w:cs="Times New Roman"/>
                <w:sz w:val="20"/>
                <w:szCs w:val="20"/>
              </w:rPr>
              <w:t>Net income available to the Company’s common shareholders for basic earnings per share</w:t>
            </w:r>
          </w:p>
        </w:tc>
        <w:tc>
          <w:tcPr>
            <w:tcW w:w="50" w:type="pct"/>
            <w:tcBorders>
              <w:bottom w:val="nil"/>
            </w:tcBorders>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nil"/>
            </w:tcBorders>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700" w:type="pct"/>
            <w:tcBorders>
              <w:bottom w:val="nil"/>
            </w:tcBorders>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101,010</w:t>
            </w:r>
          </w:p>
        </w:tc>
        <w:tc>
          <w:tcPr>
            <w:tcW w:w="50" w:type="pct"/>
            <w:tcBorders>
              <w:bottom w:val="nil"/>
            </w:tcBorders>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nil"/>
            </w:tcBorders>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nil"/>
            </w:tcBorders>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700" w:type="pct"/>
            <w:tcBorders>
              <w:bottom w:val="nil"/>
            </w:tcBorders>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128,902</w:t>
            </w:r>
          </w:p>
        </w:tc>
        <w:tc>
          <w:tcPr>
            <w:tcW w:w="50" w:type="pct"/>
            <w:tcBorders>
              <w:bottom w:val="nil"/>
            </w:tcBorders>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440993459"/>
          <w:tblCellSpacing w:w="0" w:type="dxa"/>
        </w:trPr>
        <w:tc>
          <w:tcPr>
            <w:tcW w:w="0" w:type="auto"/>
            <w:shd w:val="clear" w:color="auto" w:fill="CCEEFF"/>
            <w:vAlign w:val="bottom"/>
            <w:hideMark/>
          </w:tcPr>
          <w:p w:rsidR="00000000" w:rsidRDefault="008E203B">
            <w:pPr>
              <w:pStyle w:val="a3"/>
              <w:spacing w:before="0" w:beforeAutospacing="0" w:after="0" w:afterAutospacing="0"/>
              <w:ind w:left="674" w:hanging="337"/>
              <w:rPr>
                <w:rFonts w:ascii="Times New Roman" w:hAnsi="Times New Roman" w:cs="Times New Roman"/>
                <w:sz w:val="20"/>
                <w:szCs w:val="20"/>
              </w:rPr>
            </w:pPr>
            <w:r>
              <w:rPr>
                <w:rFonts w:ascii="Times New Roman" w:hAnsi="Times New Roman" w:cs="Times New Roman"/>
                <w:sz w:val="20"/>
                <w:szCs w:val="20"/>
              </w:rPr>
              <w:t>Distributions on convertible units</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single" w:sz="6" w:space="0" w:color="000000"/>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700" w:type="pct"/>
            <w:tcBorders>
              <w:bottom w:val="single" w:sz="6" w:space="0" w:color="000000"/>
            </w:tcBorders>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25</w:t>
            </w:r>
          </w:p>
        </w:tc>
        <w:tc>
          <w:tcPr>
            <w:tcW w:w="50" w:type="pct"/>
            <w:shd w:val="clear" w:color="auto" w:fill="CCEEFF"/>
            <w:noWrap/>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single" w:sz="6" w:space="0" w:color="000000"/>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700" w:type="pct"/>
            <w:tcBorders>
              <w:bottom w:val="single" w:sz="6" w:space="0" w:color="000000"/>
            </w:tcBorders>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244</w:t>
            </w:r>
          </w:p>
        </w:tc>
        <w:tc>
          <w:tcPr>
            <w:tcW w:w="50" w:type="pct"/>
            <w:shd w:val="clear" w:color="auto" w:fill="CCEEFF"/>
            <w:noWrap/>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440993459"/>
          <w:tblCellSpacing w:w="0" w:type="dxa"/>
        </w:trPr>
        <w:tc>
          <w:tcPr>
            <w:tcW w:w="0" w:type="auto"/>
            <w:shd w:val="clear" w:color="auto" w:fill="FFFFFF"/>
            <w:vAlign w:val="bottom"/>
            <w:hideMark/>
          </w:tcPr>
          <w:p w:rsidR="00000000" w:rsidRDefault="008E203B">
            <w:pPr>
              <w:pStyle w:val="a3"/>
              <w:spacing w:before="0" w:beforeAutospacing="0" w:after="0" w:afterAutospacing="0"/>
              <w:ind w:left="674" w:hanging="337"/>
              <w:rPr>
                <w:rFonts w:ascii="Times New Roman" w:hAnsi="Times New Roman" w:cs="Times New Roman"/>
                <w:sz w:val="20"/>
                <w:szCs w:val="20"/>
              </w:rPr>
            </w:pPr>
            <w:r>
              <w:rPr>
                <w:rFonts w:ascii="Times New Roman" w:hAnsi="Times New Roman" w:cs="Times New Roman"/>
                <w:sz w:val="20"/>
                <w:szCs w:val="20"/>
              </w:rPr>
              <w:t>Net income available to the Company’s common shareholders for diluted earnings per share</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double" w:sz="6" w:space="0" w:color="000000"/>
            </w:tcBorders>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700" w:type="pct"/>
            <w:tcBorders>
              <w:bottom w:val="double" w:sz="6" w:space="0" w:color="000000"/>
            </w:tcBorders>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101,035</w:t>
            </w:r>
          </w:p>
        </w:tc>
        <w:tc>
          <w:tcPr>
            <w:tcW w:w="50" w:type="pct"/>
            <w:shd w:val="clear" w:color="auto" w:fill="FFFFFF"/>
            <w:noWrap/>
            <w:tcMar>
              <w:top w:w="0" w:type="dxa"/>
              <w:left w:w="0" w:type="dxa"/>
              <w:bottom w:w="4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double" w:sz="6" w:space="0" w:color="000000"/>
            </w:tcBorders>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700" w:type="pct"/>
            <w:tcBorders>
              <w:bottom w:val="double" w:sz="6" w:space="0" w:color="000000"/>
            </w:tcBorders>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129,146</w:t>
            </w:r>
          </w:p>
        </w:tc>
        <w:tc>
          <w:tcPr>
            <w:tcW w:w="50" w:type="pct"/>
            <w:shd w:val="clear" w:color="auto" w:fill="FFFFFF"/>
            <w:noWrap/>
            <w:tcMar>
              <w:top w:w="0" w:type="dxa"/>
              <w:left w:w="0" w:type="dxa"/>
              <w:bottom w:w="4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440993459"/>
          <w:tblCellSpacing w:w="0" w:type="dxa"/>
        </w:trPr>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440993459"/>
          <w:tblCellSpacing w:w="0" w:type="dxa"/>
        </w:trPr>
        <w:tc>
          <w:tcPr>
            <w:tcW w:w="0" w:type="auto"/>
            <w:shd w:val="clear" w:color="auto" w:fill="FFFFFF"/>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Weighted average common shares outstanding – basic</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70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419,464</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70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423,404</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440993459"/>
          <w:tblCellSpacing w:w="0" w:type="dxa"/>
        </w:trPr>
        <w:tc>
          <w:tcPr>
            <w:tcW w:w="0" w:type="auto"/>
            <w:shd w:val="clear" w:color="auto" w:fill="CCEEFF"/>
            <w:vAlign w:val="bottom"/>
            <w:hideMark/>
          </w:tcPr>
          <w:p w:rsidR="00000000" w:rsidRDefault="008E203B">
            <w:pPr>
              <w:pStyle w:val="a3"/>
              <w:spacing w:before="0" w:beforeAutospacing="0" w:after="0" w:afterAutospacing="0"/>
              <w:ind w:left="540" w:hanging="270"/>
              <w:rPr>
                <w:rFonts w:ascii="Times New Roman" w:hAnsi="Times New Roman" w:cs="Times New Roman"/>
                <w:sz w:val="20"/>
                <w:szCs w:val="20"/>
              </w:rPr>
            </w:pPr>
            <w:r>
              <w:rPr>
                <w:rFonts w:ascii="Times New Roman" w:hAnsi="Times New Roman" w:cs="Times New Roman"/>
                <w:sz w:val="20"/>
                <w:szCs w:val="20"/>
              </w:rPr>
              <w:t>Effect of dilutive securities (1):</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440993459"/>
          <w:tblCellSpacing w:w="0" w:type="dxa"/>
        </w:trPr>
        <w:tc>
          <w:tcPr>
            <w:tcW w:w="0" w:type="auto"/>
            <w:shd w:val="clear" w:color="auto" w:fill="FFFFFF"/>
            <w:vAlign w:val="bottom"/>
            <w:hideMark/>
          </w:tcPr>
          <w:p w:rsidR="00000000" w:rsidRDefault="008E203B">
            <w:pPr>
              <w:pStyle w:val="a3"/>
              <w:spacing w:before="0" w:beforeAutospacing="0" w:after="0" w:afterAutospacing="0"/>
              <w:ind w:firstLine="180"/>
              <w:rPr>
                <w:rFonts w:ascii="Times New Roman" w:hAnsi="Times New Roman" w:cs="Times New Roman"/>
                <w:sz w:val="20"/>
                <w:szCs w:val="20"/>
              </w:rPr>
            </w:pPr>
            <w:r>
              <w:rPr>
                <w:rFonts w:ascii="Times New Roman" w:hAnsi="Times New Roman" w:cs="Times New Roman"/>
                <w:sz w:val="20"/>
                <w:szCs w:val="20"/>
              </w:rPr>
              <w:t>Equity awards</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70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1,182</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70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287</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440993459"/>
          <w:tblCellSpacing w:w="0" w:type="dxa"/>
        </w:trPr>
        <w:tc>
          <w:tcPr>
            <w:tcW w:w="0" w:type="auto"/>
            <w:shd w:val="clear" w:color="auto" w:fill="CCEEFF"/>
            <w:vAlign w:val="bottom"/>
            <w:hideMark/>
          </w:tcPr>
          <w:p w:rsidR="00000000" w:rsidRDefault="008E203B">
            <w:pPr>
              <w:pStyle w:val="a3"/>
              <w:spacing w:before="0" w:beforeAutospacing="0" w:after="0" w:afterAutospacing="0"/>
              <w:ind w:firstLine="180"/>
              <w:rPr>
                <w:rFonts w:ascii="Times New Roman" w:hAnsi="Times New Roman" w:cs="Times New Roman"/>
                <w:sz w:val="20"/>
                <w:szCs w:val="20"/>
              </w:rPr>
            </w:pPr>
            <w:r>
              <w:rPr>
                <w:rFonts w:ascii="Times New Roman" w:hAnsi="Times New Roman" w:cs="Times New Roman"/>
                <w:sz w:val="20"/>
                <w:szCs w:val="20"/>
              </w:rPr>
              <w:t>Assumed conversion of convertible units</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single" w:sz="6" w:space="0" w:color="000000"/>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700" w:type="pct"/>
            <w:tcBorders>
              <w:bottom w:val="single" w:sz="6" w:space="0" w:color="000000"/>
            </w:tcBorders>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117</w:t>
            </w:r>
          </w:p>
        </w:tc>
        <w:tc>
          <w:tcPr>
            <w:tcW w:w="50" w:type="pct"/>
            <w:shd w:val="clear" w:color="auto" w:fill="CCEEFF"/>
            <w:noWrap/>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single" w:sz="6" w:space="0" w:color="000000"/>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700" w:type="pct"/>
            <w:tcBorders>
              <w:bottom w:val="single" w:sz="6" w:space="0" w:color="000000"/>
            </w:tcBorders>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830</w:t>
            </w:r>
          </w:p>
        </w:tc>
        <w:tc>
          <w:tcPr>
            <w:tcW w:w="50" w:type="pct"/>
            <w:shd w:val="clear" w:color="auto" w:fill="CCEEFF"/>
            <w:noWrap/>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440993459"/>
          <w:tblCellSpacing w:w="0" w:type="dxa"/>
        </w:trPr>
        <w:tc>
          <w:tcPr>
            <w:tcW w:w="0" w:type="auto"/>
            <w:shd w:val="clear" w:color="auto" w:fill="FFFFFF"/>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Weighted average common shares outstanding – diluted</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double" w:sz="6" w:space="0" w:color="000000"/>
            </w:tcBorders>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700" w:type="pct"/>
            <w:tcBorders>
              <w:bottom w:val="double" w:sz="6" w:space="0" w:color="000000"/>
            </w:tcBorders>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420,763</w:t>
            </w:r>
          </w:p>
        </w:tc>
        <w:tc>
          <w:tcPr>
            <w:tcW w:w="50" w:type="pct"/>
            <w:shd w:val="clear" w:color="auto" w:fill="FFFFFF"/>
            <w:noWrap/>
            <w:tcMar>
              <w:top w:w="0" w:type="dxa"/>
              <w:left w:w="0" w:type="dxa"/>
              <w:bottom w:w="4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double" w:sz="6" w:space="0" w:color="000000"/>
            </w:tcBorders>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700" w:type="pct"/>
            <w:tcBorders>
              <w:bottom w:val="double" w:sz="6" w:space="0" w:color="000000"/>
            </w:tcBorders>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424,521</w:t>
            </w:r>
          </w:p>
        </w:tc>
        <w:tc>
          <w:tcPr>
            <w:tcW w:w="50" w:type="pct"/>
            <w:shd w:val="clear" w:color="auto" w:fill="FFFFFF"/>
            <w:noWrap/>
            <w:tcMar>
              <w:top w:w="0" w:type="dxa"/>
              <w:left w:w="0" w:type="dxa"/>
              <w:bottom w:w="4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440993459"/>
          <w:tblCellSpacing w:w="0" w:type="dxa"/>
        </w:trPr>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440993459"/>
          <w:tblCellSpacing w:w="0" w:type="dxa"/>
        </w:trPr>
        <w:tc>
          <w:tcPr>
            <w:tcW w:w="0" w:type="auto"/>
            <w:shd w:val="clear" w:color="auto" w:fill="FFFFFF"/>
            <w:vAlign w:val="bottom"/>
            <w:hideMark/>
          </w:tcPr>
          <w:p w:rsidR="00000000" w:rsidRDefault="008E203B">
            <w:pPr>
              <w:pStyle w:val="a3"/>
              <w:spacing w:before="0" w:beforeAutospacing="0" w:after="0" w:afterAutospacing="0"/>
              <w:ind w:left="540" w:hanging="270"/>
              <w:rPr>
                <w:rFonts w:ascii="Times New Roman" w:hAnsi="Times New Roman" w:cs="Times New Roman"/>
                <w:sz w:val="20"/>
                <w:szCs w:val="20"/>
              </w:rPr>
            </w:pPr>
            <w:r>
              <w:rPr>
                <w:rFonts w:ascii="Times New Roman" w:hAnsi="Times New Roman" w:cs="Times New Roman"/>
                <w:sz w:val="20"/>
                <w:szCs w:val="20"/>
              </w:rPr>
              <w:t>Net income available to the Company's common shareholders:</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440993459"/>
          <w:tblCellSpacing w:w="0" w:type="dxa"/>
        </w:trPr>
        <w:tc>
          <w:tcPr>
            <w:tcW w:w="0" w:type="auto"/>
            <w:shd w:val="clear" w:color="auto" w:fill="CCEEFF"/>
            <w:vAlign w:val="bottom"/>
            <w:hideMark/>
          </w:tcPr>
          <w:p w:rsidR="00000000" w:rsidRDefault="008E203B">
            <w:pPr>
              <w:pStyle w:val="a3"/>
              <w:spacing w:before="0" w:beforeAutospacing="0" w:after="0" w:afterAutospacing="0"/>
              <w:ind w:firstLine="180"/>
              <w:rPr>
                <w:rFonts w:ascii="Times New Roman" w:hAnsi="Times New Roman" w:cs="Times New Roman"/>
                <w:sz w:val="20"/>
                <w:szCs w:val="20"/>
              </w:rPr>
            </w:pPr>
            <w:r>
              <w:rPr>
                <w:rFonts w:ascii="Times New Roman" w:hAnsi="Times New Roman" w:cs="Times New Roman"/>
                <w:sz w:val="20"/>
                <w:szCs w:val="20"/>
              </w:rPr>
              <w:t>Basic earnings per share</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double" w:sz="6" w:space="0" w:color="000000"/>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700" w:type="pct"/>
            <w:tcBorders>
              <w:bottom w:val="double" w:sz="6" w:space="0" w:color="000000"/>
            </w:tcBorders>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0.24</w:t>
            </w:r>
          </w:p>
        </w:tc>
        <w:tc>
          <w:tcPr>
            <w:tcW w:w="50" w:type="pct"/>
            <w:shd w:val="clear" w:color="auto" w:fill="CCEEFF"/>
            <w:noWrap/>
            <w:tcMar>
              <w:top w:w="0" w:type="dxa"/>
              <w:left w:w="0" w:type="dxa"/>
              <w:bottom w:w="4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double" w:sz="6" w:space="0" w:color="000000"/>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700" w:type="pct"/>
            <w:tcBorders>
              <w:bottom w:val="double" w:sz="6" w:space="0" w:color="000000"/>
            </w:tcBorders>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0.30</w:t>
            </w:r>
          </w:p>
        </w:tc>
        <w:tc>
          <w:tcPr>
            <w:tcW w:w="50" w:type="pct"/>
            <w:shd w:val="clear" w:color="auto" w:fill="CCEEFF"/>
            <w:noWrap/>
            <w:tcMar>
              <w:top w:w="0" w:type="dxa"/>
              <w:left w:w="0" w:type="dxa"/>
              <w:bottom w:w="4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440993459"/>
          <w:tblCellSpacing w:w="0" w:type="dxa"/>
        </w:trPr>
        <w:tc>
          <w:tcPr>
            <w:tcW w:w="0" w:type="auto"/>
            <w:shd w:val="clear" w:color="auto" w:fill="FFFFFF"/>
            <w:vAlign w:val="bottom"/>
            <w:hideMark/>
          </w:tcPr>
          <w:p w:rsidR="00000000" w:rsidRDefault="008E203B">
            <w:pPr>
              <w:pStyle w:val="a3"/>
              <w:spacing w:before="0" w:beforeAutospacing="0" w:after="0" w:afterAutospacing="0"/>
              <w:ind w:firstLine="180"/>
              <w:rPr>
                <w:rFonts w:ascii="Times New Roman" w:hAnsi="Times New Roman" w:cs="Times New Roman"/>
                <w:sz w:val="20"/>
                <w:szCs w:val="20"/>
              </w:rPr>
            </w:pPr>
            <w:r>
              <w:rPr>
                <w:rFonts w:ascii="Times New Roman" w:hAnsi="Times New Roman" w:cs="Times New Roman"/>
                <w:sz w:val="20"/>
                <w:szCs w:val="20"/>
              </w:rPr>
              <w:t>Diluted earnings per share</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double" w:sz="6" w:space="0" w:color="000000"/>
            </w:tcBorders>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700" w:type="pct"/>
            <w:tcBorders>
              <w:bottom w:val="double" w:sz="6" w:space="0" w:color="000000"/>
            </w:tcBorders>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0.24</w:t>
            </w:r>
          </w:p>
        </w:tc>
        <w:tc>
          <w:tcPr>
            <w:tcW w:w="50" w:type="pct"/>
            <w:shd w:val="clear" w:color="auto" w:fill="FFFFFF"/>
            <w:noWrap/>
            <w:tcMar>
              <w:top w:w="0" w:type="dxa"/>
              <w:left w:w="0" w:type="dxa"/>
              <w:bottom w:w="4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double" w:sz="6" w:space="0" w:color="000000"/>
            </w:tcBorders>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700" w:type="pct"/>
            <w:tcBorders>
              <w:bottom w:val="double" w:sz="6" w:space="0" w:color="000000"/>
            </w:tcBorders>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0.30</w:t>
            </w:r>
          </w:p>
        </w:tc>
        <w:tc>
          <w:tcPr>
            <w:tcW w:w="50" w:type="pct"/>
            <w:shd w:val="clear" w:color="auto" w:fill="FFFFFF"/>
            <w:noWrap/>
            <w:tcMar>
              <w:top w:w="0" w:type="dxa"/>
              <w:left w:w="0" w:type="dxa"/>
              <w:bottom w:w="4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bl>
    <w:p w:rsidR="00000000" w:rsidRDefault="008E203B">
      <w:pPr>
        <w:pStyle w:val="a3"/>
        <w:spacing w:before="0" w:beforeAutospacing="0" w:after="0" w:afterAutospacing="0"/>
        <w:divId w:val="1574856880"/>
        <w:rPr>
          <w:rFonts w:ascii="Times New Roman" w:hAnsi="Times New Roman" w:cs="Times New Roman"/>
          <w:sz w:val="20"/>
          <w:szCs w:val="20"/>
        </w:rPr>
      </w:pPr>
      <w:r>
        <w:rPr>
          <w:rFonts w:ascii="Times New Roman" w:hAnsi="Times New Roman" w:cs="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divId w:val="1574856880"/>
          <w:tblCellSpacing w:w="0" w:type="dxa"/>
        </w:trPr>
        <w:tc>
          <w:tcPr>
            <w:tcW w:w="360" w:type="dxa"/>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(1)</w:t>
            </w:r>
          </w:p>
        </w:tc>
        <w:tc>
          <w:tcPr>
            <w:tcW w:w="0" w:type="auto"/>
            <w:hideMark/>
          </w:tcPr>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 xml:space="preserve">The effect of the assumed conversion of certain convertible units had an anti-dilutive effect upon the calculation of Net income available to the Company’s common shareholders per share. Accordingly, the impact of such conversions has not been included in </w:t>
            </w:r>
            <w:r>
              <w:rPr>
                <w:rFonts w:ascii="Times New Roman" w:hAnsi="Times New Roman" w:cs="Times New Roman"/>
                <w:sz w:val="20"/>
                <w:szCs w:val="20"/>
              </w:rPr>
              <w:t>the determination of diluted earnings per share calculations. Additionally, there were 1.3 million and 3.3 million stock options that were not dilutive as of March 31, 2019 and 2018, respectively.</w:t>
            </w:r>
          </w:p>
        </w:tc>
      </w:tr>
    </w:tbl>
    <w:p w:rsidR="00000000" w:rsidRDefault="008E203B">
      <w:pPr>
        <w:pStyle w:val="a3"/>
        <w:spacing w:before="0" w:beforeAutospacing="0" w:after="0" w:afterAutospacing="0"/>
        <w:ind w:firstLine="360"/>
        <w:jc w:val="both"/>
        <w:divId w:val="1574856880"/>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divId w:val="1574856880"/>
        <w:rPr>
          <w:rFonts w:ascii="Times New Roman" w:hAnsi="Times New Roman" w:cs="Times New Roman"/>
          <w:sz w:val="20"/>
          <w:szCs w:val="20"/>
        </w:rPr>
      </w:pPr>
      <w:r>
        <w:rPr>
          <w:rFonts w:ascii="Times New Roman" w:hAnsi="Times New Roman" w:cs="Times New Roman"/>
          <w:sz w:val="20"/>
          <w:szCs w:val="20"/>
        </w:rPr>
        <w:t>The Company's unvested restricted share awards contain n</w:t>
      </w:r>
      <w:r>
        <w:rPr>
          <w:rFonts w:ascii="Times New Roman" w:hAnsi="Times New Roman" w:cs="Times New Roman"/>
          <w:sz w:val="20"/>
          <w:szCs w:val="20"/>
        </w:rPr>
        <w:t>on-forfeitable rights to distributions or distribution equivalents. The impact of the unvested restricted share awards on earnings per share has been calculated using the two-class method whereby earnings are allocated to the unvested restricted share awar</w:t>
      </w:r>
      <w:r>
        <w:rPr>
          <w:rFonts w:ascii="Times New Roman" w:hAnsi="Times New Roman" w:cs="Times New Roman"/>
          <w:sz w:val="20"/>
          <w:szCs w:val="20"/>
        </w:rPr>
        <w:t>ds based on dividends declared and the unvested restricted shares' participation rights in undistributed earnings.</w:t>
      </w:r>
    </w:p>
    <w:p w:rsidR="00000000" w:rsidRDefault="008E203B">
      <w:pPr>
        <w:pStyle w:val="a3"/>
        <w:spacing w:before="0" w:beforeAutospacing="0" w:after="0" w:afterAutospacing="0"/>
        <w:divId w:val="1574856880"/>
        <w:rPr>
          <w:rFonts w:ascii="Times New Roman" w:hAnsi="Times New Roman" w:cs="Times New Roman"/>
          <w:sz w:val="20"/>
          <w:szCs w:val="20"/>
        </w:rPr>
      </w:pPr>
      <w:r>
        <w:rPr>
          <w:rFonts w:ascii="Times New Roman" w:hAnsi="Times New Roman" w:cs="Times New Roman"/>
          <w:sz w:val="20"/>
          <w:szCs w:val="20"/>
        </w:rPr>
        <w:t> </w:t>
      </w:r>
    </w:p>
    <w:p w:rsidR="00000000" w:rsidRDefault="008E203B">
      <w:pPr>
        <w:divId w:val="1469202981"/>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divId w:val="1900894211"/>
        <w:rPr>
          <w:rFonts w:ascii="Times New Roman" w:hAnsi="Times New Roman" w:cs="Times New Roman"/>
          <w:sz w:val="20"/>
          <w:szCs w:val="20"/>
        </w:rPr>
      </w:pPr>
      <w:r>
        <w:rPr>
          <w:rFonts w:ascii="Times New Roman" w:hAnsi="Times New Roman" w:cs="Times New Roman"/>
          <w:sz w:val="20"/>
          <w:szCs w:val="20"/>
        </w:rPr>
        <w:t xml:space="preserve">15. </w:t>
      </w:r>
      <w:r>
        <w:rPr>
          <w:rFonts w:ascii="Times New Roman" w:hAnsi="Times New Roman" w:cs="Times New Roman"/>
          <w:sz w:val="20"/>
          <w:szCs w:val="20"/>
          <w:u w:val="single"/>
        </w:rPr>
        <w:t>Stockholders’ Equity</w:t>
      </w:r>
    </w:p>
    <w:p w:rsidR="00000000" w:rsidRDefault="008E203B">
      <w:pPr>
        <w:pStyle w:val="a3"/>
        <w:spacing w:before="0" w:beforeAutospacing="0" w:after="0" w:afterAutospacing="0"/>
        <w:divId w:val="1900894211"/>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jc w:val="both"/>
        <w:divId w:val="1900894211"/>
        <w:rPr>
          <w:rFonts w:ascii="Times New Roman" w:hAnsi="Times New Roman" w:cs="Times New Roman"/>
          <w:sz w:val="20"/>
          <w:szCs w:val="20"/>
        </w:rPr>
      </w:pPr>
      <w:r>
        <w:rPr>
          <w:rFonts w:ascii="Times New Roman" w:hAnsi="Times New Roman" w:cs="Times New Roman"/>
          <w:i/>
          <w:iCs/>
          <w:sz w:val="20"/>
          <w:szCs w:val="20"/>
        </w:rPr>
        <w:t>Preferred Stock -</w:t>
      </w:r>
    </w:p>
    <w:p w:rsidR="00000000" w:rsidRDefault="008E203B">
      <w:pPr>
        <w:pStyle w:val="a3"/>
        <w:spacing w:before="0" w:beforeAutospacing="0" w:after="0" w:afterAutospacing="0"/>
        <w:ind w:left="360"/>
        <w:jc w:val="both"/>
        <w:divId w:val="1900894211"/>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ind w:left="360"/>
        <w:jc w:val="both"/>
        <w:divId w:val="1900894211"/>
        <w:rPr>
          <w:rFonts w:ascii="Times New Roman" w:hAnsi="Times New Roman" w:cs="Times New Roman"/>
          <w:sz w:val="20"/>
          <w:szCs w:val="20"/>
        </w:rPr>
      </w:pPr>
      <w:r>
        <w:rPr>
          <w:rFonts w:ascii="Times New Roman" w:hAnsi="Times New Roman" w:cs="Times New Roman"/>
          <w:sz w:val="20"/>
          <w:szCs w:val="20"/>
        </w:rPr>
        <w:t>The Company’</w:t>
      </w:r>
      <w:r>
        <w:rPr>
          <w:rFonts w:ascii="Times New Roman" w:hAnsi="Times New Roman" w:cs="Times New Roman"/>
          <w:sz w:val="20"/>
          <w:szCs w:val="20"/>
        </w:rPr>
        <w:t>s outstanding Preferred Stock is detailed below:</w:t>
      </w:r>
    </w:p>
    <w:p w:rsidR="00000000" w:rsidRDefault="008E203B">
      <w:pPr>
        <w:pStyle w:val="a3"/>
        <w:spacing w:before="0" w:beforeAutospacing="0" w:after="0" w:afterAutospacing="0"/>
        <w:jc w:val="both"/>
        <w:divId w:val="1900894211"/>
        <w:rPr>
          <w:rFonts w:ascii="Times New Roman" w:hAnsi="Times New Roman" w:cs="Times New Roman"/>
          <w:sz w:val="20"/>
          <w:szCs w:val="20"/>
        </w:rPr>
      </w:pPr>
      <w:r>
        <w:rPr>
          <w:rFonts w:ascii="Times New Roman" w:hAnsi="Times New Roman" w:cs="Times New Roman"/>
          <w:sz w:val="20"/>
          <w:szCs w:val="20"/>
        </w:rPr>
        <w:t> </w:t>
      </w:r>
    </w:p>
    <w:tbl>
      <w:tblPr>
        <w:tblW w:w="4750" w:type="pct"/>
        <w:tblCellSpacing w:w="0" w:type="dxa"/>
        <w:tblInd w:w="2" w:type="dxa"/>
        <w:tblCellMar>
          <w:left w:w="0" w:type="dxa"/>
          <w:right w:w="0" w:type="dxa"/>
        </w:tblCellMar>
        <w:tblLook w:val="04A0" w:firstRow="1" w:lastRow="0" w:firstColumn="1" w:lastColumn="0" w:noHBand="0" w:noVBand="1"/>
      </w:tblPr>
      <w:tblGrid>
        <w:gridCol w:w="833"/>
        <w:gridCol w:w="50"/>
        <w:gridCol w:w="88"/>
        <w:gridCol w:w="879"/>
        <w:gridCol w:w="50"/>
        <w:gridCol w:w="50"/>
        <w:gridCol w:w="98"/>
        <w:gridCol w:w="970"/>
        <w:gridCol w:w="50"/>
        <w:gridCol w:w="50"/>
        <w:gridCol w:w="460"/>
        <w:gridCol w:w="1160"/>
        <w:gridCol w:w="50"/>
        <w:gridCol w:w="50"/>
        <w:gridCol w:w="71"/>
        <w:gridCol w:w="708"/>
        <w:gridCol w:w="167"/>
        <w:gridCol w:w="50"/>
        <w:gridCol w:w="102"/>
        <w:gridCol w:w="1015"/>
        <w:gridCol w:w="50"/>
        <w:gridCol w:w="50"/>
        <w:gridCol w:w="121"/>
        <w:gridCol w:w="454"/>
        <w:gridCol w:w="50"/>
        <w:gridCol w:w="1045"/>
      </w:tblGrid>
      <w:tr w:rsidR="00000000">
        <w:trPr>
          <w:divId w:val="1256481403"/>
          <w:tblCellSpacing w:w="0" w:type="dxa"/>
        </w:trPr>
        <w:tc>
          <w:tcPr>
            <w:tcW w:w="520" w:type="pct"/>
            <w:gridSpan w:val="26"/>
            <w:tcBorders>
              <w:bottom w:val="single" w:sz="6" w:space="0" w:color="000000"/>
            </w:tcBorders>
            <w:vAlign w:val="center"/>
            <w:hideMark/>
          </w:tcPr>
          <w:p w:rsidR="00000000" w:rsidRDefault="008E203B">
            <w:pPr>
              <w:jc w:val="center"/>
              <w:rPr>
                <w:rFonts w:ascii="Times New Roman" w:hAnsi="Times New Roman" w:cs="Times New Roman"/>
                <w:sz w:val="20"/>
                <w:szCs w:val="20"/>
              </w:rPr>
            </w:pPr>
            <w:r>
              <w:rPr>
                <w:rFonts w:ascii="Times New Roman" w:hAnsi="Times New Roman" w:cs="Times New Roman"/>
                <w:b/>
                <w:bCs/>
                <w:sz w:val="20"/>
                <w:szCs w:val="20"/>
              </w:rPr>
              <w:t>As of March 31, 2019 and December 31, 2018</w:t>
            </w:r>
          </w:p>
        </w:tc>
      </w:tr>
      <w:tr w:rsidR="00000000">
        <w:trPr>
          <w:divId w:val="1256481403"/>
          <w:tblCellSpacing w:w="0" w:type="dxa"/>
        </w:trPr>
        <w:tc>
          <w:tcPr>
            <w:tcW w:w="500" w:type="pct"/>
            <w:tcBorders>
              <w:bottom w:val="single" w:sz="6" w:space="0" w:color="000000"/>
            </w:tcBorders>
            <w:noWrap/>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Class of</w:t>
            </w:r>
          </w:p>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Preferred</w:t>
            </w:r>
          </w:p>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Stock</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gridSpan w:val="2"/>
            <w:tcBorders>
              <w:bottom w:val="single" w:sz="6" w:space="0" w:color="000000"/>
            </w:tcBorders>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 xml:space="preserve">Shares </w:t>
            </w:r>
          </w:p>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Authorized</w:t>
            </w:r>
          </w:p>
        </w:tc>
        <w:tc>
          <w:tcPr>
            <w:tcW w:w="0" w:type="auto"/>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pct"/>
            <w:gridSpan w:val="2"/>
            <w:tcBorders>
              <w:bottom w:val="single" w:sz="6" w:space="0" w:color="000000"/>
            </w:tcBorders>
            <w:noWrap/>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Shares</w:t>
            </w:r>
          </w:p>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Issued and</w:t>
            </w:r>
          </w:p>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Outstanding</w:t>
            </w:r>
          </w:p>
        </w:tc>
        <w:tc>
          <w:tcPr>
            <w:tcW w:w="0" w:type="auto"/>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pct"/>
            <w:gridSpan w:val="2"/>
            <w:tcBorders>
              <w:bottom w:val="single" w:sz="6" w:space="0" w:color="000000"/>
            </w:tcBorders>
            <w:noWrap/>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Liquidation</w:t>
            </w:r>
          </w:p>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Preference</w:t>
            </w:r>
          </w:p>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(in thousands)</w:t>
            </w:r>
          </w:p>
        </w:tc>
        <w:tc>
          <w:tcPr>
            <w:tcW w:w="0" w:type="auto"/>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gridSpan w:val="2"/>
            <w:tcBorders>
              <w:bottom w:val="single" w:sz="6" w:space="0" w:color="000000"/>
            </w:tcBorders>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Dividend</w:t>
            </w:r>
          </w:p>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Rate</w:t>
            </w:r>
          </w:p>
        </w:tc>
        <w:tc>
          <w:tcPr>
            <w:tcW w:w="0" w:type="auto"/>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pct"/>
            <w:gridSpan w:val="2"/>
            <w:tcBorders>
              <w:bottom w:val="single" w:sz="6" w:space="0" w:color="000000"/>
            </w:tcBorders>
            <w:noWrap/>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Annual</w:t>
            </w:r>
          </w:p>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 xml:space="preserve">Dividend per </w:t>
            </w:r>
          </w:p>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Depositary</w:t>
            </w:r>
          </w:p>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Share</w:t>
            </w:r>
          </w:p>
        </w:tc>
        <w:tc>
          <w:tcPr>
            <w:tcW w:w="0" w:type="auto"/>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gridSpan w:val="2"/>
            <w:tcBorders>
              <w:bottom w:val="single" w:sz="6" w:space="0" w:color="000000"/>
            </w:tcBorders>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Par</w:t>
            </w:r>
          </w:p>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Value</w:t>
            </w:r>
          </w:p>
        </w:tc>
        <w:tc>
          <w:tcPr>
            <w:tcW w:w="0" w:type="auto"/>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80" w:type="pct"/>
            <w:tcBorders>
              <w:bottom w:val="single" w:sz="6" w:space="0" w:color="000000"/>
            </w:tcBorders>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Optional</w:t>
            </w:r>
          </w:p>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Redemption</w:t>
            </w:r>
          </w:p>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Date</w:t>
            </w:r>
          </w:p>
        </w:tc>
      </w:tr>
      <w:tr w:rsidR="00000000">
        <w:trPr>
          <w:divId w:val="1256481403"/>
          <w:tblCellSpacing w:w="0" w:type="dxa"/>
        </w:trPr>
        <w:tc>
          <w:tcPr>
            <w:tcW w:w="0" w:type="auto"/>
            <w:tcBorders>
              <w:bottom w:val="nil"/>
            </w:tcBorders>
            <w:shd w:val="clear" w:color="auto" w:fill="CCEEFF"/>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Class I</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18,400</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7,000</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50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175,000</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6.000</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50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1.50000</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ind w:left="20"/>
              <w:rPr>
                <w:rFonts w:ascii="Times New Roman" w:hAnsi="Times New Roman" w:cs="Times New Roman"/>
                <w:sz w:val="20"/>
                <w:szCs w:val="20"/>
              </w:rPr>
            </w:pPr>
            <w:r>
              <w:rPr>
                <w:rFonts w:ascii="Times New Roman" w:hAnsi="Times New Roman" w:cs="Times New Roman"/>
                <w:sz w:val="20"/>
                <w:szCs w:val="20"/>
              </w:rPr>
              <w:t>$</w:t>
            </w:r>
          </w:p>
        </w:tc>
        <w:tc>
          <w:tcPr>
            <w:tcW w:w="500" w:type="pct"/>
            <w:shd w:val="clear" w:color="auto" w:fill="CCEEFF"/>
            <w:vAlign w:val="bottom"/>
            <w:hideMark/>
          </w:tcPr>
          <w:p w:rsidR="00000000" w:rsidRDefault="008E203B">
            <w:pPr>
              <w:ind w:left="20"/>
              <w:jc w:val="right"/>
              <w:rPr>
                <w:rFonts w:ascii="Times New Roman" w:hAnsi="Times New Roman" w:cs="Times New Roman"/>
                <w:sz w:val="20"/>
                <w:szCs w:val="20"/>
              </w:rPr>
            </w:pPr>
            <w:r>
              <w:rPr>
                <w:rFonts w:ascii="Times New Roman" w:hAnsi="Times New Roman" w:cs="Times New Roman"/>
                <w:sz w:val="20"/>
                <w:szCs w:val="20"/>
              </w:rPr>
              <w:t>1.00</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pStyle w:val="a3"/>
              <w:spacing w:before="0" w:beforeAutospacing="0" w:after="0" w:afterAutospacing="0"/>
              <w:ind w:left="40"/>
              <w:jc w:val="center"/>
              <w:rPr>
                <w:rFonts w:ascii="Times New Roman" w:hAnsi="Times New Roman" w:cs="Times New Roman"/>
                <w:sz w:val="20"/>
                <w:szCs w:val="20"/>
              </w:rPr>
            </w:pPr>
            <w:r>
              <w:rPr>
                <w:rFonts w:ascii="Times New Roman" w:hAnsi="Times New Roman" w:cs="Times New Roman"/>
                <w:sz w:val="20"/>
                <w:szCs w:val="20"/>
              </w:rPr>
              <w:t>3/20/2017</w:t>
            </w:r>
          </w:p>
        </w:tc>
      </w:tr>
      <w:tr w:rsidR="00000000">
        <w:trPr>
          <w:divId w:val="1256481403"/>
          <w:tblCellSpacing w:w="0" w:type="dxa"/>
        </w:trPr>
        <w:tc>
          <w:tcPr>
            <w:tcW w:w="0" w:type="auto"/>
            <w:shd w:val="clear" w:color="auto" w:fill="FFFFFF"/>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Class J</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9,000</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9,000</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225,000</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5.500</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50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1.37500</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ind w:left="20"/>
              <w:rPr>
                <w:rFonts w:ascii="Times New Roman" w:hAnsi="Times New Roman" w:cs="Times New Roman"/>
                <w:sz w:val="20"/>
                <w:szCs w:val="20"/>
              </w:rPr>
            </w:pPr>
            <w:r>
              <w:rPr>
                <w:rFonts w:ascii="Times New Roman" w:hAnsi="Times New Roman" w:cs="Times New Roman"/>
                <w:sz w:val="20"/>
                <w:szCs w:val="20"/>
              </w:rPr>
              <w:t>$</w:t>
            </w:r>
          </w:p>
        </w:tc>
        <w:tc>
          <w:tcPr>
            <w:tcW w:w="500" w:type="pct"/>
            <w:shd w:val="clear" w:color="auto" w:fill="FFFFFF"/>
            <w:vAlign w:val="bottom"/>
            <w:hideMark/>
          </w:tcPr>
          <w:p w:rsidR="00000000" w:rsidRDefault="008E203B">
            <w:pPr>
              <w:ind w:left="20"/>
              <w:jc w:val="right"/>
              <w:rPr>
                <w:rFonts w:ascii="Times New Roman" w:hAnsi="Times New Roman" w:cs="Times New Roman"/>
                <w:sz w:val="20"/>
                <w:szCs w:val="20"/>
              </w:rPr>
            </w:pPr>
            <w:r>
              <w:rPr>
                <w:rFonts w:ascii="Times New Roman" w:hAnsi="Times New Roman" w:cs="Times New Roman"/>
                <w:sz w:val="20"/>
                <w:szCs w:val="20"/>
              </w:rPr>
              <w:t>1.00</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pStyle w:val="a3"/>
              <w:spacing w:before="0" w:beforeAutospacing="0" w:after="0" w:afterAutospacing="0"/>
              <w:ind w:left="40"/>
              <w:jc w:val="center"/>
              <w:rPr>
                <w:rFonts w:ascii="Times New Roman" w:hAnsi="Times New Roman" w:cs="Times New Roman"/>
                <w:sz w:val="20"/>
                <w:szCs w:val="20"/>
              </w:rPr>
            </w:pPr>
            <w:r>
              <w:rPr>
                <w:rFonts w:ascii="Times New Roman" w:hAnsi="Times New Roman" w:cs="Times New Roman"/>
                <w:sz w:val="20"/>
                <w:szCs w:val="20"/>
              </w:rPr>
              <w:t>7/25/2017</w:t>
            </w:r>
          </w:p>
        </w:tc>
      </w:tr>
      <w:tr w:rsidR="00000000">
        <w:trPr>
          <w:divId w:val="1256481403"/>
          <w:tblCellSpacing w:w="0" w:type="dxa"/>
        </w:trPr>
        <w:tc>
          <w:tcPr>
            <w:tcW w:w="0" w:type="auto"/>
            <w:shd w:val="clear" w:color="auto" w:fill="CCEEFF"/>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Class K</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8,050</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7,000</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175,000</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5.625</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50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1.40625</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ind w:left="20"/>
              <w:rPr>
                <w:rFonts w:ascii="Times New Roman" w:hAnsi="Times New Roman" w:cs="Times New Roman"/>
                <w:sz w:val="20"/>
                <w:szCs w:val="20"/>
              </w:rPr>
            </w:pPr>
            <w:r>
              <w:rPr>
                <w:rFonts w:ascii="Times New Roman" w:hAnsi="Times New Roman" w:cs="Times New Roman"/>
                <w:sz w:val="20"/>
                <w:szCs w:val="20"/>
              </w:rPr>
              <w:t>$</w:t>
            </w:r>
          </w:p>
        </w:tc>
        <w:tc>
          <w:tcPr>
            <w:tcW w:w="500" w:type="pct"/>
            <w:shd w:val="clear" w:color="auto" w:fill="CCEEFF"/>
            <w:vAlign w:val="bottom"/>
            <w:hideMark/>
          </w:tcPr>
          <w:p w:rsidR="00000000" w:rsidRDefault="008E203B">
            <w:pPr>
              <w:ind w:left="20"/>
              <w:jc w:val="right"/>
              <w:rPr>
                <w:rFonts w:ascii="Times New Roman" w:hAnsi="Times New Roman" w:cs="Times New Roman"/>
                <w:sz w:val="20"/>
                <w:szCs w:val="20"/>
              </w:rPr>
            </w:pPr>
            <w:r>
              <w:rPr>
                <w:rFonts w:ascii="Times New Roman" w:hAnsi="Times New Roman" w:cs="Times New Roman"/>
                <w:sz w:val="20"/>
                <w:szCs w:val="20"/>
              </w:rPr>
              <w:t>1.00</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pStyle w:val="a3"/>
              <w:spacing w:before="0" w:beforeAutospacing="0" w:after="0" w:afterAutospacing="0"/>
              <w:ind w:left="40"/>
              <w:jc w:val="center"/>
              <w:rPr>
                <w:rFonts w:ascii="Times New Roman" w:hAnsi="Times New Roman" w:cs="Times New Roman"/>
                <w:sz w:val="20"/>
                <w:szCs w:val="20"/>
              </w:rPr>
            </w:pPr>
            <w:r>
              <w:rPr>
                <w:rFonts w:ascii="Times New Roman" w:hAnsi="Times New Roman" w:cs="Times New Roman"/>
                <w:sz w:val="20"/>
                <w:szCs w:val="20"/>
              </w:rPr>
              <w:t>12/7/2017</w:t>
            </w:r>
          </w:p>
        </w:tc>
      </w:tr>
      <w:tr w:rsidR="00000000">
        <w:trPr>
          <w:divId w:val="1256481403"/>
          <w:tblCellSpacing w:w="0" w:type="dxa"/>
        </w:trPr>
        <w:tc>
          <w:tcPr>
            <w:tcW w:w="0" w:type="auto"/>
            <w:shd w:val="clear" w:color="auto" w:fill="FFFFFF"/>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Class L</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10,350</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9,000</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225,000</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5.125</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50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1.28125</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ind w:left="20"/>
              <w:rPr>
                <w:rFonts w:ascii="Times New Roman" w:hAnsi="Times New Roman" w:cs="Times New Roman"/>
                <w:sz w:val="20"/>
                <w:szCs w:val="20"/>
              </w:rPr>
            </w:pPr>
            <w:r>
              <w:rPr>
                <w:rFonts w:ascii="Times New Roman" w:hAnsi="Times New Roman" w:cs="Times New Roman"/>
                <w:sz w:val="20"/>
                <w:szCs w:val="20"/>
              </w:rPr>
              <w:t>$</w:t>
            </w:r>
          </w:p>
        </w:tc>
        <w:tc>
          <w:tcPr>
            <w:tcW w:w="500" w:type="pct"/>
            <w:shd w:val="clear" w:color="auto" w:fill="FFFFFF"/>
            <w:vAlign w:val="bottom"/>
            <w:hideMark/>
          </w:tcPr>
          <w:p w:rsidR="00000000" w:rsidRDefault="008E203B">
            <w:pPr>
              <w:ind w:left="20"/>
              <w:jc w:val="right"/>
              <w:rPr>
                <w:rFonts w:ascii="Times New Roman" w:hAnsi="Times New Roman" w:cs="Times New Roman"/>
                <w:sz w:val="20"/>
                <w:szCs w:val="20"/>
              </w:rPr>
            </w:pPr>
            <w:r>
              <w:rPr>
                <w:rFonts w:ascii="Times New Roman" w:hAnsi="Times New Roman" w:cs="Times New Roman"/>
                <w:sz w:val="20"/>
                <w:szCs w:val="20"/>
              </w:rPr>
              <w:t>1.00</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pStyle w:val="a3"/>
              <w:spacing w:before="0" w:beforeAutospacing="0" w:after="0" w:afterAutospacing="0"/>
              <w:ind w:left="40"/>
              <w:jc w:val="center"/>
              <w:rPr>
                <w:rFonts w:ascii="Times New Roman" w:hAnsi="Times New Roman" w:cs="Times New Roman"/>
                <w:sz w:val="20"/>
                <w:szCs w:val="20"/>
              </w:rPr>
            </w:pPr>
            <w:r>
              <w:rPr>
                <w:rFonts w:ascii="Times New Roman" w:hAnsi="Times New Roman" w:cs="Times New Roman"/>
                <w:sz w:val="20"/>
                <w:szCs w:val="20"/>
              </w:rPr>
              <w:t>8/16/2022</w:t>
            </w:r>
          </w:p>
        </w:tc>
      </w:tr>
      <w:tr w:rsidR="00000000">
        <w:trPr>
          <w:divId w:val="1256481403"/>
          <w:tblCellSpacing w:w="0" w:type="dxa"/>
        </w:trPr>
        <w:tc>
          <w:tcPr>
            <w:tcW w:w="0" w:type="auto"/>
            <w:shd w:val="clear" w:color="auto" w:fill="CCEEFF"/>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Class M</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10,580</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single" w:sz="6" w:space="0" w:color="000000"/>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0" w:type="pct"/>
            <w:tcBorders>
              <w:bottom w:val="single" w:sz="6" w:space="0" w:color="000000"/>
            </w:tcBorders>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10,580</w:t>
            </w:r>
          </w:p>
        </w:tc>
        <w:tc>
          <w:tcPr>
            <w:tcW w:w="50" w:type="pct"/>
            <w:shd w:val="clear" w:color="auto" w:fill="CCEEFF"/>
            <w:noWrap/>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single" w:sz="6" w:space="0" w:color="000000"/>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0" w:type="pct"/>
            <w:tcBorders>
              <w:bottom w:val="single" w:sz="6" w:space="0" w:color="000000"/>
            </w:tcBorders>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264,500</w:t>
            </w:r>
          </w:p>
        </w:tc>
        <w:tc>
          <w:tcPr>
            <w:tcW w:w="50" w:type="pct"/>
            <w:shd w:val="clear" w:color="auto" w:fill="CCEEFF"/>
            <w:noWrap/>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5.250</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50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1.31250</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ind w:left="20"/>
              <w:rPr>
                <w:rFonts w:ascii="Times New Roman" w:hAnsi="Times New Roman" w:cs="Times New Roman"/>
                <w:sz w:val="20"/>
                <w:szCs w:val="20"/>
              </w:rPr>
            </w:pPr>
            <w:r>
              <w:rPr>
                <w:rFonts w:ascii="Times New Roman" w:hAnsi="Times New Roman" w:cs="Times New Roman"/>
                <w:sz w:val="20"/>
                <w:szCs w:val="20"/>
              </w:rPr>
              <w:t>$</w:t>
            </w:r>
          </w:p>
        </w:tc>
        <w:tc>
          <w:tcPr>
            <w:tcW w:w="500" w:type="pct"/>
            <w:shd w:val="clear" w:color="auto" w:fill="CCEEFF"/>
            <w:vAlign w:val="bottom"/>
            <w:hideMark/>
          </w:tcPr>
          <w:p w:rsidR="00000000" w:rsidRDefault="008E203B">
            <w:pPr>
              <w:ind w:left="20"/>
              <w:jc w:val="right"/>
              <w:rPr>
                <w:rFonts w:ascii="Times New Roman" w:hAnsi="Times New Roman" w:cs="Times New Roman"/>
                <w:sz w:val="20"/>
                <w:szCs w:val="20"/>
              </w:rPr>
            </w:pPr>
            <w:r>
              <w:rPr>
                <w:rFonts w:ascii="Times New Roman" w:hAnsi="Times New Roman" w:cs="Times New Roman"/>
                <w:sz w:val="20"/>
                <w:szCs w:val="20"/>
              </w:rPr>
              <w:t>1.00</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pStyle w:val="a3"/>
              <w:spacing w:before="0" w:beforeAutospacing="0" w:after="0" w:afterAutospacing="0"/>
              <w:ind w:left="40"/>
              <w:jc w:val="center"/>
              <w:rPr>
                <w:rFonts w:ascii="Times New Roman" w:hAnsi="Times New Roman" w:cs="Times New Roman"/>
                <w:sz w:val="20"/>
                <w:szCs w:val="20"/>
              </w:rPr>
            </w:pPr>
            <w:r>
              <w:rPr>
                <w:rFonts w:ascii="Times New Roman" w:hAnsi="Times New Roman" w:cs="Times New Roman"/>
                <w:sz w:val="20"/>
                <w:szCs w:val="20"/>
              </w:rPr>
              <w:t>12/20/2022</w:t>
            </w:r>
          </w:p>
        </w:tc>
      </w:tr>
      <w:tr w:rsidR="00000000">
        <w:trPr>
          <w:divId w:val="1256481403"/>
          <w:tblCellSpacing w:w="0" w:type="dxa"/>
        </w:trPr>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tcMar>
              <w:top w:w="0" w:type="dxa"/>
              <w:left w:w="0" w:type="dxa"/>
              <w:bottom w:w="4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double" w:sz="6" w:space="0" w:color="000000"/>
            </w:tcBorders>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0" w:type="pct"/>
            <w:tcBorders>
              <w:bottom w:val="double" w:sz="6" w:space="0" w:color="000000"/>
            </w:tcBorders>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42,580</w:t>
            </w:r>
          </w:p>
        </w:tc>
        <w:tc>
          <w:tcPr>
            <w:tcW w:w="50" w:type="pct"/>
            <w:shd w:val="clear" w:color="auto" w:fill="FFFFFF"/>
            <w:noWrap/>
            <w:tcMar>
              <w:top w:w="0" w:type="dxa"/>
              <w:left w:w="0" w:type="dxa"/>
              <w:bottom w:w="4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tcMar>
              <w:top w:w="0" w:type="dxa"/>
              <w:left w:w="0" w:type="dxa"/>
              <w:bottom w:w="4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double" w:sz="6" w:space="0" w:color="000000"/>
            </w:tcBorders>
            <w:shd w:val="clear" w:color="auto" w:fill="FFFFFF"/>
            <w:vAlign w:val="bottom"/>
            <w:hideMark/>
          </w:tcPr>
          <w:p w:rsidR="00000000" w:rsidRDefault="008E203B">
            <w:pPr>
              <w:ind w:left="360"/>
              <w:rPr>
                <w:rFonts w:ascii="Times New Roman" w:hAnsi="Times New Roman" w:cs="Times New Roman"/>
                <w:sz w:val="20"/>
                <w:szCs w:val="20"/>
              </w:rPr>
            </w:pPr>
            <w:r>
              <w:rPr>
                <w:rFonts w:ascii="Times New Roman" w:hAnsi="Times New Roman" w:cs="Times New Roman"/>
                <w:sz w:val="20"/>
                <w:szCs w:val="20"/>
              </w:rPr>
              <w:t>$</w:t>
            </w:r>
          </w:p>
        </w:tc>
        <w:tc>
          <w:tcPr>
            <w:tcW w:w="500" w:type="pct"/>
            <w:tcBorders>
              <w:bottom w:val="double" w:sz="6" w:space="0" w:color="000000"/>
            </w:tcBorders>
            <w:shd w:val="clear" w:color="auto" w:fill="FFFFFF"/>
            <w:vAlign w:val="bottom"/>
            <w:hideMark/>
          </w:tcPr>
          <w:p w:rsidR="00000000" w:rsidRDefault="008E203B">
            <w:pPr>
              <w:ind w:left="360"/>
              <w:jc w:val="right"/>
              <w:rPr>
                <w:rFonts w:ascii="Times New Roman" w:hAnsi="Times New Roman" w:cs="Times New Roman"/>
                <w:sz w:val="20"/>
                <w:szCs w:val="20"/>
              </w:rPr>
            </w:pPr>
            <w:r>
              <w:rPr>
                <w:rFonts w:ascii="Times New Roman" w:hAnsi="Times New Roman" w:cs="Times New Roman"/>
                <w:sz w:val="20"/>
                <w:szCs w:val="20"/>
              </w:rPr>
              <w:t>1,064,500</w:t>
            </w:r>
          </w:p>
        </w:tc>
        <w:tc>
          <w:tcPr>
            <w:tcW w:w="50" w:type="pct"/>
            <w:shd w:val="clear" w:color="auto" w:fill="FFFFFF"/>
            <w:noWrap/>
            <w:tcMar>
              <w:top w:w="0" w:type="dxa"/>
              <w:left w:w="0" w:type="dxa"/>
              <w:bottom w:w="4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bl>
    <w:p w:rsidR="00000000" w:rsidRDefault="008E203B">
      <w:pPr>
        <w:pStyle w:val="a3"/>
        <w:spacing w:before="0" w:beforeAutospacing="0" w:after="0" w:afterAutospacing="0"/>
        <w:jc w:val="both"/>
        <w:divId w:val="1900894211"/>
        <w:rPr>
          <w:rFonts w:ascii="Times New Roman" w:hAnsi="Times New Roman" w:cs="Times New Roman"/>
          <w:sz w:val="20"/>
          <w:szCs w:val="20"/>
        </w:rPr>
      </w:pPr>
      <w:r>
        <w:rPr>
          <w:rFonts w:ascii="Times New Roman" w:hAnsi="Times New Roman" w:cs="Times New Roman"/>
          <w:sz w:val="20"/>
          <w:szCs w:val="20"/>
        </w:rPr>
        <w:t> </w:t>
      </w:r>
    </w:p>
    <w:p w:rsidR="00000000" w:rsidRDefault="008E203B">
      <w:pPr>
        <w:jc w:val="center"/>
        <w:divId w:val="1064450361"/>
        <w:rPr>
          <w:rFonts w:ascii="Times New Roman" w:hAnsi="Times New Roman" w:cs="Times New Roman"/>
          <w:sz w:val="20"/>
          <w:szCs w:val="20"/>
        </w:rPr>
      </w:pPr>
      <w:r>
        <w:rPr>
          <w:rFonts w:ascii="Times New Roman" w:hAnsi="Times New Roman" w:cs="Times New Roman"/>
          <w:sz w:val="20"/>
          <w:szCs w:val="20"/>
        </w:rPr>
        <w:t>19</w:t>
      </w:r>
    </w:p>
    <w:p w:rsidR="00000000" w:rsidRDefault="008E203B">
      <w:pPr>
        <w:divId w:val="1064450361"/>
        <w:rPr>
          <w:rFonts w:ascii="Times New Roman" w:hAnsi="Times New Roman" w:cs="Times New Roman"/>
          <w:sz w:val="20"/>
          <w:szCs w:val="20"/>
        </w:rPr>
      </w:pPr>
      <w:r>
        <w:rPr>
          <w:rFonts w:ascii="Times New Roman" w:hAnsi="Times New Roman" w:cs="Times New Roman"/>
          <w:sz w:val="20"/>
          <w:szCs w:val="20"/>
        </w:rPr>
        <w:pict>
          <v:rect id="_x0000_i1047" style="width:415.3pt;height:1.5pt" o:hralign="center" o:hrstd="t" o:hrnoshade="t" o:hr="t" fillcolor="black" stroked="f"/>
        </w:pict>
      </w:r>
    </w:p>
    <w:p w:rsidR="00000000" w:rsidRDefault="008E203B">
      <w:pPr>
        <w:divId w:val="1064450361"/>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8E203B">
      <w:pPr>
        <w:pStyle w:val="a3"/>
        <w:spacing w:before="0" w:beforeAutospacing="0" w:after="0" w:afterAutospacing="0"/>
        <w:divId w:val="1900894211"/>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jc w:val="both"/>
        <w:divId w:val="1900894211"/>
        <w:rPr>
          <w:rFonts w:ascii="Times New Roman" w:hAnsi="Times New Roman" w:cs="Times New Roman"/>
          <w:sz w:val="20"/>
          <w:szCs w:val="20"/>
        </w:rPr>
      </w:pPr>
      <w:r>
        <w:rPr>
          <w:rFonts w:ascii="Times New Roman" w:hAnsi="Times New Roman" w:cs="Times New Roman"/>
          <w:i/>
          <w:iCs/>
          <w:sz w:val="20"/>
          <w:szCs w:val="20"/>
        </w:rPr>
        <w:t>Common Stock -</w:t>
      </w:r>
    </w:p>
    <w:p w:rsidR="00000000" w:rsidRDefault="008E203B">
      <w:pPr>
        <w:pStyle w:val="a3"/>
        <w:spacing w:before="0" w:beforeAutospacing="0" w:after="0" w:afterAutospacing="0"/>
        <w:jc w:val="both"/>
        <w:divId w:val="1900894211"/>
        <w:rPr>
          <w:rFonts w:ascii="Times New Roman" w:hAnsi="Times New Roman" w:cs="Times New Roman"/>
          <w:sz w:val="20"/>
          <w:szCs w:val="20"/>
        </w:rPr>
      </w:pPr>
      <w:r>
        <w:rPr>
          <w:rFonts w:ascii="Times New Roman" w:hAnsi="Times New Roman" w:cs="Times New Roman"/>
          <w:i/>
          <w:iCs/>
          <w:sz w:val="20"/>
          <w:szCs w:val="20"/>
        </w:rPr>
        <w:t> </w:t>
      </w:r>
    </w:p>
    <w:p w:rsidR="00000000" w:rsidRDefault="008E203B">
      <w:pPr>
        <w:pStyle w:val="a3"/>
        <w:spacing w:before="0" w:beforeAutospacing="0" w:after="0" w:afterAutospacing="0"/>
        <w:ind w:firstLine="360"/>
        <w:jc w:val="both"/>
        <w:divId w:val="1900894211"/>
        <w:rPr>
          <w:rFonts w:ascii="Times New Roman" w:hAnsi="Times New Roman" w:cs="Times New Roman"/>
          <w:sz w:val="20"/>
          <w:szCs w:val="20"/>
        </w:rPr>
      </w:pPr>
      <w:r>
        <w:rPr>
          <w:rFonts w:ascii="Times New Roman" w:hAnsi="Times New Roman" w:cs="Times New Roman"/>
          <w:sz w:val="20"/>
          <w:szCs w:val="20"/>
        </w:rPr>
        <w:t xml:space="preserve">During February 2018, the Company’s Board of Directors authorized a share repurchase program, which is effective for a term of two years, pursuant to which the Company may repurchase shares of its common stock, par value $0.01 per share, with an aggregate </w:t>
      </w:r>
      <w:r>
        <w:rPr>
          <w:rFonts w:ascii="Times New Roman" w:hAnsi="Times New Roman" w:cs="Times New Roman"/>
          <w:sz w:val="20"/>
          <w:szCs w:val="20"/>
        </w:rPr>
        <w:t xml:space="preserve">gross purchase price of up to $300.0 million. The Company did not repurchase any shares under the share repurchase program during the three months ended March 31, 2019. As of March 31, 2019, the Company had $224.9 million available under this common share </w:t>
      </w:r>
      <w:r>
        <w:rPr>
          <w:rFonts w:ascii="Times New Roman" w:hAnsi="Times New Roman" w:cs="Times New Roman"/>
          <w:sz w:val="20"/>
          <w:szCs w:val="20"/>
        </w:rPr>
        <w:t>repurchase program.</w:t>
      </w:r>
    </w:p>
    <w:p w:rsidR="00000000" w:rsidRDefault="008E203B">
      <w:pPr>
        <w:pStyle w:val="a3"/>
        <w:spacing w:before="0" w:beforeAutospacing="0" w:after="0" w:afterAutospacing="0"/>
        <w:jc w:val="both"/>
        <w:divId w:val="1900894211"/>
        <w:rPr>
          <w:rFonts w:ascii="Times New Roman" w:hAnsi="Times New Roman" w:cs="Times New Roman"/>
          <w:sz w:val="20"/>
          <w:szCs w:val="20"/>
        </w:rPr>
      </w:pPr>
      <w:r>
        <w:rPr>
          <w:rFonts w:ascii="Times New Roman" w:hAnsi="Times New Roman" w:cs="Times New Roman"/>
          <w:i/>
          <w:iCs/>
          <w:sz w:val="20"/>
          <w:szCs w:val="20"/>
        </w:rPr>
        <w:t> </w:t>
      </w:r>
    </w:p>
    <w:p w:rsidR="00000000" w:rsidRDefault="008E203B">
      <w:pPr>
        <w:pStyle w:val="a3"/>
        <w:spacing w:before="0" w:beforeAutospacing="0" w:after="0" w:afterAutospacing="0"/>
        <w:jc w:val="both"/>
        <w:divId w:val="1900894211"/>
        <w:rPr>
          <w:rFonts w:ascii="Times New Roman" w:hAnsi="Times New Roman" w:cs="Times New Roman"/>
          <w:sz w:val="20"/>
          <w:szCs w:val="20"/>
        </w:rPr>
      </w:pPr>
      <w:r>
        <w:rPr>
          <w:rFonts w:ascii="Times New Roman" w:hAnsi="Times New Roman" w:cs="Times New Roman"/>
          <w:i/>
          <w:iCs/>
          <w:sz w:val="20"/>
          <w:szCs w:val="20"/>
        </w:rPr>
        <w:t> </w:t>
      </w:r>
    </w:p>
    <w:p w:rsidR="00000000" w:rsidRDefault="008E203B">
      <w:pPr>
        <w:pStyle w:val="a3"/>
        <w:spacing w:before="0" w:beforeAutospacing="0" w:after="0" w:afterAutospacing="0"/>
        <w:jc w:val="both"/>
        <w:divId w:val="1900894211"/>
        <w:rPr>
          <w:rFonts w:ascii="Times New Roman" w:hAnsi="Times New Roman" w:cs="Times New Roman"/>
          <w:sz w:val="20"/>
          <w:szCs w:val="20"/>
        </w:rPr>
      </w:pPr>
      <w:r>
        <w:rPr>
          <w:rFonts w:ascii="Times New Roman" w:hAnsi="Times New Roman" w:cs="Times New Roman"/>
          <w:i/>
          <w:iCs/>
          <w:sz w:val="20"/>
          <w:szCs w:val="20"/>
        </w:rPr>
        <w:t>Dividends Declared -</w:t>
      </w:r>
    </w:p>
    <w:p w:rsidR="00000000" w:rsidRDefault="008E203B">
      <w:pPr>
        <w:pStyle w:val="a3"/>
        <w:spacing w:before="0" w:beforeAutospacing="0" w:after="0" w:afterAutospacing="0"/>
        <w:divId w:val="1900894211"/>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ind w:left="360"/>
        <w:jc w:val="both"/>
        <w:divId w:val="1900894211"/>
        <w:rPr>
          <w:rFonts w:ascii="Times New Roman" w:hAnsi="Times New Roman" w:cs="Times New Roman"/>
          <w:sz w:val="20"/>
          <w:szCs w:val="20"/>
        </w:rPr>
      </w:pPr>
      <w:r>
        <w:rPr>
          <w:rFonts w:ascii="Times New Roman" w:hAnsi="Times New Roman" w:cs="Times New Roman"/>
          <w:sz w:val="20"/>
          <w:szCs w:val="20"/>
        </w:rPr>
        <w:t>The following table provides a summary of the dividends declared per share:</w:t>
      </w:r>
    </w:p>
    <w:p w:rsidR="00000000" w:rsidRDefault="008E203B">
      <w:pPr>
        <w:pStyle w:val="a3"/>
        <w:spacing w:before="0" w:beforeAutospacing="0" w:after="0" w:afterAutospacing="0"/>
        <w:ind w:left="360"/>
        <w:jc w:val="both"/>
        <w:divId w:val="1900894211"/>
        <w:rPr>
          <w:rFonts w:ascii="Times New Roman" w:hAnsi="Times New Roman" w:cs="Times New Roman"/>
          <w:sz w:val="20"/>
          <w:szCs w:val="20"/>
        </w:rPr>
      </w:pPr>
      <w:r>
        <w:rPr>
          <w:rFonts w:ascii="Times New Roman" w:hAnsi="Times New Roman" w:cs="Times New Roman"/>
          <w:sz w:val="20"/>
          <w:szCs w:val="20"/>
        </w:rPr>
        <w:t> </w:t>
      </w:r>
    </w:p>
    <w:tbl>
      <w:tblPr>
        <w:tblW w:w="4000" w:type="pct"/>
        <w:tblCellSpacing w:w="0" w:type="dxa"/>
        <w:tblInd w:w="10" w:type="dxa"/>
        <w:tblCellMar>
          <w:left w:w="0" w:type="dxa"/>
          <w:right w:w="0" w:type="dxa"/>
        </w:tblCellMar>
        <w:tblLook w:val="04A0" w:firstRow="1" w:lastRow="0" w:firstColumn="1" w:lastColumn="0" w:noHBand="0" w:noVBand="1"/>
      </w:tblPr>
      <w:tblGrid>
        <w:gridCol w:w="4110"/>
        <w:gridCol w:w="56"/>
        <w:gridCol w:w="100"/>
        <w:gridCol w:w="1054"/>
        <w:gridCol w:w="57"/>
        <w:gridCol w:w="57"/>
        <w:gridCol w:w="100"/>
        <w:gridCol w:w="1054"/>
        <w:gridCol w:w="57"/>
      </w:tblGrid>
      <w:tr w:rsidR="00000000">
        <w:trPr>
          <w:divId w:val="1796361888"/>
          <w:tblCellSpacing w:w="0" w:type="dxa"/>
        </w:trPr>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gridSpan w:val="6"/>
            <w:tcBorders>
              <w:bottom w:val="single" w:sz="6" w:space="0" w:color="000000"/>
            </w:tcBorders>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Three Months Ended March 31,</w:t>
            </w:r>
          </w:p>
        </w:tc>
        <w:tc>
          <w:tcPr>
            <w:tcW w:w="0" w:type="auto"/>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796361888"/>
          <w:tblCellSpacing w:w="0" w:type="dxa"/>
        </w:trPr>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gridSpan w:val="2"/>
            <w:tcBorders>
              <w:bottom w:val="single" w:sz="6" w:space="0" w:color="000000"/>
            </w:tcBorders>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2019</w:t>
            </w:r>
          </w:p>
        </w:tc>
        <w:tc>
          <w:tcPr>
            <w:tcW w:w="0" w:type="auto"/>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gridSpan w:val="2"/>
            <w:tcBorders>
              <w:bottom w:val="single" w:sz="6" w:space="0" w:color="000000"/>
            </w:tcBorders>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2018</w:t>
            </w:r>
          </w:p>
        </w:tc>
        <w:tc>
          <w:tcPr>
            <w:tcW w:w="0" w:type="auto"/>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796361888"/>
          <w:tblCellSpacing w:w="0" w:type="dxa"/>
        </w:trPr>
        <w:tc>
          <w:tcPr>
            <w:tcW w:w="3100" w:type="pct"/>
            <w:shd w:val="clear" w:color="auto" w:fill="CCEEFF"/>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Common Shares</w:t>
            </w:r>
          </w:p>
        </w:tc>
        <w:tc>
          <w:tcPr>
            <w:tcW w:w="50" w:type="pct"/>
            <w:tcBorders>
              <w:bottom w:val="nil"/>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nil"/>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800" w:type="pct"/>
            <w:tcBorders>
              <w:bottom w:val="nil"/>
            </w:tcBorders>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0.2800</w:t>
            </w:r>
          </w:p>
        </w:tc>
        <w:tc>
          <w:tcPr>
            <w:tcW w:w="50" w:type="pct"/>
            <w:tcBorders>
              <w:bottom w:val="nil"/>
            </w:tcBorders>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nil"/>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nil"/>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800" w:type="pct"/>
            <w:tcBorders>
              <w:bottom w:val="nil"/>
            </w:tcBorders>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0.2800</w:t>
            </w:r>
          </w:p>
        </w:tc>
        <w:tc>
          <w:tcPr>
            <w:tcW w:w="50" w:type="pct"/>
            <w:tcBorders>
              <w:bottom w:val="nil"/>
            </w:tcBorders>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796361888"/>
          <w:tblCellSpacing w:w="0" w:type="dxa"/>
        </w:trPr>
        <w:tc>
          <w:tcPr>
            <w:tcW w:w="0" w:type="auto"/>
            <w:shd w:val="clear" w:color="auto" w:fill="FFFFFF"/>
            <w:vAlign w:val="bottom"/>
            <w:hideMark/>
          </w:tcPr>
          <w:p w:rsidR="00000000" w:rsidRDefault="008E203B">
            <w:pPr>
              <w:pStyle w:val="a3"/>
              <w:spacing w:before="0" w:beforeAutospacing="0" w:after="0" w:afterAutospacing="0"/>
              <w:ind w:left="674" w:hanging="337"/>
              <w:rPr>
                <w:rFonts w:ascii="Times New Roman" w:hAnsi="Times New Roman" w:cs="Times New Roman"/>
                <w:sz w:val="20"/>
                <w:szCs w:val="20"/>
              </w:rPr>
            </w:pPr>
            <w:r>
              <w:rPr>
                <w:rFonts w:ascii="Times New Roman" w:hAnsi="Times New Roman" w:cs="Times New Roman"/>
                <w:sz w:val="20"/>
                <w:szCs w:val="20"/>
              </w:rPr>
              <w:t>Class I Depositary Shares</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80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0.3750</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80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0.3750</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796361888"/>
          <w:tblCellSpacing w:w="0" w:type="dxa"/>
        </w:trPr>
        <w:tc>
          <w:tcPr>
            <w:tcW w:w="0" w:type="auto"/>
            <w:shd w:val="clear" w:color="auto" w:fill="CCEEFF"/>
            <w:vAlign w:val="bottom"/>
            <w:hideMark/>
          </w:tcPr>
          <w:p w:rsidR="00000000" w:rsidRDefault="008E203B">
            <w:pPr>
              <w:pStyle w:val="a3"/>
              <w:spacing w:before="0" w:beforeAutospacing="0" w:after="0" w:afterAutospacing="0"/>
              <w:ind w:left="337" w:hanging="337"/>
              <w:rPr>
                <w:rFonts w:ascii="Times New Roman" w:hAnsi="Times New Roman" w:cs="Times New Roman"/>
                <w:sz w:val="20"/>
                <w:szCs w:val="20"/>
              </w:rPr>
            </w:pPr>
            <w:r>
              <w:rPr>
                <w:rFonts w:ascii="Times New Roman" w:hAnsi="Times New Roman" w:cs="Times New Roman"/>
                <w:sz w:val="20"/>
                <w:szCs w:val="20"/>
              </w:rPr>
              <w:t>Class J Depositary Shares</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80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0.3438</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80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0.3438</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796361888"/>
          <w:tblCellSpacing w:w="0" w:type="dxa"/>
        </w:trPr>
        <w:tc>
          <w:tcPr>
            <w:tcW w:w="0" w:type="auto"/>
            <w:shd w:val="clear" w:color="auto" w:fill="FFFFFF"/>
            <w:vAlign w:val="bottom"/>
            <w:hideMark/>
          </w:tcPr>
          <w:p w:rsidR="00000000" w:rsidRDefault="008E203B">
            <w:pPr>
              <w:pStyle w:val="a3"/>
              <w:spacing w:before="0" w:beforeAutospacing="0" w:after="0" w:afterAutospacing="0"/>
              <w:ind w:left="674" w:hanging="337"/>
              <w:rPr>
                <w:rFonts w:ascii="Times New Roman" w:hAnsi="Times New Roman" w:cs="Times New Roman"/>
                <w:sz w:val="20"/>
                <w:szCs w:val="20"/>
              </w:rPr>
            </w:pPr>
            <w:r>
              <w:rPr>
                <w:rFonts w:ascii="Times New Roman" w:hAnsi="Times New Roman" w:cs="Times New Roman"/>
                <w:sz w:val="20"/>
                <w:szCs w:val="20"/>
              </w:rPr>
              <w:t>Class K Depositary Shares</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80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0.3516</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80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0.3516</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796361888"/>
          <w:tblCellSpacing w:w="0" w:type="dxa"/>
        </w:trPr>
        <w:tc>
          <w:tcPr>
            <w:tcW w:w="0" w:type="auto"/>
            <w:shd w:val="clear" w:color="auto" w:fill="CCEEFF"/>
            <w:vAlign w:val="bottom"/>
            <w:hideMark/>
          </w:tcPr>
          <w:p w:rsidR="00000000" w:rsidRDefault="008E203B">
            <w:pPr>
              <w:pStyle w:val="a3"/>
              <w:spacing w:before="0" w:beforeAutospacing="0" w:after="0" w:afterAutospacing="0"/>
              <w:ind w:left="674" w:hanging="337"/>
              <w:rPr>
                <w:rFonts w:ascii="Times New Roman" w:hAnsi="Times New Roman" w:cs="Times New Roman"/>
                <w:sz w:val="20"/>
                <w:szCs w:val="20"/>
              </w:rPr>
            </w:pPr>
            <w:r>
              <w:rPr>
                <w:rFonts w:ascii="Times New Roman" w:hAnsi="Times New Roman" w:cs="Times New Roman"/>
                <w:sz w:val="20"/>
                <w:szCs w:val="20"/>
              </w:rPr>
              <w:t>Class L Depositary Shares</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80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0.3203</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80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0.3203</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796361888"/>
          <w:tblCellSpacing w:w="0" w:type="dxa"/>
        </w:trPr>
        <w:tc>
          <w:tcPr>
            <w:tcW w:w="0" w:type="auto"/>
            <w:shd w:val="clear" w:color="auto" w:fill="FFFFFF"/>
            <w:vAlign w:val="bottom"/>
            <w:hideMark/>
          </w:tcPr>
          <w:p w:rsidR="00000000" w:rsidRDefault="008E203B">
            <w:pPr>
              <w:pStyle w:val="a3"/>
              <w:spacing w:before="0" w:beforeAutospacing="0" w:after="0" w:afterAutospacing="0"/>
              <w:ind w:left="674" w:hanging="337"/>
              <w:rPr>
                <w:rFonts w:ascii="Times New Roman" w:hAnsi="Times New Roman" w:cs="Times New Roman"/>
                <w:sz w:val="20"/>
                <w:szCs w:val="20"/>
              </w:rPr>
            </w:pPr>
            <w:r>
              <w:rPr>
                <w:rFonts w:ascii="Times New Roman" w:hAnsi="Times New Roman" w:cs="Times New Roman"/>
                <w:sz w:val="20"/>
                <w:szCs w:val="20"/>
              </w:rPr>
              <w:t>Class M Depositary Shares</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80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0.3281</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80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0.3281</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bl>
    <w:p w:rsidR="00000000" w:rsidRDefault="008E203B">
      <w:pPr>
        <w:pStyle w:val="a3"/>
        <w:spacing w:before="0" w:beforeAutospacing="0" w:after="0" w:afterAutospacing="0"/>
        <w:ind w:left="360"/>
        <w:jc w:val="both"/>
        <w:divId w:val="1900894211"/>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ind w:left="360"/>
        <w:jc w:val="both"/>
        <w:divId w:val="1900894211"/>
        <w:rPr>
          <w:rFonts w:ascii="Times New Roman" w:hAnsi="Times New Roman" w:cs="Times New Roman"/>
          <w:sz w:val="20"/>
          <w:szCs w:val="20"/>
        </w:rPr>
      </w:pPr>
      <w:r>
        <w:rPr>
          <w:rFonts w:ascii="Times New Roman" w:hAnsi="Times New Roman" w:cs="Times New Roman"/>
          <w:sz w:val="20"/>
          <w:szCs w:val="20"/>
        </w:rPr>
        <w:t> </w:t>
      </w:r>
    </w:p>
    <w:p w:rsidR="00000000" w:rsidRDefault="008E203B">
      <w:pPr>
        <w:divId w:val="291667575"/>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divId w:val="2033876194"/>
        <w:rPr>
          <w:rFonts w:ascii="Times New Roman" w:hAnsi="Times New Roman" w:cs="Times New Roman"/>
          <w:sz w:val="20"/>
          <w:szCs w:val="20"/>
        </w:rPr>
      </w:pPr>
      <w:r>
        <w:rPr>
          <w:rFonts w:ascii="Times New Roman" w:hAnsi="Times New Roman" w:cs="Times New Roman"/>
          <w:sz w:val="20"/>
          <w:szCs w:val="20"/>
        </w:rPr>
        <w:t xml:space="preserve">16. </w:t>
      </w:r>
      <w:r>
        <w:rPr>
          <w:rFonts w:ascii="Times New Roman" w:hAnsi="Times New Roman" w:cs="Times New Roman"/>
          <w:sz w:val="20"/>
          <w:szCs w:val="20"/>
          <w:u w:val="single"/>
        </w:rPr>
        <w:t>Supplemental Schedule of Non-Cash Investing / Financing Activities</w:t>
      </w:r>
    </w:p>
    <w:p w:rsidR="00000000" w:rsidRDefault="008E203B">
      <w:pPr>
        <w:pStyle w:val="a3"/>
        <w:spacing w:before="0" w:beforeAutospacing="0" w:after="0" w:afterAutospacing="0"/>
        <w:jc w:val="both"/>
        <w:divId w:val="2033876194"/>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ind w:firstLine="360"/>
        <w:jc w:val="both"/>
        <w:divId w:val="2033876194"/>
        <w:rPr>
          <w:rFonts w:ascii="Times New Roman" w:hAnsi="Times New Roman" w:cs="Times New Roman"/>
          <w:sz w:val="20"/>
          <w:szCs w:val="20"/>
        </w:rPr>
      </w:pPr>
      <w:r>
        <w:rPr>
          <w:rFonts w:ascii="Times New Roman" w:hAnsi="Times New Roman" w:cs="Times New Roman"/>
          <w:sz w:val="20"/>
          <w:szCs w:val="20"/>
        </w:rPr>
        <w:t>The following schedule summarizes the non-cash investing and financing activities of the Company for the three months ended March 31, 2019 and 2018 (in thousands):</w:t>
      </w:r>
    </w:p>
    <w:p w:rsidR="00000000" w:rsidRDefault="008E203B">
      <w:pPr>
        <w:pStyle w:val="a3"/>
        <w:spacing w:before="0" w:beforeAutospacing="0" w:after="0" w:afterAutospacing="0"/>
        <w:ind w:firstLine="360"/>
        <w:jc w:val="both"/>
        <w:divId w:val="2033876194"/>
        <w:rPr>
          <w:rFonts w:ascii="Times New Roman" w:hAnsi="Times New Roman" w:cs="Times New Roman"/>
          <w:sz w:val="20"/>
          <w:szCs w:val="20"/>
        </w:rPr>
      </w:pPr>
      <w:r>
        <w:rPr>
          <w:rFonts w:ascii="Times New Roman" w:hAnsi="Times New Roman" w:cs="Times New Roman"/>
          <w:sz w:val="20"/>
          <w:szCs w:val="20"/>
        </w:rPr>
        <w:t> </w:t>
      </w:r>
    </w:p>
    <w:tbl>
      <w:tblPr>
        <w:tblW w:w="4750" w:type="pct"/>
        <w:tblCellSpacing w:w="0" w:type="dxa"/>
        <w:tblInd w:w="2" w:type="dxa"/>
        <w:tblCellMar>
          <w:left w:w="0" w:type="dxa"/>
          <w:right w:w="0" w:type="dxa"/>
        </w:tblCellMar>
        <w:tblLook w:val="04A0" w:firstRow="1" w:lastRow="0" w:firstColumn="1" w:lastColumn="0" w:noHBand="0" w:noVBand="1"/>
      </w:tblPr>
      <w:tblGrid>
        <w:gridCol w:w="5675"/>
        <w:gridCol w:w="73"/>
        <w:gridCol w:w="100"/>
        <w:gridCol w:w="862"/>
        <w:gridCol w:w="73"/>
        <w:gridCol w:w="73"/>
        <w:gridCol w:w="100"/>
        <w:gridCol w:w="862"/>
        <w:gridCol w:w="73"/>
      </w:tblGrid>
      <w:tr w:rsidR="00000000">
        <w:trPr>
          <w:divId w:val="1392340619"/>
          <w:tblCellSpacing w:w="0" w:type="dxa"/>
        </w:trPr>
        <w:tc>
          <w:tcPr>
            <w:tcW w:w="3600" w:type="pct"/>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gridSpan w:val="2"/>
            <w:tcBorders>
              <w:bottom w:val="single" w:sz="6" w:space="0" w:color="000000"/>
            </w:tcBorders>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2019</w:t>
            </w:r>
          </w:p>
        </w:tc>
        <w:tc>
          <w:tcPr>
            <w:tcW w:w="50" w:type="pct"/>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gridSpan w:val="2"/>
            <w:tcBorders>
              <w:bottom w:val="single" w:sz="6" w:space="0" w:color="000000"/>
            </w:tcBorders>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2018</w:t>
            </w:r>
          </w:p>
        </w:tc>
        <w:tc>
          <w:tcPr>
            <w:tcW w:w="50" w:type="pct"/>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392340619"/>
          <w:tblCellSpacing w:w="0" w:type="dxa"/>
        </w:trPr>
        <w:tc>
          <w:tcPr>
            <w:tcW w:w="3600" w:type="pct"/>
            <w:shd w:val="clear" w:color="auto" w:fill="CCEEFF"/>
            <w:vAlign w:val="bottom"/>
            <w:hideMark/>
          </w:tcPr>
          <w:p w:rsidR="00000000" w:rsidRDefault="008E203B">
            <w:pPr>
              <w:pStyle w:val="a3"/>
              <w:spacing w:before="0" w:beforeAutospacing="0" w:after="0" w:afterAutospacing="0"/>
              <w:ind w:left="684" w:hanging="342"/>
              <w:rPr>
                <w:rFonts w:ascii="Times New Roman" w:hAnsi="Times New Roman" w:cs="Times New Roman"/>
                <w:sz w:val="20"/>
                <w:szCs w:val="20"/>
              </w:rPr>
            </w:pPr>
            <w:r>
              <w:rPr>
                <w:rFonts w:ascii="Times New Roman" w:hAnsi="Times New Roman" w:cs="Times New Roman"/>
                <w:sz w:val="20"/>
                <w:szCs w:val="20"/>
              </w:rPr>
              <w:t>Acquisition of real estate interests through proceeds held in escrow</w:t>
            </w:r>
          </w:p>
        </w:tc>
        <w:tc>
          <w:tcPr>
            <w:tcW w:w="50" w:type="pct"/>
            <w:tcBorders>
              <w:bottom w:val="nil"/>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nil"/>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550" w:type="pct"/>
            <w:tcBorders>
              <w:bottom w:val="nil"/>
            </w:tcBorders>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30,970</w:t>
            </w:r>
          </w:p>
        </w:tc>
        <w:tc>
          <w:tcPr>
            <w:tcW w:w="50" w:type="pct"/>
            <w:tcBorders>
              <w:bottom w:val="nil"/>
            </w:tcBorders>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nil"/>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nil"/>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550" w:type="pct"/>
            <w:tcBorders>
              <w:bottom w:val="nil"/>
            </w:tcBorders>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w:t>
            </w:r>
          </w:p>
        </w:tc>
        <w:tc>
          <w:tcPr>
            <w:tcW w:w="50" w:type="pct"/>
            <w:tcBorders>
              <w:bottom w:val="nil"/>
            </w:tcBorders>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392340619"/>
          <w:tblCellSpacing w:w="0" w:type="dxa"/>
        </w:trPr>
        <w:tc>
          <w:tcPr>
            <w:tcW w:w="3600" w:type="pct"/>
            <w:shd w:val="clear" w:color="auto" w:fill="FFFFFF"/>
            <w:vAlign w:val="bottom"/>
            <w:hideMark/>
          </w:tcPr>
          <w:p w:rsidR="00000000" w:rsidRDefault="008E203B">
            <w:pPr>
              <w:pStyle w:val="a3"/>
              <w:spacing w:before="0" w:beforeAutospacing="0" w:after="0" w:afterAutospacing="0"/>
              <w:ind w:left="684" w:hanging="342"/>
              <w:rPr>
                <w:rFonts w:ascii="Times New Roman" w:hAnsi="Times New Roman" w:cs="Times New Roman"/>
                <w:sz w:val="20"/>
                <w:szCs w:val="20"/>
              </w:rPr>
            </w:pPr>
            <w:r>
              <w:rPr>
                <w:rFonts w:ascii="Times New Roman" w:hAnsi="Times New Roman" w:cs="Times New Roman"/>
                <w:sz w:val="20"/>
                <w:szCs w:val="20"/>
              </w:rPr>
              <w:t>Disposition of real estate interests by foreclosure of debt</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55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55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7,444</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392340619"/>
          <w:tblCellSpacing w:w="0" w:type="dxa"/>
        </w:trPr>
        <w:tc>
          <w:tcPr>
            <w:tcW w:w="3600" w:type="pct"/>
            <w:shd w:val="clear" w:color="auto" w:fill="CCEEFF"/>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Forgiveness of debt due to foreclosure</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55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55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12,415</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392340619"/>
          <w:tblCellSpacing w:w="0" w:type="dxa"/>
        </w:trPr>
        <w:tc>
          <w:tcPr>
            <w:tcW w:w="3600" w:type="pct"/>
            <w:shd w:val="clear" w:color="auto" w:fill="FFFFFF"/>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Surrender of restricted common stock</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55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3,252</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55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3,374</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392340619"/>
          <w:tblCellSpacing w:w="0" w:type="dxa"/>
        </w:trPr>
        <w:tc>
          <w:tcPr>
            <w:tcW w:w="3600" w:type="pct"/>
            <w:shd w:val="clear" w:color="auto" w:fill="CCEEFF"/>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Declaration of dividends paid in succeeding period</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55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130,444</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55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132,209</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392340619"/>
          <w:tblCellSpacing w:w="0" w:type="dxa"/>
        </w:trPr>
        <w:tc>
          <w:tcPr>
            <w:tcW w:w="3600" w:type="pct"/>
            <w:shd w:val="clear" w:color="auto" w:fill="FFFFFF"/>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Capital expenditures accrual</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55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70,976</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55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84,932</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392340619"/>
          <w:tblCellSpacing w:w="0" w:type="dxa"/>
        </w:trPr>
        <w:tc>
          <w:tcPr>
            <w:tcW w:w="3600" w:type="pct"/>
            <w:shd w:val="clear" w:color="auto" w:fill="CCEEFF"/>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Deconsolidation of Joint Ventures:</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392340619"/>
          <w:tblCellSpacing w:w="0" w:type="dxa"/>
        </w:trPr>
        <w:tc>
          <w:tcPr>
            <w:tcW w:w="3600" w:type="pct"/>
            <w:shd w:val="clear" w:color="auto" w:fill="FFFFFF"/>
            <w:vAlign w:val="bottom"/>
            <w:hideMark/>
          </w:tcPr>
          <w:p w:rsidR="00000000" w:rsidRDefault="008E203B">
            <w:pPr>
              <w:pStyle w:val="a3"/>
              <w:spacing w:before="0" w:beforeAutospacing="0" w:after="0" w:afterAutospacing="0"/>
              <w:ind w:left="180"/>
              <w:rPr>
                <w:rFonts w:ascii="Times New Roman" w:hAnsi="Times New Roman" w:cs="Times New Roman"/>
                <w:sz w:val="20"/>
                <w:szCs w:val="20"/>
              </w:rPr>
            </w:pPr>
            <w:r>
              <w:rPr>
                <w:rFonts w:ascii="Times New Roman" w:hAnsi="Times New Roman" w:cs="Times New Roman"/>
                <w:sz w:val="20"/>
                <w:szCs w:val="20"/>
              </w:rPr>
              <w:t>Decrease in real estate and other assets</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55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55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300,299</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392340619"/>
          <w:tblCellSpacing w:w="0" w:type="dxa"/>
        </w:trPr>
        <w:tc>
          <w:tcPr>
            <w:tcW w:w="3600" w:type="pct"/>
            <w:shd w:val="clear" w:color="auto" w:fill="CCEEFF"/>
            <w:vAlign w:val="bottom"/>
            <w:hideMark/>
          </w:tcPr>
          <w:p w:rsidR="00000000" w:rsidRDefault="008E203B">
            <w:pPr>
              <w:pStyle w:val="a3"/>
              <w:spacing w:before="0" w:beforeAutospacing="0" w:after="0" w:afterAutospacing="0"/>
              <w:ind w:left="180"/>
              <w:rPr>
                <w:rFonts w:ascii="Times New Roman" w:hAnsi="Times New Roman" w:cs="Times New Roman"/>
                <w:sz w:val="20"/>
                <w:szCs w:val="20"/>
              </w:rPr>
            </w:pPr>
            <w:r>
              <w:rPr>
                <w:rFonts w:ascii="Times New Roman" w:hAnsi="Times New Roman" w:cs="Times New Roman"/>
                <w:sz w:val="20"/>
                <w:szCs w:val="20"/>
              </w:rPr>
              <w:t>Increase in investments in and advances to real estate joint ventures</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55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55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62,429</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392340619"/>
          <w:tblCellSpacing w:w="0" w:type="dxa"/>
        </w:trPr>
        <w:tc>
          <w:tcPr>
            <w:tcW w:w="3600" w:type="pct"/>
            <w:shd w:val="clear" w:color="auto" w:fill="FFFFFF"/>
            <w:vAlign w:val="bottom"/>
            <w:hideMark/>
          </w:tcPr>
          <w:p w:rsidR="00000000" w:rsidRDefault="008E203B">
            <w:pPr>
              <w:pStyle w:val="a3"/>
              <w:spacing w:before="0" w:beforeAutospacing="0" w:after="0" w:afterAutospacing="0"/>
              <w:ind w:left="180"/>
              <w:rPr>
                <w:rFonts w:ascii="Times New Roman" w:hAnsi="Times New Roman" w:cs="Times New Roman"/>
                <w:sz w:val="20"/>
                <w:szCs w:val="20"/>
              </w:rPr>
            </w:pPr>
            <w:r>
              <w:rPr>
                <w:rFonts w:ascii="Times New Roman" w:hAnsi="Times New Roman" w:cs="Times New Roman"/>
                <w:sz w:val="20"/>
                <w:szCs w:val="20"/>
              </w:rPr>
              <w:t>Decrease in mortgages and construction loan payable, other liabilities and noncontrolling interests</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55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55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248,274</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bl>
    <w:p w:rsidR="00000000" w:rsidRDefault="008E203B">
      <w:pPr>
        <w:pStyle w:val="a3"/>
        <w:spacing w:before="0" w:beforeAutospacing="0" w:after="0" w:afterAutospacing="0"/>
        <w:divId w:val="2033876194"/>
        <w:rPr>
          <w:rFonts w:ascii="Times New Roman" w:hAnsi="Times New Roman" w:cs="Times New Roman"/>
          <w:sz w:val="20"/>
          <w:szCs w:val="20"/>
        </w:rPr>
      </w:pPr>
      <w:r>
        <w:rPr>
          <w:rFonts w:ascii="Times New Roman" w:hAnsi="Times New Roman" w:cs="Times New Roman"/>
          <w:sz w:val="20"/>
          <w:szCs w:val="20"/>
        </w:rPr>
        <w:t> </w:t>
      </w:r>
    </w:p>
    <w:p w:rsidR="00000000" w:rsidRDefault="008E203B">
      <w:pPr>
        <w:jc w:val="center"/>
        <w:divId w:val="75134470"/>
        <w:rPr>
          <w:rFonts w:ascii="Times New Roman" w:hAnsi="Times New Roman" w:cs="Times New Roman"/>
          <w:sz w:val="20"/>
          <w:szCs w:val="20"/>
        </w:rPr>
      </w:pPr>
      <w:r>
        <w:rPr>
          <w:rFonts w:ascii="Times New Roman" w:hAnsi="Times New Roman" w:cs="Times New Roman"/>
          <w:sz w:val="20"/>
          <w:szCs w:val="20"/>
        </w:rPr>
        <w:t>20</w:t>
      </w:r>
    </w:p>
    <w:p w:rsidR="00000000" w:rsidRDefault="008E203B">
      <w:pPr>
        <w:divId w:val="75134470"/>
        <w:rPr>
          <w:rFonts w:ascii="Times New Roman" w:hAnsi="Times New Roman" w:cs="Times New Roman"/>
          <w:sz w:val="20"/>
          <w:szCs w:val="20"/>
        </w:rPr>
      </w:pPr>
      <w:r>
        <w:rPr>
          <w:rFonts w:ascii="Times New Roman" w:hAnsi="Times New Roman" w:cs="Times New Roman"/>
          <w:sz w:val="20"/>
          <w:szCs w:val="20"/>
        </w:rPr>
        <w:pict>
          <v:rect id="_x0000_i1048" style="width:415.3pt;height:1.5pt" o:hralign="center" o:hrstd="t" o:hrnoshade="t" o:hr="t" fillcolor="black" stroked="f"/>
        </w:pict>
      </w:r>
    </w:p>
    <w:p w:rsidR="00000000" w:rsidRDefault="008E203B">
      <w:pPr>
        <w:divId w:val="75134470"/>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8E203B">
      <w:pPr>
        <w:pStyle w:val="a3"/>
        <w:spacing w:before="0" w:beforeAutospacing="0" w:after="0" w:afterAutospacing="0"/>
        <w:divId w:val="2033876194"/>
        <w:rPr>
          <w:rFonts w:ascii="Times New Roman" w:hAnsi="Times New Roman" w:cs="Times New Roman"/>
          <w:sz w:val="20"/>
          <w:szCs w:val="20"/>
        </w:rPr>
      </w:pPr>
      <w:r>
        <w:rPr>
          <w:rFonts w:ascii="Times New Roman" w:hAnsi="Times New Roman" w:cs="Times New Roman"/>
          <w:sz w:val="20"/>
          <w:szCs w:val="20"/>
        </w:rPr>
        <w:t> </w:t>
      </w:r>
    </w:p>
    <w:p w:rsidR="00000000" w:rsidRDefault="008E203B">
      <w:pPr>
        <w:divId w:val="119157438"/>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rPr>
          <w:rFonts w:ascii="Times New Roman" w:hAnsi="Times New Roman" w:cs="Times New Roman"/>
          <w:sz w:val="20"/>
          <w:szCs w:val="20"/>
        </w:rPr>
      </w:pPr>
      <w:bookmarkStart w:id="7" w:name="1item2"/>
      <w:bookmarkEnd w:id="7"/>
      <w:r>
        <w:rPr>
          <w:rFonts w:ascii="Times New Roman" w:hAnsi="Times New Roman" w:cs="Times New Roman"/>
          <w:b/>
          <w:bCs/>
          <w:sz w:val="20"/>
          <w:szCs w:val="20"/>
        </w:rPr>
        <w:t>Item 2. Management's Discussion and Analysis of Financial Condition and Results of Operations</w:t>
      </w:r>
    </w:p>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u w:val="single"/>
        </w:rPr>
        <w:t>Forward-Looking Statements</w:t>
      </w:r>
    </w:p>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ind w:firstLine="360"/>
        <w:jc w:val="both"/>
        <w:rPr>
          <w:rFonts w:ascii="Times New Roman" w:hAnsi="Times New Roman" w:cs="Times New Roman"/>
          <w:sz w:val="20"/>
          <w:szCs w:val="20"/>
        </w:rPr>
      </w:pPr>
      <w:r>
        <w:rPr>
          <w:rFonts w:ascii="Times New Roman" w:hAnsi="Times New Roman" w:cs="Times New Roman"/>
          <w:sz w:val="20"/>
          <w:szCs w:val="20"/>
        </w:rPr>
        <w:t>This Quarterly Report on Form 10-Q, together with other statements and information publicly disseminated by Kimco Realty Corporation (the “Company”) contains certain forward-looking statements within the meaning of Section 27A of the Securities Act of 1933</w:t>
      </w:r>
      <w:r>
        <w:rPr>
          <w:rFonts w:ascii="Times New Roman" w:hAnsi="Times New Roman" w:cs="Times New Roman"/>
          <w:sz w:val="20"/>
          <w:szCs w:val="20"/>
        </w:rPr>
        <w:t xml:space="preserve">, as amended, and Section 21E of the Securities Exchange Act of 1934, as amended. The Company intends such forward-looking statements to be covered by the safe harbor provisions for forward-looking statements contained in the Private Securities Litigation </w:t>
      </w:r>
      <w:r>
        <w:rPr>
          <w:rFonts w:ascii="Times New Roman" w:hAnsi="Times New Roman" w:cs="Times New Roman"/>
          <w:sz w:val="20"/>
          <w:szCs w:val="20"/>
        </w:rPr>
        <w:t>Reform Act of 1995 and includes this statement for purposes of complying with the safe harbor provisions. Forward-looking statements, which are based on certain assumptions and describe the Company’s future plans, strategies and expectations, are generally</w:t>
      </w:r>
      <w:r>
        <w:rPr>
          <w:rFonts w:ascii="Times New Roman" w:hAnsi="Times New Roman" w:cs="Times New Roman"/>
          <w:sz w:val="20"/>
          <w:szCs w:val="20"/>
        </w:rPr>
        <w:t xml:space="preserve"> identifiable by use of the words “believe,” “expect,” “intend,” “anticipate,” “estimate,” “project,” “will,” “target,” “forecast” or similar expressions. You should not rely on forward-looking statements since they involve known and unknown risks, uncerta</w:t>
      </w:r>
      <w:r>
        <w:rPr>
          <w:rFonts w:ascii="Times New Roman" w:hAnsi="Times New Roman" w:cs="Times New Roman"/>
          <w:sz w:val="20"/>
          <w:szCs w:val="20"/>
        </w:rPr>
        <w:t>inties and other factors which are, in some cases, beyond the Company’s control and could materially affect actual results, performances or achievements. Factors which may cause actual results to differ materially from current expectations include, but are</w:t>
      </w:r>
      <w:r>
        <w:rPr>
          <w:rFonts w:ascii="Times New Roman" w:hAnsi="Times New Roman" w:cs="Times New Roman"/>
          <w:sz w:val="20"/>
          <w:szCs w:val="20"/>
        </w:rPr>
        <w:t xml:space="preserve"> not limited to (i) general adverse economic and local real estate conditions, (ii) the inability of major tenants to continue paying their rent obligations due to bankruptcy, insolvency or a general downturn in their business, (iii) financing risks, such </w:t>
      </w:r>
      <w:r>
        <w:rPr>
          <w:rFonts w:ascii="Times New Roman" w:hAnsi="Times New Roman" w:cs="Times New Roman"/>
          <w:sz w:val="20"/>
          <w:szCs w:val="20"/>
        </w:rPr>
        <w:t>as the inability to obtain equity, debt or other sources of financing or refinancing on favorable terms to the Company, (iv) the Company’s ability to raise capital by selling its assets, (v) changes in governmental laws and regulations and management’s abi</w:t>
      </w:r>
      <w:r>
        <w:rPr>
          <w:rFonts w:ascii="Times New Roman" w:hAnsi="Times New Roman" w:cs="Times New Roman"/>
          <w:sz w:val="20"/>
          <w:szCs w:val="20"/>
        </w:rPr>
        <w:t>lity to estimate the impact of such changes, (vi) the level and volatility of interest rates and managements’ ability to estimate the impact thereof, (vii) risks related to the Company’s international operations, (viii) the availability of suitable acquisi</w:t>
      </w:r>
      <w:r>
        <w:rPr>
          <w:rFonts w:ascii="Times New Roman" w:hAnsi="Times New Roman" w:cs="Times New Roman"/>
          <w:sz w:val="20"/>
          <w:szCs w:val="20"/>
        </w:rPr>
        <w:t>tion, disposition, development and redevelopment opportunities, and risks related to acquisitions not performing in accordance with our expectations, (ix) valuation and risks related to the Company’s joint venture and preferred equity investments, (x) valu</w:t>
      </w:r>
      <w:r>
        <w:rPr>
          <w:rFonts w:ascii="Times New Roman" w:hAnsi="Times New Roman" w:cs="Times New Roman"/>
          <w:sz w:val="20"/>
          <w:szCs w:val="20"/>
        </w:rPr>
        <w:t>ation of marketable securities and other investments, (xi) increases in operating costs, (xii) changes in the dividend policy for the Company’s common and preferred stock and the Company’s ability to pay dividends at current levels, (xiii) the reduction in</w:t>
      </w:r>
      <w:r>
        <w:rPr>
          <w:rFonts w:ascii="Times New Roman" w:hAnsi="Times New Roman" w:cs="Times New Roman"/>
          <w:sz w:val="20"/>
          <w:szCs w:val="20"/>
        </w:rPr>
        <w:t xml:space="preserve"> the Company’s income in the event of multiple lease terminations by tenants or a failure by multiple tenants to occupy their premises in a shopping center, (xiv) impairment charges, (xv) unanticipated changes in the Company’s intention or ability to prepa</w:t>
      </w:r>
      <w:r>
        <w:rPr>
          <w:rFonts w:ascii="Times New Roman" w:hAnsi="Times New Roman" w:cs="Times New Roman"/>
          <w:sz w:val="20"/>
          <w:szCs w:val="20"/>
        </w:rPr>
        <w:t>y certain debt prior to maturity and/or hold certain securities until maturity and (xvi) the risks and uncertainties identified under Item 1A, “Risk Factors” in our Annual Report on Form 10-K for the year-ended December 31, 2018. Accordingly, there is no a</w:t>
      </w:r>
      <w:r>
        <w:rPr>
          <w:rFonts w:ascii="Times New Roman" w:hAnsi="Times New Roman" w:cs="Times New Roman"/>
          <w:sz w:val="20"/>
          <w:szCs w:val="20"/>
        </w:rPr>
        <w:t>ssurance that the Company’s expectations will be realized. The Company disclaims any intention or obligation to update the forward-looking statements, whether as a result of new information, future events or otherwise. You are advised to refer to any furth</w:t>
      </w:r>
      <w:r>
        <w:rPr>
          <w:rFonts w:ascii="Times New Roman" w:hAnsi="Times New Roman" w:cs="Times New Roman"/>
          <w:sz w:val="20"/>
          <w:szCs w:val="20"/>
        </w:rPr>
        <w:t>er disclosures the Company makes or related subjects in the Company’s Current Reports on Form 8-K that the Company files with the Securities and Exchange Commission (“SEC”).</w:t>
      </w:r>
    </w:p>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ind w:firstLine="360"/>
        <w:jc w:val="both"/>
        <w:rPr>
          <w:rFonts w:ascii="Times New Roman" w:hAnsi="Times New Roman" w:cs="Times New Roman"/>
          <w:sz w:val="20"/>
          <w:szCs w:val="20"/>
        </w:rPr>
      </w:pPr>
      <w:r>
        <w:rPr>
          <w:rFonts w:ascii="Times New Roman" w:hAnsi="Times New Roman" w:cs="Times New Roman"/>
          <w:sz w:val="20"/>
          <w:szCs w:val="20"/>
        </w:rPr>
        <w:t xml:space="preserve">The following discussion should be read in conjunction with the accompanying Condensed Consolidated Financial Statements and Notes thereto.  These unaudited financial statements include all adjustments which are, in the opinion of management, necessary to </w:t>
      </w:r>
      <w:r>
        <w:rPr>
          <w:rFonts w:ascii="Times New Roman" w:hAnsi="Times New Roman" w:cs="Times New Roman"/>
          <w:sz w:val="20"/>
          <w:szCs w:val="20"/>
        </w:rPr>
        <w:t>reflect a fair statement of the results for the interim periods presented, and all such adjustments are of a normal recurring nature.</w:t>
      </w:r>
    </w:p>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u w:val="single"/>
        </w:rPr>
        <w:t>Executive Overview</w:t>
      </w:r>
    </w:p>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ind w:firstLine="360"/>
        <w:jc w:val="both"/>
        <w:rPr>
          <w:rFonts w:ascii="Times New Roman" w:hAnsi="Times New Roman" w:cs="Times New Roman"/>
          <w:sz w:val="20"/>
          <w:szCs w:val="20"/>
        </w:rPr>
      </w:pPr>
      <w:r>
        <w:rPr>
          <w:rFonts w:ascii="Times New Roman" w:hAnsi="Times New Roman" w:cs="Times New Roman"/>
          <w:sz w:val="20"/>
          <w:szCs w:val="20"/>
        </w:rPr>
        <w:t>Kimco Realty Corporation, a Maryland corporation, is one of North America’s largest publicly traded</w:t>
      </w:r>
      <w:r>
        <w:rPr>
          <w:rFonts w:ascii="Times New Roman" w:hAnsi="Times New Roman" w:cs="Times New Roman"/>
          <w:sz w:val="20"/>
          <w:szCs w:val="20"/>
        </w:rPr>
        <w:t xml:space="preserve"> owners and operators of open-air shopping centers.   The terms “Kimco,” the “Company,” “we,” “our” and “us” each refer to Kimco Realty Corporation and our subsidiaries, unless the context indicates otherwise.  The Company’s mission is to create destinatio</w:t>
      </w:r>
      <w:r>
        <w:rPr>
          <w:rFonts w:ascii="Times New Roman" w:hAnsi="Times New Roman" w:cs="Times New Roman"/>
          <w:sz w:val="20"/>
          <w:szCs w:val="20"/>
        </w:rPr>
        <w:t>ns for everyday living that inspire a sense of community and deliver value to our many stakeholders.</w:t>
      </w:r>
    </w:p>
    <w:p w:rsidR="00000000" w:rsidRDefault="008E203B">
      <w:pPr>
        <w:pStyle w:val="a3"/>
        <w:spacing w:before="0" w:beforeAutospacing="0" w:after="0" w:afterAutospacing="0"/>
        <w:ind w:firstLine="360"/>
        <w:jc w:val="both"/>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ind w:firstLine="360"/>
        <w:jc w:val="both"/>
        <w:rPr>
          <w:rFonts w:ascii="Times New Roman" w:hAnsi="Times New Roman" w:cs="Times New Roman"/>
          <w:sz w:val="20"/>
          <w:szCs w:val="20"/>
        </w:rPr>
      </w:pPr>
      <w:r>
        <w:rPr>
          <w:rFonts w:ascii="Times New Roman" w:hAnsi="Times New Roman" w:cs="Times New Roman"/>
          <w:sz w:val="20"/>
          <w:szCs w:val="20"/>
        </w:rPr>
        <w:t xml:space="preserve">The Company is a self-administered real estate investment trust (“REIT”) and has owned and operated open-air shopping centers for 60 years.  The Company </w:t>
      </w:r>
      <w:r>
        <w:rPr>
          <w:rFonts w:ascii="Times New Roman" w:hAnsi="Times New Roman" w:cs="Times New Roman"/>
          <w:sz w:val="20"/>
          <w:szCs w:val="20"/>
        </w:rPr>
        <w:t>has not engaged, nor does it expect to retain, any REIT advisors in connection with the operation of its properties. As of March 31, 2019, the Company had interests in 430 shopping center properties (the “Combined Shopping Center Portfolio”), aggregating 7</w:t>
      </w:r>
      <w:r>
        <w:rPr>
          <w:rFonts w:ascii="Times New Roman" w:hAnsi="Times New Roman" w:cs="Times New Roman"/>
          <w:sz w:val="20"/>
          <w:szCs w:val="20"/>
        </w:rPr>
        <w:t>5.5 million square feet of gross leasable area (“GLA”), located in 27 states and Puerto Rico. In addition, the Company had 289 other property interests, primarily through the Company’s preferred equity investments and other real estate investments, totalin</w:t>
      </w:r>
      <w:r>
        <w:rPr>
          <w:rFonts w:ascii="Times New Roman" w:hAnsi="Times New Roman" w:cs="Times New Roman"/>
          <w:sz w:val="20"/>
          <w:szCs w:val="20"/>
        </w:rPr>
        <w:t>g 4.7 million square feet of GLA. The Company’s ownership interests in real estate consist of its consolidated portfolio and portfolios where the Company owns an economic interest, such as properties in the Company’s investment real estate management progr</w:t>
      </w:r>
      <w:r>
        <w:rPr>
          <w:rFonts w:ascii="Times New Roman" w:hAnsi="Times New Roman" w:cs="Times New Roman"/>
          <w:sz w:val="20"/>
          <w:szCs w:val="20"/>
        </w:rPr>
        <w:t>ams, where the Company partners with institutional investors and also retains management.  </w:t>
      </w:r>
    </w:p>
    <w:p w:rsidR="00000000" w:rsidRDefault="008E203B">
      <w:pPr>
        <w:pStyle w:val="a3"/>
        <w:spacing w:before="0" w:beforeAutospacing="0" w:after="0" w:afterAutospacing="0"/>
        <w:ind w:firstLine="360"/>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ind w:firstLine="360"/>
        <w:jc w:val="both"/>
        <w:rPr>
          <w:rFonts w:ascii="Times New Roman" w:hAnsi="Times New Roman" w:cs="Times New Roman"/>
          <w:sz w:val="20"/>
          <w:szCs w:val="20"/>
        </w:rPr>
      </w:pPr>
      <w:r>
        <w:rPr>
          <w:rFonts w:ascii="Times New Roman" w:hAnsi="Times New Roman" w:cs="Times New Roman"/>
          <w:sz w:val="20"/>
          <w:szCs w:val="20"/>
        </w:rPr>
        <w:t xml:space="preserve">The Company’s operating strategies are to (i) own and operate its shopping center properties at their highest potential through maximizing and maintaining rental </w:t>
      </w:r>
      <w:r>
        <w:rPr>
          <w:rFonts w:ascii="Times New Roman" w:hAnsi="Times New Roman" w:cs="Times New Roman"/>
          <w:sz w:val="20"/>
          <w:szCs w:val="20"/>
        </w:rPr>
        <w:t>income and occupancy levels, (ii) attract local area customers to its shopping centers, which offer off-price merchandise and day-to-day necessities rather than high-priced luxury items, and (iii) maintain a strong balance sheet.</w:t>
      </w:r>
    </w:p>
    <w:p w:rsidR="00000000" w:rsidRDefault="008E203B">
      <w:pPr>
        <w:pStyle w:val="a3"/>
        <w:spacing w:before="0" w:beforeAutospacing="0" w:after="0" w:afterAutospacing="0"/>
        <w:ind w:firstLine="360"/>
        <w:jc w:val="both"/>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ind w:firstLine="360"/>
        <w:jc w:val="both"/>
        <w:rPr>
          <w:rFonts w:ascii="Times New Roman" w:hAnsi="Times New Roman" w:cs="Times New Roman"/>
          <w:sz w:val="20"/>
          <w:szCs w:val="20"/>
        </w:rPr>
      </w:pPr>
      <w:r>
        <w:rPr>
          <w:rFonts w:ascii="Times New Roman" w:hAnsi="Times New Roman" w:cs="Times New Roman"/>
          <w:sz w:val="20"/>
          <w:szCs w:val="20"/>
        </w:rPr>
        <w:t>The Company’s investment</w:t>
      </w:r>
      <w:r>
        <w:rPr>
          <w:rFonts w:ascii="Times New Roman" w:hAnsi="Times New Roman" w:cs="Times New Roman"/>
          <w:sz w:val="20"/>
          <w:szCs w:val="20"/>
        </w:rPr>
        <w:t xml:space="preserve"> strategy is to invest capital into high quality assets focusing on major metropolitan-area U.S. markets, predominantly on the East and West coasts and in the Sunbelt region, which are supported by strong demographics, significant projected population grow</w:t>
      </w:r>
      <w:r>
        <w:rPr>
          <w:rFonts w:ascii="Times New Roman" w:hAnsi="Times New Roman" w:cs="Times New Roman"/>
          <w:sz w:val="20"/>
          <w:szCs w:val="20"/>
        </w:rPr>
        <w:t>th, and where the Company perceives significant barriers to entry while disposing of lesser quality assets in less desirable locations. Through this strategy, the Company has steadily progressed in its transformation of its portfolio and will continue thes</w:t>
      </w:r>
      <w:r>
        <w:rPr>
          <w:rFonts w:ascii="Times New Roman" w:hAnsi="Times New Roman" w:cs="Times New Roman"/>
          <w:sz w:val="20"/>
          <w:szCs w:val="20"/>
        </w:rPr>
        <w:t>e efforts as deemed necessary to maximize the quality and growth of its portfolio. The properties acquired are primarily located in major metropolitan areas allowing tenants to generate higher foot traffic resulting in higher sales volume. The Company beli</w:t>
      </w:r>
      <w:r>
        <w:rPr>
          <w:rFonts w:ascii="Times New Roman" w:hAnsi="Times New Roman" w:cs="Times New Roman"/>
          <w:sz w:val="20"/>
          <w:szCs w:val="20"/>
        </w:rPr>
        <w:t>eves that this will enable it to maintain higher occupancy levels, rental rates and rental growth. In addition, the Company, on a selective basis, has embarked on several ground-up development and re-development projects which include residential and mixed</w:t>
      </w:r>
      <w:r>
        <w:rPr>
          <w:rFonts w:ascii="Times New Roman" w:hAnsi="Times New Roman" w:cs="Times New Roman"/>
          <w:sz w:val="20"/>
          <w:szCs w:val="20"/>
        </w:rPr>
        <w:t>-use components.</w:t>
      </w:r>
    </w:p>
    <w:p w:rsidR="00000000" w:rsidRDefault="008E203B">
      <w:pPr>
        <w:pStyle w:val="a3"/>
        <w:spacing w:before="0" w:beforeAutospacing="0" w:after="0" w:afterAutospacing="0"/>
        <w:ind w:firstLine="360"/>
        <w:jc w:val="both"/>
        <w:rPr>
          <w:rFonts w:ascii="Times New Roman" w:hAnsi="Times New Roman" w:cs="Times New Roman"/>
          <w:sz w:val="20"/>
          <w:szCs w:val="20"/>
        </w:rPr>
      </w:pPr>
      <w:r>
        <w:rPr>
          <w:rFonts w:ascii="Times New Roman" w:hAnsi="Times New Roman" w:cs="Times New Roman"/>
          <w:sz w:val="20"/>
          <w:szCs w:val="20"/>
        </w:rPr>
        <w:t> </w:t>
      </w:r>
    </w:p>
    <w:p w:rsidR="00000000" w:rsidRDefault="008E203B">
      <w:pPr>
        <w:jc w:val="center"/>
        <w:divId w:val="768428560"/>
        <w:rPr>
          <w:rFonts w:ascii="Times New Roman" w:hAnsi="Times New Roman" w:cs="Times New Roman"/>
          <w:sz w:val="20"/>
          <w:szCs w:val="20"/>
        </w:rPr>
      </w:pPr>
      <w:r>
        <w:rPr>
          <w:rFonts w:ascii="Times New Roman" w:hAnsi="Times New Roman" w:cs="Times New Roman"/>
          <w:sz w:val="20"/>
          <w:szCs w:val="20"/>
        </w:rPr>
        <w:t>21</w:t>
      </w:r>
    </w:p>
    <w:p w:rsidR="00000000" w:rsidRDefault="008E203B">
      <w:pPr>
        <w:divId w:val="768428560"/>
        <w:rPr>
          <w:rFonts w:ascii="Times New Roman" w:hAnsi="Times New Roman" w:cs="Times New Roman"/>
          <w:sz w:val="20"/>
          <w:szCs w:val="20"/>
        </w:rPr>
      </w:pPr>
      <w:r>
        <w:rPr>
          <w:rFonts w:ascii="Times New Roman" w:hAnsi="Times New Roman" w:cs="Times New Roman"/>
          <w:sz w:val="20"/>
          <w:szCs w:val="20"/>
        </w:rPr>
        <w:pict>
          <v:rect id="_x0000_i1049" style="width:415.3pt;height:1.5pt" o:hralign="center" o:hrstd="t" o:hrnoshade="t" o:hr="t" fillcolor="black" stroked="f"/>
        </w:pict>
      </w:r>
    </w:p>
    <w:p w:rsidR="00000000" w:rsidRDefault="008E203B">
      <w:pPr>
        <w:divId w:val="768428560"/>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ind w:firstLine="360"/>
        <w:jc w:val="both"/>
        <w:rPr>
          <w:rFonts w:ascii="Times New Roman" w:hAnsi="Times New Roman" w:cs="Times New Roman"/>
          <w:sz w:val="20"/>
          <w:szCs w:val="20"/>
        </w:rPr>
      </w:pPr>
      <w:r>
        <w:rPr>
          <w:rFonts w:ascii="Times New Roman" w:hAnsi="Times New Roman" w:cs="Times New Roman"/>
          <w:sz w:val="20"/>
          <w:szCs w:val="20"/>
        </w:rPr>
        <w:t>The Company’s investment strategy also includes the retail re-tenanting, renovation and expansion of its existing centers and acquired centers, while also pursuing redevelopment opportunities to increase overal</w:t>
      </w:r>
      <w:r>
        <w:rPr>
          <w:rFonts w:ascii="Times New Roman" w:hAnsi="Times New Roman" w:cs="Times New Roman"/>
          <w:sz w:val="20"/>
          <w:szCs w:val="20"/>
        </w:rPr>
        <w:t>l value within its portfolio. The Company may selectively acquire established income-producing real estate properties and properties requiring significant re-tenanting and redevelopment, primarily in geographic regions in which the Company presently operat</w:t>
      </w:r>
      <w:r>
        <w:rPr>
          <w:rFonts w:ascii="Times New Roman" w:hAnsi="Times New Roman" w:cs="Times New Roman"/>
          <w:sz w:val="20"/>
          <w:szCs w:val="20"/>
        </w:rPr>
        <w:t>es. Additionally, the Company may selectively acquire land parcels in its key markets for real estate development projects for long-term investment. The Company may consider investments in other real estate sectors and in geographic markets where it does n</w:t>
      </w:r>
      <w:r>
        <w:rPr>
          <w:rFonts w:ascii="Times New Roman" w:hAnsi="Times New Roman" w:cs="Times New Roman"/>
          <w:sz w:val="20"/>
          <w:szCs w:val="20"/>
        </w:rPr>
        <w:t>ot presently operate should suitable opportunities arise. The Company also continues to simplify its business by reducing the number of joint venture investments.</w:t>
      </w:r>
    </w:p>
    <w:p w:rsidR="00000000" w:rsidRDefault="008E203B">
      <w:pPr>
        <w:pStyle w:val="a3"/>
        <w:spacing w:before="0" w:beforeAutospacing="0" w:after="0" w:afterAutospacing="0"/>
        <w:ind w:firstLine="360"/>
        <w:jc w:val="both"/>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ind w:firstLine="360"/>
        <w:jc w:val="both"/>
        <w:rPr>
          <w:rFonts w:ascii="Times New Roman" w:hAnsi="Times New Roman" w:cs="Times New Roman"/>
          <w:sz w:val="20"/>
          <w:szCs w:val="20"/>
        </w:rPr>
      </w:pPr>
      <w:r>
        <w:rPr>
          <w:rFonts w:ascii="Times New Roman" w:hAnsi="Times New Roman" w:cs="Times New Roman"/>
          <w:sz w:val="20"/>
          <w:szCs w:val="20"/>
        </w:rPr>
        <w:t>As part of the Company’s investment strategy each property is evaluated for its highest and</w:t>
      </w:r>
      <w:r>
        <w:rPr>
          <w:rFonts w:ascii="Times New Roman" w:hAnsi="Times New Roman" w:cs="Times New Roman"/>
          <w:sz w:val="20"/>
          <w:szCs w:val="20"/>
        </w:rPr>
        <w:t xml:space="preserve"> best use, which may include residential and mixed-use components. In addition, the Company may consider other opportunistic investments related to retailer controlled real estate such as, repositioning underperforming retail locations, retail real estate </w:t>
      </w:r>
      <w:r>
        <w:rPr>
          <w:rFonts w:ascii="Times New Roman" w:hAnsi="Times New Roman" w:cs="Times New Roman"/>
          <w:sz w:val="20"/>
          <w:szCs w:val="20"/>
        </w:rPr>
        <w:t>financing and bankruptcy transaction support. The Company has an active capital recycling program which provides for the disposition of certain properties. If the estimated fair value for any of these assets is less than their net carrying values, the Comp</w:t>
      </w:r>
      <w:r>
        <w:rPr>
          <w:rFonts w:ascii="Times New Roman" w:hAnsi="Times New Roman" w:cs="Times New Roman"/>
          <w:sz w:val="20"/>
          <w:szCs w:val="20"/>
        </w:rPr>
        <w:t>any would be required to take impairment charges and such amounts could be material.</w:t>
      </w:r>
    </w:p>
    <w:p w:rsidR="00000000" w:rsidRDefault="008E203B">
      <w:pPr>
        <w:pStyle w:val="a3"/>
        <w:spacing w:before="0" w:beforeAutospacing="0" w:after="0" w:afterAutospacing="0"/>
        <w:ind w:firstLine="360"/>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u w:val="single"/>
        </w:rPr>
        <w:t>Results of Operations</w:t>
      </w:r>
    </w:p>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i/>
          <w:iCs/>
          <w:sz w:val="20"/>
          <w:szCs w:val="20"/>
        </w:rPr>
        <w:t>Comparison of the three months ended March 31, 2019 and 2018</w:t>
      </w:r>
    </w:p>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ind w:firstLine="360"/>
        <w:jc w:val="both"/>
        <w:rPr>
          <w:rFonts w:ascii="Times New Roman" w:hAnsi="Times New Roman" w:cs="Times New Roman"/>
          <w:sz w:val="20"/>
          <w:szCs w:val="20"/>
        </w:rPr>
      </w:pPr>
      <w:r>
        <w:rPr>
          <w:rFonts w:ascii="Times New Roman" w:hAnsi="Times New Roman" w:cs="Times New Roman"/>
          <w:sz w:val="20"/>
          <w:szCs w:val="20"/>
        </w:rPr>
        <w:t>The following table presents the comparative results from the Company’s Condensed Consolidated Statements of Income for the three months ended March 31, 2019, as compared to the corresponding period in 2018 (in thousands, except per share data):</w:t>
      </w:r>
    </w:p>
    <w:p w:rsidR="00000000" w:rsidRDefault="008E203B">
      <w:pPr>
        <w:pStyle w:val="a3"/>
        <w:spacing w:before="0" w:beforeAutospacing="0" w:after="0" w:afterAutospacing="0"/>
        <w:ind w:firstLine="360"/>
        <w:rPr>
          <w:rFonts w:ascii="Times New Roman" w:hAnsi="Times New Roman" w:cs="Times New Roman"/>
          <w:sz w:val="20"/>
          <w:szCs w:val="20"/>
        </w:rPr>
      </w:pPr>
      <w:r>
        <w:rPr>
          <w:rFonts w:ascii="Times New Roman" w:hAnsi="Times New Roman" w:cs="Times New Roman"/>
          <w:sz w:val="20"/>
          <w:szCs w:val="20"/>
        </w:rPr>
        <w:t> </w:t>
      </w:r>
    </w:p>
    <w:tbl>
      <w:tblPr>
        <w:tblW w:w="4750" w:type="pct"/>
        <w:tblCellSpacing w:w="0" w:type="dxa"/>
        <w:tblInd w:w="2" w:type="dxa"/>
        <w:tblCellMar>
          <w:left w:w="0" w:type="dxa"/>
          <w:right w:w="0" w:type="dxa"/>
        </w:tblCellMar>
        <w:tblLook w:val="04A0" w:firstRow="1" w:lastRow="0" w:firstColumn="1" w:lastColumn="0" w:noHBand="0" w:noVBand="1"/>
      </w:tblPr>
      <w:tblGrid>
        <w:gridCol w:w="4096"/>
        <w:gridCol w:w="72"/>
        <w:gridCol w:w="100"/>
        <w:gridCol w:w="1019"/>
        <w:gridCol w:w="72"/>
        <w:gridCol w:w="72"/>
        <w:gridCol w:w="100"/>
        <w:gridCol w:w="1020"/>
        <w:gridCol w:w="73"/>
        <w:gridCol w:w="73"/>
        <w:gridCol w:w="101"/>
        <w:gridCol w:w="1020"/>
        <w:gridCol w:w="73"/>
      </w:tblGrid>
      <w:tr w:rsidR="00000000">
        <w:trPr>
          <w:tblCellSpacing w:w="0" w:type="dxa"/>
        </w:trPr>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gridSpan w:val="6"/>
            <w:tcBorders>
              <w:bottom w:val="single" w:sz="6" w:space="0" w:color="000000"/>
            </w:tcBorders>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Thre</w:t>
            </w:r>
            <w:r>
              <w:rPr>
                <w:rFonts w:ascii="Times New Roman" w:hAnsi="Times New Roman" w:cs="Times New Roman"/>
                <w:b/>
                <w:bCs/>
                <w:sz w:val="20"/>
                <w:szCs w:val="20"/>
              </w:rPr>
              <w:t xml:space="preserve">e Months Ended March 31, </w:t>
            </w:r>
          </w:p>
        </w:tc>
        <w:tc>
          <w:tcPr>
            <w:tcW w:w="0" w:type="auto"/>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b/>
                <w:bCs/>
                <w:sz w:val="20"/>
                <w:szCs w:val="20"/>
              </w:rPr>
              <w:t> </w:t>
            </w:r>
          </w:p>
        </w:tc>
        <w:tc>
          <w:tcPr>
            <w:tcW w:w="0" w:type="auto"/>
            <w:vAlign w:val="bottom"/>
            <w:hideMark/>
          </w:tcPr>
          <w:p w:rsidR="00000000" w:rsidRDefault="008E203B">
            <w:pPr>
              <w:jc w:val="center"/>
              <w:rPr>
                <w:rFonts w:ascii="Times New Roman" w:hAnsi="Times New Roman" w:cs="Times New Roman"/>
                <w:sz w:val="20"/>
                <w:szCs w:val="20"/>
              </w:rPr>
            </w:pPr>
            <w:r>
              <w:rPr>
                <w:rFonts w:ascii="Times New Roman" w:hAnsi="Times New Roman" w:cs="Times New Roman"/>
                <w:b/>
                <w:bCs/>
                <w:sz w:val="20"/>
                <w:szCs w:val="20"/>
              </w:rPr>
              <w:t> </w:t>
            </w:r>
          </w:p>
        </w:tc>
        <w:tc>
          <w:tcPr>
            <w:tcW w:w="0" w:type="auto"/>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b/>
                <w:bCs/>
                <w:sz w:val="20"/>
                <w:szCs w:val="20"/>
              </w:rPr>
              <w:t> </w:t>
            </w:r>
          </w:p>
        </w:tc>
      </w:tr>
      <w:tr w:rsidR="00000000">
        <w:trPr>
          <w:tblCellSpacing w:w="0" w:type="dxa"/>
        </w:trPr>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gridSpan w:val="2"/>
            <w:tcBorders>
              <w:bottom w:val="single" w:sz="6" w:space="0" w:color="000000"/>
            </w:tcBorders>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2019</w:t>
            </w:r>
          </w:p>
        </w:tc>
        <w:tc>
          <w:tcPr>
            <w:tcW w:w="0" w:type="auto"/>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gridSpan w:val="2"/>
            <w:tcBorders>
              <w:bottom w:val="single" w:sz="6" w:space="0" w:color="000000"/>
            </w:tcBorders>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2018</w:t>
            </w:r>
          </w:p>
        </w:tc>
        <w:tc>
          <w:tcPr>
            <w:tcW w:w="0" w:type="auto"/>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gridSpan w:val="2"/>
            <w:tcBorders>
              <w:bottom w:val="single" w:sz="6" w:space="0" w:color="000000"/>
            </w:tcBorders>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 Change</w:t>
            </w:r>
          </w:p>
        </w:tc>
        <w:tc>
          <w:tcPr>
            <w:tcW w:w="0" w:type="auto"/>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tblCellSpacing w:w="0" w:type="dxa"/>
        </w:trPr>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tblCellSpacing w:w="0" w:type="dxa"/>
        </w:trPr>
        <w:tc>
          <w:tcPr>
            <w:tcW w:w="2600" w:type="pct"/>
            <w:shd w:val="clear" w:color="auto" w:fill="CCEEFF"/>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Revenues</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tblCellSpacing w:w="0" w:type="dxa"/>
        </w:trPr>
        <w:tc>
          <w:tcPr>
            <w:tcW w:w="0" w:type="auto"/>
            <w:shd w:val="clear" w:color="auto" w:fill="FFFFFF"/>
            <w:vAlign w:val="bottom"/>
            <w:hideMark/>
          </w:tcPr>
          <w:p w:rsidR="00000000" w:rsidRDefault="008E203B">
            <w:pPr>
              <w:pStyle w:val="a3"/>
              <w:spacing w:before="0" w:beforeAutospacing="0" w:after="0" w:afterAutospacing="0"/>
              <w:ind w:left="360"/>
              <w:rPr>
                <w:rFonts w:ascii="Times New Roman" w:hAnsi="Times New Roman" w:cs="Times New Roman"/>
                <w:sz w:val="20"/>
                <w:szCs w:val="20"/>
              </w:rPr>
            </w:pPr>
            <w:r>
              <w:rPr>
                <w:rFonts w:ascii="Times New Roman" w:hAnsi="Times New Roman" w:cs="Times New Roman"/>
                <w:sz w:val="20"/>
                <w:szCs w:val="20"/>
              </w:rPr>
              <w:t>Revenues from rental properties, net (1)</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65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290,634</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65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299,717</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65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(9,083</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r>
      <w:tr w:rsidR="00000000">
        <w:trPr>
          <w:tblCellSpacing w:w="0" w:type="dxa"/>
        </w:trPr>
        <w:tc>
          <w:tcPr>
            <w:tcW w:w="0" w:type="auto"/>
            <w:shd w:val="clear" w:color="auto" w:fill="CCEEFF"/>
            <w:vAlign w:val="bottom"/>
            <w:hideMark/>
          </w:tcPr>
          <w:p w:rsidR="00000000" w:rsidRDefault="008E203B">
            <w:pPr>
              <w:pStyle w:val="a3"/>
              <w:spacing w:before="0" w:beforeAutospacing="0" w:after="0" w:afterAutospacing="0"/>
              <w:ind w:left="360"/>
              <w:rPr>
                <w:rFonts w:ascii="Times New Roman" w:hAnsi="Times New Roman" w:cs="Times New Roman"/>
                <w:sz w:val="20"/>
                <w:szCs w:val="20"/>
              </w:rPr>
            </w:pPr>
            <w:r>
              <w:rPr>
                <w:rFonts w:ascii="Times New Roman" w:hAnsi="Times New Roman" w:cs="Times New Roman"/>
                <w:sz w:val="20"/>
                <w:szCs w:val="20"/>
              </w:rPr>
              <w:t>Management and other fee income</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5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4,376</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5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4,361</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5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15</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tblCellSpacing w:w="0" w:type="dxa"/>
        </w:trPr>
        <w:tc>
          <w:tcPr>
            <w:tcW w:w="0" w:type="auto"/>
            <w:shd w:val="clear" w:color="auto" w:fill="FFFFFF"/>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Operating expenses</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tblCellSpacing w:w="0" w:type="dxa"/>
        </w:trPr>
        <w:tc>
          <w:tcPr>
            <w:tcW w:w="0" w:type="auto"/>
            <w:shd w:val="clear" w:color="auto" w:fill="CCEEFF"/>
            <w:vAlign w:val="bottom"/>
            <w:hideMark/>
          </w:tcPr>
          <w:p w:rsidR="00000000" w:rsidRDefault="008E203B">
            <w:pPr>
              <w:pStyle w:val="a3"/>
              <w:spacing w:before="0" w:beforeAutospacing="0" w:after="0" w:afterAutospacing="0"/>
              <w:ind w:left="360"/>
              <w:rPr>
                <w:rFonts w:ascii="Times New Roman" w:hAnsi="Times New Roman" w:cs="Times New Roman"/>
                <w:sz w:val="20"/>
                <w:szCs w:val="20"/>
              </w:rPr>
            </w:pPr>
            <w:r>
              <w:rPr>
                <w:rFonts w:ascii="Times New Roman" w:hAnsi="Times New Roman" w:cs="Times New Roman"/>
                <w:sz w:val="20"/>
                <w:szCs w:val="20"/>
              </w:rPr>
              <w:t>Rent (2)</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5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(2,692</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5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(2,818</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5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126</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tblCellSpacing w:w="0" w:type="dxa"/>
        </w:trPr>
        <w:tc>
          <w:tcPr>
            <w:tcW w:w="0" w:type="auto"/>
            <w:shd w:val="clear" w:color="auto" w:fill="FFFFFF"/>
            <w:vAlign w:val="bottom"/>
            <w:hideMark/>
          </w:tcPr>
          <w:p w:rsidR="00000000" w:rsidRDefault="008E203B">
            <w:pPr>
              <w:pStyle w:val="a3"/>
              <w:spacing w:before="0" w:beforeAutospacing="0" w:after="0" w:afterAutospacing="0"/>
              <w:ind w:left="360"/>
              <w:rPr>
                <w:rFonts w:ascii="Times New Roman" w:hAnsi="Times New Roman" w:cs="Times New Roman"/>
                <w:sz w:val="20"/>
                <w:szCs w:val="20"/>
              </w:rPr>
            </w:pPr>
            <w:r>
              <w:rPr>
                <w:rFonts w:ascii="Times New Roman" w:hAnsi="Times New Roman" w:cs="Times New Roman"/>
                <w:sz w:val="20"/>
                <w:szCs w:val="20"/>
              </w:rPr>
              <w:t>Real estate taxes</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5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(39,347</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5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(40,434</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5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1,087</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tblCellSpacing w:w="0" w:type="dxa"/>
        </w:trPr>
        <w:tc>
          <w:tcPr>
            <w:tcW w:w="0" w:type="auto"/>
            <w:shd w:val="clear" w:color="auto" w:fill="CCEEFF"/>
            <w:vAlign w:val="bottom"/>
            <w:hideMark/>
          </w:tcPr>
          <w:p w:rsidR="00000000" w:rsidRDefault="008E203B">
            <w:pPr>
              <w:pStyle w:val="a3"/>
              <w:spacing w:before="0" w:beforeAutospacing="0" w:after="0" w:afterAutospacing="0"/>
              <w:ind w:left="360"/>
              <w:rPr>
                <w:rFonts w:ascii="Times New Roman" w:hAnsi="Times New Roman" w:cs="Times New Roman"/>
                <w:sz w:val="20"/>
                <w:szCs w:val="20"/>
              </w:rPr>
            </w:pPr>
            <w:r>
              <w:rPr>
                <w:rFonts w:ascii="Times New Roman" w:hAnsi="Times New Roman" w:cs="Times New Roman"/>
                <w:sz w:val="20"/>
                <w:szCs w:val="20"/>
              </w:rPr>
              <w:t>Operating and maintenance (3)</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5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(40,896</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5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(43,331</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5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2,435</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tblCellSpacing w:w="0" w:type="dxa"/>
        </w:trPr>
        <w:tc>
          <w:tcPr>
            <w:tcW w:w="0" w:type="auto"/>
            <w:shd w:val="clear" w:color="auto" w:fill="FFFFFF"/>
            <w:vAlign w:val="bottom"/>
            <w:hideMark/>
          </w:tcPr>
          <w:p w:rsidR="00000000" w:rsidRDefault="008E203B">
            <w:pPr>
              <w:pStyle w:val="a3"/>
              <w:spacing w:before="0" w:beforeAutospacing="0" w:after="0" w:afterAutospacing="0"/>
              <w:ind w:firstLine="360"/>
              <w:rPr>
                <w:rFonts w:ascii="Times New Roman" w:hAnsi="Times New Roman" w:cs="Times New Roman"/>
                <w:sz w:val="20"/>
                <w:szCs w:val="20"/>
              </w:rPr>
            </w:pPr>
            <w:r>
              <w:rPr>
                <w:rFonts w:ascii="Times New Roman" w:hAnsi="Times New Roman" w:cs="Times New Roman"/>
                <w:sz w:val="20"/>
                <w:szCs w:val="20"/>
              </w:rPr>
              <w:t>General and administrative (4)</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5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(25,831</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5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(22,398</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5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(3,433</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r>
      <w:tr w:rsidR="00000000">
        <w:trPr>
          <w:tblCellSpacing w:w="0" w:type="dxa"/>
        </w:trPr>
        <w:tc>
          <w:tcPr>
            <w:tcW w:w="0" w:type="auto"/>
            <w:shd w:val="clear" w:color="auto" w:fill="CCEEFF"/>
            <w:vAlign w:val="bottom"/>
            <w:hideMark/>
          </w:tcPr>
          <w:p w:rsidR="00000000" w:rsidRDefault="008E203B">
            <w:pPr>
              <w:pStyle w:val="a3"/>
              <w:spacing w:before="0" w:beforeAutospacing="0" w:after="0" w:afterAutospacing="0"/>
              <w:ind w:left="360"/>
              <w:rPr>
                <w:rFonts w:ascii="Times New Roman" w:hAnsi="Times New Roman" w:cs="Times New Roman"/>
                <w:sz w:val="20"/>
                <w:szCs w:val="20"/>
              </w:rPr>
            </w:pPr>
            <w:r>
              <w:rPr>
                <w:rFonts w:ascii="Times New Roman" w:hAnsi="Times New Roman" w:cs="Times New Roman"/>
                <w:sz w:val="20"/>
                <w:szCs w:val="20"/>
              </w:rPr>
              <w:t>Provision for doubtful accounts</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5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5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(2,131</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5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2,131</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tblCellSpacing w:w="0" w:type="dxa"/>
        </w:trPr>
        <w:tc>
          <w:tcPr>
            <w:tcW w:w="0" w:type="auto"/>
            <w:shd w:val="clear" w:color="auto" w:fill="FFFFFF"/>
            <w:vAlign w:val="bottom"/>
            <w:hideMark/>
          </w:tcPr>
          <w:p w:rsidR="00000000" w:rsidRDefault="008E203B">
            <w:pPr>
              <w:pStyle w:val="a3"/>
              <w:spacing w:before="0" w:beforeAutospacing="0" w:after="0" w:afterAutospacing="0"/>
              <w:ind w:left="360"/>
              <w:rPr>
                <w:rFonts w:ascii="Times New Roman" w:hAnsi="Times New Roman" w:cs="Times New Roman"/>
                <w:sz w:val="20"/>
                <w:szCs w:val="20"/>
              </w:rPr>
            </w:pPr>
            <w:r>
              <w:rPr>
                <w:rFonts w:ascii="Times New Roman" w:hAnsi="Times New Roman" w:cs="Times New Roman"/>
                <w:sz w:val="20"/>
                <w:szCs w:val="20"/>
              </w:rPr>
              <w:t>Impairment charges</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5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(4,175</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5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(7,646</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5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3,471</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tblCellSpacing w:w="0" w:type="dxa"/>
        </w:trPr>
        <w:tc>
          <w:tcPr>
            <w:tcW w:w="0" w:type="auto"/>
            <w:shd w:val="clear" w:color="auto" w:fill="CCEEFF"/>
            <w:vAlign w:val="bottom"/>
            <w:hideMark/>
          </w:tcPr>
          <w:p w:rsidR="00000000" w:rsidRDefault="008E203B">
            <w:pPr>
              <w:pStyle w:val="a3"/>
              <w:spacing w:before="0" w:beforeAutospacing="0" w:after="0" w:afterAutospacing="0"/>
              <w:ind w:left="360"/>
              <w:rPr>
                <w:rFonts w:ascii="Times New Roman" w:hAnsi="Times New Roman" w:cs="Times New Roman"/>
                <w:sz w:val="20"/>
                <w:szCs w:val="20"/>
              </w:rPr>
            </w:pPr>
            <w:r>
              <w:rPr>
                <w:rFonts w:ascii="Times New Roman" w:hAnsi="Times New Roman" w:cs="Times New Roman"/>
                <w:sz w:val="20"/>
                <w:szCs w:val="20"/>
              </w:rPr>
              <w:t>Depreciation and amortization</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5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(71,561</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5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(81,382</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5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9,821</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tblCellSpacing w:w="0" w:type="dxa"/>
        </w:trPr>
        <w:tc>
          <w:tcPr>
            <w:tcW w:w="0" w:type="auto"/>
            <w:shd w:val="clear" w:color="auto" w:fill="FFFFFF"/>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Gain on sale of properties/change in control of interests</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5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23,595</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5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56,971</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5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(33,376</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r>
      <w:tr w:rsidR="00000000">
        <w:trPr>
          <w:tblCellSpacing w:w="0" w:type="dxa"/>
        </w:trPr>
        <w:tc>
          <w:tcPr>
            <w:tcW w:w="0" w:type="auto"/>
            <w:shd w:val="clear" w:color="auto" w:fill="CCEEFF"/>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Other income/(expense)</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tblCellSpacing w:w="0" w:type="dxa"/>
        </w:trPr>
        <w:tc>
          <w:tcPr>
            <w:tcW w:w="0" w:type="auto"/>
            <w:shd w:val="clear" w:color="auto" w:fill="FFFFFF"/>
            <w:vAlign w:val="bottom"/>
            <w:hideMark/>
          </w:tcPr>
          <w:p w:rsidR="00000000" w:rsidRDefault="008E203B">
            <w:pPr>
              <w:pStyle w:val="a3"/>
              <w:spacing w:before="0" w:beforeAutospacing="0" w:after="0" w:afterAutospacing="0"/>
              <w:ind w:left="360"/>
              <w:rPr>
                <w:rFonts w:ascii="Times New Roman" w:hAnsi="Times New Roman" w:cs="Times New Roman"/>
                <w:sz w:val="20"/>
                <w:szCs w:val="20"/>
              </w:rPr>
            </w:pPr>
            <w:r>
              <w:rPr>
                <w:rFonts w:ascii="Times New Roman" w:hAnsi="Times New Roman" w:cs="Times New Roman"/>
                <w:sz w:val="20"/>
                <w:szCs w:val="20"/>
              </w:rPr>
              <w:t>Other income, net</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5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2,622</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5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6,179</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5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(3,557</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r>
      <w:tr w:rsidR="00000000">
        <w:trPr>
          <w:tblCellSpacing w:w="0" w:type="dxa"/>
        </w:trPr>
        <w:tc>
          <w:tcPr>
            <w:tcW w:w="0" w:type="auto"/>
            <w:shd w:val="clear" w:color="auto" w:fill="CCEEFF"/>
            <w:vAlign w:val="bottom"/>
            <w:hideMark/>
          </w:tcPr>
          <w:p w:rsidR="00000000" w:rsidRDefault="008E203B">
            <w:pPr>
              <w:pStyle w:val="a3"/>
              <w:spacing w:before="0" w:beforeAutospacing="0" w:after="0" w:afterAutospacing="0"/>
              <w:ind w:left="360"/>
              <w:rPr>
                <w:rFonts w:ascii="Times New Roman" w:hAnsi="Times New Roman" w:cs="Times New Roman"/>
                <w:sz w:val="20"/>
                <w:szCs w:val="20"/>
              </w:rPr>
            </w:pPr>
            <w:r>
              <w:rPr>
                <w:rFonts w:ascii="Times New Roman" w:hAnsi="Times New Roman" w:cs="Times New Roman"/>
                <w:sz w:val="20"/>
                <w:szCs w:val="20"/>
              </w:rPr>
              <w:t>Interest expense</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5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(44,395</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5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(49,943</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5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5,548</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tblCellSpacing w:w="0" w:type="dxa"/>
        </w:trPr>
        <w:tc>
          <w:tcPr>
            <w:tcW w:w="0" w:type="auto"/>
            <w:shd w:val="clear" w:color="auto" w:fill="FFFFFF"/>
            <w:vAlign w:val="bottom"/>
            <w:hideMark/>
          </w:tcPr>
          <w:p w:rsidR="00000000" w:rsidRDefault="008E203B">
            <w:pPr>
              <w:pStyle w:val="a3"/>
              <w:spacing w:before="0" w:beforeAutospacing="0" w:after="0" w:afterAutospacing="0"/>
              <w:ind w:left="360"/>
              <w:rPr>
                <w:rFonts w:ascii="Times New Roman" w:hAnsi="Times New Roman" w:cs="Times New Roman"/>
                <w:sz w:val="20"/>
                <w:szCs w:val="20"/>
              </w:rPr>
            </w:pPr>
            <w:r>
              <w:rPr>
                <w:rFonts w:ascii="Times New Roman" w:hAnsi="Times New Roman" w:cs="Times New Roman"/>
                <w:sz w:val="20"/>
                <w:szCs w:val="20"/>
              </w:rPr>
              <w:t>Provision for income taxes, net</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5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(630</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5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(52</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5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(578</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r>
      <w:tr w:rsidR="00000000">
        <w:trPr>
          <w:tblCellSpacing w:w="0" w:type="dxa"/>
        </w:trPr>
        <w:tc>
          <w:tcPr>
            <w:tcW w:w="0" w:type="auto"/>
            <w:shd w:val="clear" w:color="auto" w:fill="CCEEFF"/>
            <w:vAlign w:val="bottom"/>
            <w:hideMark/>
          </w:tcPr>
          <w:p w:rsidR="00000000" w:rsidRDefault="008E203B">
            <w:pPr>
              <w:pStyle w:val="a3"/>
              <w:spacing w:before="0" w:beforeAutospacing="0" w:after="0" w:afterAutospacing="0"/>
              <w:ind w:left="360"/>
              <w:rPr>
                <w:rFonts w:ascii="Times New Roman" w:hAnsi="Times New Roman" w:cs="Times New Roman"/>
                <w:sz w:val="20"/>
                <w:szCs w:val="20"/>
              </w:rPr>
            </w:pPr>
            <w:r>
              <w:rPr>
                <w:rFonts w:ascii="Times New Roman" w:hAnsi="Times New Roman" w:cs="Times New Roman"/>
                <w:sz w:val="20"/>
                <w:szCs w:val="20"/>
              </w:rPr>
              <w:t>Equity in income of joint ventures, net</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5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18,754</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5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16,913</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5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1,841</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tblCellSpacing w:w="0" w:type="dxa"/>
        </w:trPr>
        <w:tc>
          <w:tcPr>
            <w:tcW w:w="0" w:type="auto"/>
            <w:shd w:val="clear" w:color="auto" w:fill="FFFFFF"/>
            <w:vAlign w:val="bottom"/>
            <w:hideMark/>
          </w:tcPr>
          <w:p w:rsidR="00000000" w:rsidRDefault="008E203B">
            <w:pPr>
              <w:pStyle w:val="a3"/>
              <w:spacing w:before="0" w:beforeAutospacing="0" w:after="0" w:afterAutospacing="0"/>
              <w:ind w:left="360"/>
              <w:rPr>
                <w:rFonts w:ascii="Times New Roman" w:hAnsi="Times New Roman" w:cs="Times New Roman"/>
                <w:sz w:val="20"/>
                <w:szCs w:val="20"/>
              </w:rPr>
            </w:pPr>
            <w:r>
              <w:rPr>
                <w:rFonts w:ascii="Times New Roman" w:hAnsi="Times New Roman" w:cs="Times New Roman"/>
                <w:sz w:val="20"/>
                <w:szCs w:val="20"/>
              </w:rPr>
              <w:t>Equity in income of other real estate investments, net</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5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6,224</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5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9,976</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5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(3,752</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r>
      <w:tr w:rsidR="00000000">
        <w:trPr>
          <w:tblCellSpacing w:w="0" w:type="dxa"/>
        </w:trPr>
        <w:tc>
          <w:tcPr>
            <w:tcW w:w="0" w:type="auto"/>
            <w:shd w:val="clear" w:color="auto" w:fill="CCEEFF"/>
            <w:vAlign w:val="bottom"/>
            <w:hideMark/>
          </w:tcPr>
          <w:p w:rsidR="00000000" w:rsidRDefault="008E203B">
            <w:pPr>
              <w:pStyle w:val="a3"/>
              <w:spacing w:before="0" w:beforeAutospacing="0" w:after="0" w:afterAutospacing="0"/>
              <w:ind w:left="360"/>
              <w:rPr>
                <w:rFonts w:ascii="Times New Roman" w:hAnsi="Times New Roman" w:cs="Times New Roman"/>
                <w:sz w:val="20"/>
                <w:szCs w:val="20"/>
              </w:rPr>
            </w:pPr>
            <w:r>
              <w:rPr>
                <w:rFonts w:ascii="Times New Roman" w:hAnsi="Times New Roman" w:cs="Times New Roman"/>
                <w:sz w:val="20"/>
                <w:szCs w:val="20"/>
              </w:rPr>
              <w:t>Net (income)/loss attributable to noncontrolling interests</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5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(509</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5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108</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5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(617</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r>
      <w:tr w:rsidR="00000000">
        <w:trPr>
          <w:tblCellSpacing w:w="0" w:type="dxa"/>
        </w:trPr>
        <w:tc>
          <w:tcPr>
            <w:tcW w:w="0" w:type="auto"/>
            <w:shd w:val="clear" w:color="auto" w:fill="FFFFFF"/>
            <w:vAlign w:val="bottom"/>
            <w:hideMark/>
          </w:tcPr>
          <w:p w:rsidR="00000000" w:rsidRDefault="008E203B">
            <w:pPr>
              <w:pStyle w:val="a3"/>
              <w:spacing w:before="0" w:beforeAutospacing="0" w:after="0" w:afterAutospacing="0"/>
              <w:ind w:left="360"/>
              <w:rPr>
                <w:rFonts w:ascii="Times New Roman" w:hAnsi="Times New Roman" w:cs="Times New Roman"/>
                <w:sz w:val="20"/>
                <w:szCs w:val="20"/>
              </w:rPr>
            </w:pPr>
            <w:r>
              <w:rPr>
                <w:rFonts w:ascii="Times New Roman" w:hAnsi="Times New Roman" w:cs="Times New Roman"/>
                <w:sz w:val="20"/>
                <w:szCs w:val="20"/>
              </w:rPr>
              <w:t>Preferred dividends</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single" w:sz="6" w:space="0" w:color="000000"/>
            </w:tcBorders>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50" w:type="pct"/>
            <w:tcBorders>
              <w:bottom w:val="single" w:sz="6" w:space="0" w:color="000000"/>
            </w:tcBorders>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(14,534</w:t>
            </w:r>
          </w:p>
        </w:tc>
        <w:tc>
          <w:tcPr>
            <w:tcW w:w="50" w:type="pct"/>
            <w:shd w:val="clear" w:color="auto" w:fill="FFFFFF"/>
            <w:noWrap/>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single" w:sz="6" w:space="0" w:color="000000"/>
            </w:tcBorders>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50" w:type="pct"/>
            <w:tcBorders>
              <w:bottom w:val="single" w:sz="6" w:space="0" w:color="000000"/>
            </w:tcBorders>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(14,589</w:t>
            </w:r>
          </w:p>
        </w:tc>
        <w:tc>
          <w:tcPr>
            <w:tcW w:w="50" w:type="pct"/>
            <w:shd w:val="clear" w:color="auto" w:fill="FFFFFF"/>
            <w:noWrap/>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single" w:sz="6" w:space="0" w:color="000000"/>
            </w:tcBorders>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50" w:type="pct"/>
            <w:tcBorders>
              <w:bottom w:val="single" w:sz="6" w:space="0" w:color="000000"/>
            </w:tcBorders>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55</w:t>
            </w:r>
          </w:p>
        </w:tc>
        <w:tc>
          <w:tcPr>
            <w:tcW w:w="50" w:type="pct"/>
            <w:shd w:val="clear" w:color="auto" w:fill="FFFFFF"/>
            <w:noWrap/>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tblCellSpacing w:w="0" w:type="dxa"/>
        </w:trPr>
        <w:tc>
          <w:tcPr>
            <w:tcW w:w="0" w:type="auto"/>
            <w:shd w:val="clear" w:color="auto" w:fill="CCEEFF"/>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Net income available to the Company's common shareholders</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double" w:sz="6" w:space="0" w:color="000000"/>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650" w:type="pct"/>
            <w:tcBorders>
              <w:bottom w:val="double" w:sz="6" w:space="0" w:color="000000"/>
            </w:tcBorders>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101,635</w:t>
            </w:r>
          </w:p>
        </w:tc>
        <w:tc>
          <w:tcPr>
            <w:tcW w:w="50" w:type="pct"/>
            <w:shd w:val="clear" w:color="auto" w:fill="CCEEFF"/>
            <w:noWrap/>
            <w:tcMar>
              <w:top w:w="0" w:type="dxa"/>
              <w:left w:w="0" w:type="dxa"/>
              <w:bottom w:w="4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double" w:sz="6" w:space="0" w:color="000000"/>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650" w:type="pct"/>
            <w:tcBorders>
              <w:bottom w:val="double" w:sz="6" w:space="0" w:color="000000"/>
            </w:tcBorders>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129,501</w:t>
            </w:r>
          </w:p>
        </w:tc>
        <w:tc>
          <w:tcPr>
            <w:tcW w:w="50" w:type="pct"/>
            <w:shd w:val="clear" w:color="auto" w:fill="CCEEFF"/>
            <w:noWrap/>
            <w:tcMar>
              <w:top w:w="0" w:type="dxa"/>
              <w:left w:w="0" w:type="dxa"/>
              <w:bottom w:w="4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double" w:sz="6" w:space="0" w:color="000000"/>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650" w:type="pct"/>
            <w:tcBorders>
              <w:bottom w:val="double" w:sz="6" w:space="0" w:color="000000"/>
            </w:tcBorders>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(27,866</w:t>
            </w:r>
          </w:p>
        </w:tc>
        <w:tc>
          <w:tcPr>
            <w:tcW w:w="50" w:type="pct"/>
            <w:shd w:val="clear" w:color="auto" w:fill="CCEEFF"/>
            <w:noWrap/>
            <w:tcMar>
              <w:top w:w="0" w:type="dxa"/>
              <w:left w:w="0" w:type="dxa"/>
              <w:bottom w:w="4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r>
      <w:tr w:rsidR="00000000">
        <w:trPr>
          <w:tblCellSpacing w:w="0" w:type="dxa"/>
        </w:trPr>
        <w:tc>
          <w:tcPr>
            <w:tcW w:w="0" w:type="auto"/>
            <w:shd w:val="clear" w:color="auto" w:fill="FFFFFF"/>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Net income available to the Company:</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tblCellSpacing w:w="0" w:type="dxa"/>
        </w:trPr>
        <w:tc>
          <w:tcPr>
            <w:tcW w:w="0" w:type="auto"/>
            <w:shd w:val="clear" w:color="auto" w:fill="CCEEFF"/>
            <w:vAlign w:val="bottom"/>
            <w:hideMark/>
          </w:tcPr>
          <w:p w:rsidR="00000000" w:rsidRDefault="008E203B">
            <w:pPr>
              <w:pStyle w:val="a3"/>
              <w:spacing w:before="0" w:beforeAutospacing="0" w:after="0" w:afterAutospacing="0"/>
              <w:ind w:left="360"/>
              <w:rPr>
                <w:rFonts w:ascii="Times New Roman" w:hAnsi="Times New Roman" w:cs="Times New Roman"/>
                <w:sz w:val="20"/>
                <w:szCs w:val="20"/>
              </w:rPr>
            </w:pPr>
            <w:r>
              <w:rPr>
                <w:rFonts w:ascii="Times New Roman" w:hAnsi="Times New Roman" w:cs="Times New Roman"/>
                <w:sz w:val="20"/>
                <w:szCs w:val="20"/>
              </w:rPr>
              <w:t>Diluted per common share</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double" w:sz="6" w:space="0" w:color="000000"/>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650" w:type="pct"/>
            <w:tcBorders>
              <w:bottom w:val="double" w:sz="6" w:space="0" w:color="000000"/>
            </w:tcBorders>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0.24</w:t>
            </w:r>
          </w:p>
        </w:tc>
        <w:tc>
          <w:tcPr>
            <w:tcW w:w="50" w:type="pct"/>
            <w:shd w:val="clear" w:color="auto" w:fill="CCEEFF"/>
            <w:noWrap/>
            <w:tcMar>
              <w:top w:w="0" w:type="dxa"/>
              <w:left w:w="0" w:type="dxa"/>
              <w:bottom w:w="4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double" w:sz="6" w:space="0" w:color="000000"/>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650" w:type="pct"/>
            <w:tcBorders>
              <w:bottom w:val="double" w:sz="6" w:space="0" w:color="000000"/>
            </w:tcBorders>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0.30</w:t>
            </w:r>
          </w:p>
        </w:tc>
        <w:tc>
          <w:tcPr>
            <w:tcW w:w="50" w:type="pct"/>
            <w:shd w:val="clear" w:color="auto" w:fill="CCEEFF"/>
            <w:noWrap/>
            <w:tcMar>
              <w:top w:w="0" w:type="dxa"/>
              <w:left w:w="0" w:type="dxa"/>
              <w:bottom w:w="4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double" w:sz="6" w:space="0" w:color="000000"/>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650" w:type="pct"/>
            <w:tcBorders>
              <w:bottom w:val="double" w:sz="6" w:space="0" w:color="000000"/>
            </w:tcBorders>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(0.06</w:t>
            </w:r>
          </w:p>
        </w:tc>
        <w:tc>
          <w:tcPr>
            <w:tcW w:w="50" w:type="pct"/>
            <w:shd w:val="clear" w:color="auto" w:fill="CCEEFF"/>
            <w:noWrap/>
            <w:tcMar>
              <w:top w:w="0" w:type="dxa"/>
              <w:left w:w="0" w:type="dxa"/>
              <w:bottom w:w="4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r>
    </w:tbl>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8E203B">
            <w:r>
              <w:t> </w:t>
            </w:r>
          </w:p>
        </w:tc>
        <w:tc>
          <w:tcPr>
            <w:tcW w:w="360" w:type="dxa"/>
            <w:hideMark/>
          </w:tcPr>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(1)</w:t>
            </w:r>
          </w:p>
        </w:tc>
        <w:tc>
          <w:tcPr>
            <w:tcW w:w="0" w:type="auto"/>
            <w:hideMark/>
          </w:tcPr>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 xml:space="preserve">The Company reclassified $63.7 million of Reimbursement income and $5.6 million of Other rental property income to Revenues from rental properties, net on the Company’s Condensed Consolidated Statements of Income for the three months ended March 31, 2018. </w:t>
            </w:r>
            <w:r>
              <w:rPr>
                <w:rFonts w:ascii="Times New Roman" w:hAnsi="Times New Roman" w:cs="Times New Roman"/>
                <w:sz w:val="20"/>
                <w:szCs w:val="20"/>
              </w:rPr>
              <w:t>See Footnote 2 to the Notes to the Company’s Condensed Consolidated Financial Statements for additional disclosure.</w:t>
            </w:r>
          </w:p>
        </w:tc>
      </w:tr>
    </w:tbl>
    <w:p w:rsidR="00000000" w:rsidRDefault="008E203B">
      <w:pPr>
        <w:rPr>
          <w:rFonts w:ascii="Times New Roman" w:hAnsi="Times New Roman" w:cs="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360" w:type="dxa"/>
            <w:hideMark/>
          </w:tcPr>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(2)</w:t>
            </w:r>
          </w:p>
        </w:tc>
        <w:tc>
          <w:tcPr>
            <w:tcW w:w="0" w:type="auto"/>
            <w:hideMark/>
          </w:tcPr>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Rent expense relates to ground lease payments for which the Company is the lessee.</w:t>
            </w:r>
          </w:p>
        </w:tc>
      </w:tr>
    </w:tbl>
    <w:p w:rsidR="00000000" w:rsidRDefault="008E203B">
      <w:pPr>
        <w:rPr>
          <w:rFonts w:ascii="Times New Roman" w:hAnsi="Times New Roman" w:cs="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360" w:type="dxa"/>
            <w:hideMark/>
          </w:tcPr>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(3)</w:t>
            </w:r>
          </w:p>
        </w:tc>
        <w:tc>
          <w:tcPr>
            <w:tcW w:w="0" w:type="auto"/>
            <w:hideMark/>
          </w:tcPr>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Operating and maintenance expense consists of property related costs including repairs and maintenance costs, roof repair, landscaping, parking lot repair, snow remo</w:t>
            </w:r>
            <w:r>
              <w:rPr>
                <w:rFonts w:ascii="Times New Roman" w:hAnsi="Times New Roman" w:cs="Times New Roman"/>
                <w:sz w:val="20"/>
                <w:szCs w:val="20"/>
              </w:rPr>
              <w:t>val, utilities, property insurance costs, security and various other property related expenses.</w:t>
            </w:r>
          </w:p>
        </w:tc>
      </w:tr>
    </w:tbl>
    <w:p w:rsidR="00000000" w:rsidRDefault="008E203B">
      <w:pPr>
        <w:rPr>
          <w:rFonts w:ascii="Times New Roman" w:hAnsi="Times New Roman" w:cs="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360" w:type="dxa"/>
            <w:hideMark/>
          </w:tcPr>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(4)</w:t>
            </w:r>
          </w:p>
        </w:tc>
        <w:tc>
          <w:tcPr>
            <w:tcW w:w="0" w:type="auto"/>
            <w:hideMark/>
          </w:tcPr>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 xml:space="preserve">General and administrative expense include employee-related expenses (including salaries, bonuses, equity awards, benefits, severance costs and payroll </w:t>
            </w:r>
            <w:r>
              <w:rPr>
                <w:rFonts w:ascii="Times New Roman" w:hAnsi="Times New Roman" w:cs="Times New Roman"/>
                <w:sz w:val="20"/>
                <w:szCs w:val="20"/>
              </w:rPr>
              <w:t>taxes), professional fees, office rent, travel expense and other company-specific expenses.</w:t>
            </w:r>
          </w:p>
        </w:tc>
      </w:tr>
    </w:tbl>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 </w:t>
      </w:r>
    </w:p>
    <w:p w:rsidR="00000000" w:rsidRDefault="008E203B">
      <w:pPr>
        <w:jc w:val="center"/>
        <w:divId w:val="878855823"/>
        <w:rPr>
          <w:rFonts w:ascii="Times New Roman" w:hAnsi="Times New Roman" w:cs="Times New Roman"/>
          <w:sz w:val="20"/>
          <w:szCs w:val="20"/>
        </w:rPr>
      </w:pPr>
      <w:r>
        <w:rPr>
          <w:rFonts w:ascii="Times New Roman" w:hAnsi="Times New Roman" w:cs="Times New Roman"/>
          <w:sz w:val="20"/>
          <w:szCs w:val="20"/>
        </w:rPr>
        <w:t>22</w:t>
      </w:r>
    </w:p>
    <w:p w:rsidR="00000000" w:rsidRDefault="008E203B">
      <w:pPr>
        <w:divId w:val="878855823"/>
        <w:rPr>
          <w:rFonts w:ascii="Times New Roman" w:hAnsi="Times New Roman" w:cs="Times New Roman"/>
          <w:sz w:val="20"/>
          <w:szCs w:val="20"/>
        </w:rPr>
      </w:pPr>
      <w:r>
        <w:rPr>
          <w:rFonts w:ascii="Times New Roman" w:hAnsi="Times New Roman" w:cs="Times New Roman"/>
          <w:sz w:val="20"/>
          <w:szCs w:val="20"/>
        </w:rPr>
        <w:pict>
          <v:rect id="_x0000_i1050" style="width:415.3pt;height:1.5pt" o:hralign="center" o:hrstd="t" o:hrnoshade="t" o:hr="t" fillcolor="black" stroked="f"/>
        </w:pict>
      </w:r>
    </w:p>
    <w:p w:rsidR="00000000" w:rsidRDefault="008E203B">
      <w:pPr>
        <w:divId w:val="878855823"/>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ind w:firstLine="360"/>
        <w:jc w:val="both"/>
        <w:rPr>
          <w:rFonts w:ascii="Times New Roman" w:hAnsi="Times New Roman" w:cs="Times New Roman"/>
          <w:sz w:val="20"/>
          <w:szCs w:val="20"/>
        </w:rPr>
      </w:pPr>
      <w:r>
        <w:rPr>
          <w:rFonts w:ascii="Times New Roman" w:hAnsi="Times New Roman" w:cs="Times New Roman"/>
          <w:sz w:val="20"/>
          <w:szCs w:val="20"/>
        </w:rPr>
        <w:t>Net income available to the Co</w:t>
      </w:r>
      <w:r>
        <w:rPr>
          <w:rFonts w:ascii="Times New Roman" w:hAnsi="Times New Roman" w:cs="Times New Roman"/>
          <w:sz w:val="20"/>
          <w:szCs w:val="20"/>
        </w:rPr>
        <w:t>mpany’s common shareholders was $101.6 million for the three months ended March 31, 2019, as compared to $129.5 million for the comparable period in 2018. On a diluted per share basis, net income available to the Company for the three months ended March 31</w:t>
      </w:r>
      <w:r>
        <w:rPr>
          <w:rFonts w:ascii="Times New Roman" w:hAnsi="Times New Roman" w:cs="Times New Roman"/>
          <w:sz w:val="20"/>
          <w:szCs w:val="20"/>
        </w:rPr>
        <w:t>, 2019, was $0.24 as compared to $0.30 for the comparable period in 2018.</w:t>
      </w:r>
    </w:p>
    <w:p w:rsidR="00000000" w:rsidRDefault="008E203B">
      <w:pPr>
        <w:pStyle w:val="a3"/>
        <w:spacing w:before="0" w:beforeAutospacing="0" w:after="0" w:afterAutospacing="0"/>
        <w:ind w:firstLine="360"/>
        <w:jc w:val="both"/>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ind w:firstLine="360"/>
        <w:jc w:val="both"/>
        <w:rPr>
          <w:rFonts w:ascii="Times New Roman" w:hAnsi="Times New Roman" w:cs="Times New Roman"/>
          <w:sz w:val="20"/>
          <w:szCs w:val="20"/>
        </w:rPr>
      </w:pPr>
      <w:r>
        <w:rPr>
          <w:rFonts w:ascii="Times New Roman" w:hAnsi="Times New Roman" w:cs="Times New Roman"/>
          <w:sz w:val="20"/>
          <w:szCs w:val="20"/>
        </w:rPr>
        <w:t>The following describes the changes of certain line items included in Net income available to the Company’s common shareholders on the Company’s Condensed Consolidated Statements of Income, which it believes represent items that have significant changes du</w:t>
      </w:r>
      <w:r>
        <w:rPr>
          <w:rFonts w:ascii="Times New Roman" w:hAnsi="Times New Roman" w:cs="Times New Roman"/>
          <w:sz w:val="20"/>
          <w:szCs w:val="20"/>
        </w:rPr>
        <w:t>ring the three months ended March 31, 2019, as compared to the corresponding period in 2018:</w:t>
      </w:r>
    </w:p>
    <w:p w:rsidR="00000000" w:rsidRDefault="008E203B">
      <w:pPr>
        <w:pStyle w:val="a3"/>
        <w:spacing w:before="0" w:beforeAutospacing="0" w:after="0" w:afterAutospacing="0"/>
        <w:ind w:firstLine="450"/>
        <w:jc w:val="both"/>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i/>
          <w:iCs/>
          <w:sz w:val="20"/>
          <w:szCs w:val="20"/>
        </w:rPr>
        <w:t>Revenue from rental properties, net –</w:t>
      </w:r>
    </w:p>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ind w:firstLine="360"/>
        <w:jc w:val="both"/>
        <w:rPr>
          <w:rFonts w:ascii="Times New Roman" w:hAnsi="Times New Roman" w:cs="Times New Roman"/>
          <w:sz w:val="20"/>
          <w:szCs w:val="20"/>
        </w:rPr>
      </w:pPr>
      <w:r>
        <w:rPr>
          <w:rFonts w:ascii="Times New Roman" w:hAnsi="Times New Roman" w:cs="Times New Roman"/>
          <w:sz w:val="20"/>
          <w:szCs w:val="20"/>
        </w:rPr>
        <w:t>The decrease in Revenues from rental properties, net of $9.1 million for the three months ended March 31, 2019, as compar</w:t>
      </w:r>
      <w:r>
        <w:rPr>
          <w:rFonts w:ascii="Times New Roman" w:hAnsi="Times New Roman" w:cs="Times New Roman"/>
          <w:sz w:val="20"/>
          <w:szCs w:val="20"/>
        </w:rPr>
        <w:t>ed to the corresponding period in 2018, is primarily from (i) the combined effect of a decrease in revenues of $21.8 million from properties sold during 2019 and 2018, partially offset by (ii) the completion of certain redevelopment and development project</w:t>
      </w:r>
      <w:r>
        <w:rPr>
          <w:rFonts w:ascii="Times New Roman" w:hAnsi="Times New Roman" w:cs="Times New Roman"/>
          <w:sz w:val="20"/>
          <w:szCs w:val="20"/>
        </w:rPr>
        <w:t>s, acquisitions, tenant buyouts and net growth in the current portfolio, which provided incremental revenues for the three months ended March 31, 2019 of $12.7 million, as compared to the corresponding period in 2018.</w:t>
      </w:r>
    </w:p>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i/>
          <w:iCs/>
          <w:sz w:val="20"/>
          <w:szCs w:val="20"/>
        </w:rPr>
        <w:t>General and administrative –</w:t>
      </w:r>
    </w:p>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ind w:firstLine="360"/>
        <w:jc w:val="both"/>
        <w:rPr>
          <w:rFonts w:ascii="Times New Roman" w:hAnsi="Times New Roman" w:cs="Times New Roman"/>
          <w:sz w:val="20"/>
          <w:szCs w:val="20"/>
        </w:rPr>
      </w:pPr>
      <w:r>
        <w:rPr>
          <w:rFonts w:ascii="Times New Roman" w:hAnsi="Times New Roman" w:cs="Times New Roman"/>
          <w:sz w:val="20"/>
          <w:szCs w:val="20"/>
        </w:rPr>
        <w:t>The i</w:t>
      </w:r>
      <w:r>
        <w:rPr>
          <w:rFonts w:ascii="Times New Roman" w:hAnsi="Times New Roman" w:cs="Times New Roman"/>
          <w:sz w:val="20"/>
          <w:szCs w:val="20"/>
        </w:rPr>
        <w:t>ncrease in General and administrative of $3.4 million for the three months ended March 31, 2019, as compared to the corresponding period in 2018, is primarily due to a decrease in capitalization of personnel costs due to the completion of certain developme</w:t>
      </w:r>
      <w:r>
        <w:rPr>
          <w:rFonts w:ascii="Times New Roman" w:hAnsi="Times New Roman" w:cs="Times New Roman"/>
          <w:sz w:val="20"/>
          <w:szCs w:val="20"/>
        </w:rPr>
        <w:t>nt projects and decreased capitalization of internal leasing commissions in association with the adoption of Topic 842.</w:t>
      </w:r>
    </w:p>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i/>
          <w:iCs/>
          <w:sz w:val="20"/>
          <w:szCs w:val="20"/>
        </w:rPr>
        <w:t> </w:t>
      </w:r>
    </w:p>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i/>
          <w:iCs/>
          <w:sz w:val="20"/>
          <w:szCs w:val="20"/>
        </w:rPr>
        <w:t xml:space="preserve">Impairment charges – </w:t>
      </w:r>
    </w:p>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i/>
          <w:iCs/>
          <w:sz w:val="20"/>
          <w:szCs w:val="20"/>
        </w:rPr>
        <w:t> </w:t>
      </w:r>
    </w:p>
    <w:p w:rsidR="00000000" w:rsidRDefault="008E203B">
      <w:pPr>
        <w:pStyle w:val="a3"/>
        <w:spacing w:before="0" w:beforeAutospacing="0" w:after="0" w:afterAutospacing="0"/>
        <w:ind w:firstLine="360"/>
        <w:jc w:val="both"/>
        <w:rPr>
          <w:rFonts w:ascii="Times New Roman" w:hAnsi="Times New Roman" w:cs="Times New Roman"/>
          <w:sz w:val="20"/>
          <w:szCs w:val="20"/>
        </w:rPr>
      </w:pPr>
      <w:r>
        <w:rPr>
          <w:rFonts w:ascii="Times New Roman" w:hAnsi="Times New Roman" w:cs="Times New Roman"/>
          <w:sz w:val="20"/>
          <w:szCs w:val="20"/>
        </w:rPr>
        <w:t>During the three months ended March 31, 2019 and 2018, the Company recognized impairment charges related to ad</w:t>
      </w:r>
      <w:r>
        <w:rPr>
          <w:rFonts w:ascii="Times New Roman" w:hAnsi="Times New Roman" w:cs="Times New Roman"/>
          <w:sz w:val="20"/>
          <w:szCs w:val="20"/>
        </w:rPr>
        <w:t>justments to property carrying values of $4.2 million and $7.6 million, respectively, for which the Company’s estimated fair values were primarily based upon signed contracts or letters of intent from third party offers. These adjustments to property carry</w:t>
      </w:r>
      <w:r>
        <w:rPr>
          <w:rFonts w:ascii="Times New Roman" w:hAnsi="Times New Roman" w:cs="Times New Roman"/>
          <w:sz w:val="20"/>
          <w:szCs w:val="20"/>
        </w:rPr>
        <w:t>ing values were recognized in connection with the Company’s efforts to market certain properties and management’s assessment as to the likelihood and timing of such potential transactions. Certain of the calculations to determine fair value utilized unobse</w:t>
      </w:r>
      <w:r>
        <w:rPr>
          <w:rFonts w:ascii="Times New Roman" w:hAnsi="Times New Roman" w:cs="Times New Roman"/>
          <w:sz w:val="20"/>
          <w:szCs w:val="20"/>
        </w:rPr>
        <w:t>rvable inputs and as such are classified as Level 3 of the fair value hierarchy.</w:t>
      </w:r>
    </w:p>
    <w:p w:rsidR="00000000" w:rsidRDefault="008E203B">
      <w:pPr>
        <w:pStyle w:val="a3"/>
        <w:spacing w:before="0" w:beforeAutospacing="0" w:after="0" w:afterAutospacing="0"/>
        <w:ind w:firstLine="360"/>
        <w:jc w:val="both"/>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i/>
          <w:iCs/>
          <w:sz w:val="20"/>
          <w:szCs w:val="20"/>
        </w:rPr>
        <w:t xml:space="preserve">Depreciation and amortization – </w:t>
      </w:r>
    </w:p>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i/>
          <w:iCs/>
          <w:sz w:val="20"/>
          <w:szCs w:val="20"/>
        </w:rPr>
        <w:t> </w:t>
      </w:r>
    </w:p>
    <w:p w:rsidR="00000000" w:rsidRDefault="008E203B">
      <w:pPr>
        <w:pStyle w:val="a3"/>
        <w:spacing w:before="0" w:beforeAutospacing="0" w:after="0" w:afterAutospacing="0"/>
        <w:ind w:firstLine="360"/>
        <w:jc w:val="both"/>
        <w:rPr>
          <w:rFonts w:ascii="Times New Roman" w:hAnsi="Times New Roman" w:cs="Times New Roman"/>
          <w:sz w:val="20"/>
          <w:szCs w:val="20"/>
        </w:rPr>
      </w:pPr>
      <w:r>
        <w:rPr>
          <w:rFonts w:ascii="Times New Roman" w:hAnsi="Times New Roman" w:cs="Times New Roman"/>
          <w:sz w:val="20"/>
          <w:szCs w:val="20"/>
        </w:rPr>
        <w:t xml:space="preserve">The decrease in Depreciation and amortization of $9.8 million for the three months ended March 31, 2019, as compared to the corresponding </w:t>
      </w:r>
      <w:r>
        <w:rPr>
          <w:rFonts w:ascii="Times New Roman" w:hAnsi="Times New Roman" w:cs="Times New Roman"/>
          <w:sz w:val="20"/>
          <w:szCs w:val="20"/>
        </w:rPr>
        <w:t>period in 2018, is primarily due to (i) a decrease of $6.5 million resulting from property dispositions in 2019 and 2018, (ii) a decrease of $2.4 million related to the acceleration of depreciable lives of assets within the Company’s redevelopment projects</w:t>
      </w:r>
      <w:r>
        <w:rPr>
          <w:rFonts w:ascii="Times New Roman" w:hAnsi="Times New Roman" w:cs="Times New Roman"/>
          <w:sz w:val="20"/>
          <w:szCs w:val="20"/>
        </w:rPr>
        <w:t xml:space="preserve"> during the three months ended March 31, 2018 and (iii) a decrease related to tenant vacates and write-offs of depreciable assets of $0.9 million.</w:t>
      </w:r>
    </w:p>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i/>
          <w:iCs/>
          <w:sz w:val="20"/>
          <w:szCs w:val="20"/>
        </w:rPr>
        <w:t> </w:t>
      </w:r>
    </w:p>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i/>
          <w:iCs/>
          <w:sz w:val="20"/>
          <w:szCs w:val="20"/>
        </w:rPr>
        <w:t xml:space="preserve">Gain on sale of properties/change in control of interests – </w:t>
      </w:r>
    </w:p>
    <w:p w:rsidR="00000000" w:rsidRDefault="008E203B">
      <w:pPr>
        <w:pStyle w:val="a3"/>
        <w:spacing w:before="0" w:beforeAutospacing="0" w:after="0" w:afterAutospacing="0"/>
        <w:ind w:firstLine="360"/>
        <w:jc w:val="both"/>
        <w:rPr>
          <w:rFonts w:ascii="Times New Roman" w:hAnsi="Times New Roman" w:cs="Times New Roman"/>
          <w:sz w:val="20"/>
          <w:szCs w:val="20"/>
        </w:rPr>
      </w:pPr>
      <w:r>
        <w:rPr>
          <w:rFonts w:ascii="Times New Roman" w:hAnsi="Times New Roman" w:cs="Times New Roman"/>
          <w:i/>
          <w:iCs/>
          <w:sz w:val="20"/>
          <w:szCs w:val="20"/>
        </w:rPr>
        <w:t> </w:t>
      </w:r>
    </w:p>
    <w:p w:rsidR="00000000" w:rsidRDefault="008E203B">
      <w:pPr>
        <w:pStyle w:val="a3"/>
        <w:spacing w:before="0" w:beforeAutospacing="0" w:after="0" w:afterAutospacing="0"/>
        <w:ind w:firstLine="360"/>
        <w:jc w:val="both"/>
        <w:rPr>
          <w:rFonts w:ascii="Times New Roman" w:hAnsi="Times New Roman" w:cs="Times New Roman"/>
          <w:sz w:val="20"/>
          <w:szCs w:val="20"/>
        </w:rPr>
      </w:pPr>
      <w:r>
        <w:rPr>
          <w:rFonts w:ascii="Times New Roman" w:hAnsi="Times New Roman" w:cs="Times New Roman"/>
          <w:sz w:val="20"/>
          <w:szCs w:val="20"/>
        </w:rPr>
        <w:t>During the three months ended March 31, 2019</w:t>
      </w:r>
      <w:r>
        <w:rPr>
          <w:rFonts w:ascii="Times New Roman" w:hAnsi="Times New Roman" w:cs="Times New Roman"/>
          <w:sz w:val="20"/>
          <w:szCs w:val="20"/>
        </w:rPr>
        <w:t>, the Company disposed of five operating properties and two out-parcels, in separate transactions, for an aggregate sales price of $74.2 million. These transactions resulted in aggregate gains of $23.6 million and aggregate impairment charges of $1.0 milli</w:t>
      </w:r>
      <w:r>
        <w:rPr>
          <w:rFonts w:ascii="Times New Roman" w:hAnsi="Times New Roman" w:cs="Times New Roman"/>
          <w:sz w:val="20"/>
          <w:szCs w:val="20"/>
        </w:rPr>
        <w:t>on.</w:t>
      </w:r>
    </w:p>
    <w:p w:rsidR="00000000" w:rsidRDefault="008E203B">
      <w:pPr>
        <w:pStyle w:val="a3"/>
        <w:spacing w:before="0" w:beforeAutospacing="0" w:after="0" w:afterAutospacing="0"/>
        <w:ind w:firstLine="360"/>
        <w:jc w:val="both"/>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ind w:firstLine="360"/>
        <w:jc w:val="both"/>
        <w:rPr>
          <w:rFonts w:ascii="Times New Roman" w:hAnsi="Times New Roman" w:cs="Times New Roman"/>
          <w:sz w:val="20"/>
          <w:szCs w:val="20"/>
        </w:rPr>
      </w:pPr>
      <w:r>
        <w:rPr>
          <w:rFonts w:ascii="Times New Roman" w:hAnsi="Times New Roman" w:cs="Times New Roman"/>
          <w:sz w:val="20"/>
          <w:szCs w:val="20"/>
        </w:rPr>
        <w:t>During the three months ended March 31, 2018, the Company disposed of 20 operating properties (including the deconsolidation of one property) and one out-parcel, in separate transactions, for an aggregate sales price of $522.5 million. These transact</w:t>
      </w:r>
      <w:r>
        <w:rPr>
          <w:rFonts w:ascii="Times New Roman" w:hAnsi="Times New Roman" w:cs="Times New Roman"/>
          <w:sz w:val="20"/>
          <w:szCs w:val="20"/>
        </w:rPr>
        <w:t>ions resulted in aggregate gains of $57.0 million and aggregate impairment charges of $2.4 million.</w:t>
      </w:r>
    </w:p>
    <w:p w:rsidR="00000000" w:rsidRDefault="008E203B">
      <w:pPr>
        <w:pStyle w:val="a3"/>
        <w:spacing w:before="0" w:beforeAutospacing="0" w:after="0" w:afterAutospacing="0"/>
        <w:ind w:firstLine="360"/>
        <w:jc w:val="both"/>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i/>
          <w:iCs/>
          <w:sz w:val="20"/>
          <w:szCs w:val="20"/>
        </w:rPr>
        <w:t xml:space="preserve">Other income, net – </w:t>
      </w:r>
    </w:p>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i/>
          <w:iCs/>
          <w:sz w:val="20"/>
          <w:szCs w:val="20"/>
        </w:rPr>
        <w:t> </w:t>
      </w:r>
    </w:p>
    <w:p w:rsidR="00000000" w:rsidRDefault="008E203B">
      <w:pPr>
        <w:pStyle w:val="a3"/>
        <w:spacing w:before="0" w:beforeAutospacing="0" w:after="0" w:afterAutospacing="0"/>
        <w:ind w:firstLine="360"/>
        <w:jc w:val="both"/>
        <w:rPr>
          <w:rFonts w:ascii="Times New Roman" w:hAnsi="Times New Roman" w:cs="Times New Roman"/>
          <w:sz w:val="20"/>
          <w:szCs w:val="20"/>
        </w:rPr>
      </w:pPr>
      <w:r>
        <w:rPr>
          <w:rFonts w:ascii="Times New Roman" w:hAnsi="Times New Roman" w:cs="Times New Roman"/>
          <w:sz w:val="20"/>
          <w:szCs w:val="20"/>
        </w:rPr>
        <w:t>The decrease in Other income, net of $3.6 million for the three months ended March 31, 2019, as compared to the corresponding period in 2018, is primarily due to (i) the recognition of gain on forgiveness of debt of $4.3 million and relief of accrued inter</w:t>
      </w:r>
      <w:r>
        <w:rPr>
          <w:rFonts w:ascii="Times New Roman" w:hAnsi="Times New Roman" w:cs="Times New Roman"/>
          <w:sz w:val="20"/>
          <w:szCs w:val="20"/>
        </w:rPr>
        <w:t>est expense of $3.4 million resulting from the foreclosure of an encumbered property during the three months ended March 31, 2018, partially offset by (ii) the recognition of a net gain on changes in fair value of available-for-sale marketable securities o</w:t>
      </w:r>
      <w:r>
        <w:rPr>
          <w:rFonts w:ascii="Times New Roman" w:hAnsi="Times New Roman" w:cs="Times New Roman"/>
          <w:sz w:val="20"/>
          <w:szCs w:val="20"/>
        </w:rPr>
        <w:t>f $3.0 million for the three months ended March 31, 2019, as compared to the corresponding period in 2018 and (iii) the recognition of $1.0 million in income relating to the Company’s Puerto Rico properties, resulting from the receipt of casualty insurance</w:t>
      </w:r>
      <w:r>
        <w:rPr>
          <w:rFonts w:ascii="Times New Roman" w:hAnsi="Times New Roman" w:cs="Times New Roman"/>
          <w:sz w:val="20"/>
          <w:szCs w:val="20"/>
        </w:rPr>
        <w:t xml:space="preserve"> claims in excess of the value of the assets written off during the three months ended March 31, 2019.</w:t>
      </w:r>
    </w:p>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i/>
          <w:iCs/>
          <w:sz w:val="20"/>
          <w:szCs w:val="20"/>
        </w:rPr>
        <w:t xml:space="preserve">Interest expense – </w:t>
      </w:r>
    </w:p>
    <w:p w:rsidR="00000000" w:rsidRDefault="008E203B">
      <w:pPr>
        <w:pStyle w:val="a3"/>
        <w:spacing w:before="0" w:beforeAutospacing="0" w:after="0" w:afterAutospacing="0"/>
        <w:ind w:firstLine="360"/>
        <w:jc w:val="both"/>
        <w:rPr>
          <w:rFonts w:ascii="Times New Roman" w:hAnsi="Times New Roman" w:cs="Times New Roman"/>
          <w:sz w:val="20"/>
          <w:szCs w:val="20"/>
        </w:rPr>
      </w:pPr>
      <w:r>
        <w:rPr>
          <w:rFonts w:ascii="Times New Roman" w:hAnsi="Times New Roman" w:cs="Times New Roman"/>
          <w:i/>
          <w:iCs/>
          <w:sz w:val="20"/>
          <w:szCs w:val="20"/>
        </w:rPr>
        <w:t> </w:t>
      </w:r>
    </w:p>
    <w:p w:rsidR="00000000" w:rsidRDefault="008E203B">
      <w:pPr>
        <w:pStyle w:val="a3"/>
        <w:spacing w:before="0" w:beforeAutospacing="0" w:after="0" w:afterAutospacing="0"/>
        <w:ind w:firstLine="360"/>
        <w:jc w:val="both"/>
        <w:rPr>
          <w:rFonts w:ascii="Times New Roman" w:hAnsi="Times New Roman" w:cs="Times New Roman"/>
          <w:sz w:val="20"/>
          <w:szCs w:val="20"/>
        </w:rPr>
      </w:pPr>
      <w:r>
        <w:rPr>
          <w:rFonts w:ascii="Times New Roman" w:hAnsi="Times New Roman" w:cs="Times New Roman"/>
          <w:sz w:val="20"/>
          <w:szCs w:val="20"/>
        </w:rPr>
        <w:t>The decrease in Interest expense of $5.5 million for the three months ended March 31, 2019, as compared to the corresponding period in 2018, is primarily the result of the repayment of maturing debt during 2019 and 2018 and lower levels of borrowings durin</w:t>
      </w:r>
      <w:r>
        <w:rPr>
          <w:rFonts w:ascii="Times New Roman" w:hAnsi="Times New Roman" w:cs="Times New Roman"/>
          <w:sz w:val="20"/>
          <w:szCs w:val="20"/>
        </w:rPr>
        <w:t>g the three months ended March 31, 2019, as compared to the corresponding period in 2018.</w:t>
      </w:r>
    </w:p>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 </w:t>
      </w:r>
    </w:p>
    <w:p w:rsidR="00000000" w:rsidRDefault="008E203B">
      <w:pPr>
        <w:jc w:val="center"/>
        <w:divId w:val="1921139300"/>
        <w:rPr>
          <w:rFonts w:ascii="Times New Roman" w:hAnsi="Times New Roman" w:cs="Times New Roman"/>
          <w:sz w:val="20"/>
          <w:szCs w:val="20"/>
        </w:rPr>
      </w:pPr>
      <w:r>
        <w:rPr>
          <w:rFonts w:ascii="Times New Roman" w:hAnsi="Times New Roman" w:cs="Times New Roman"/>
          <w:sz w:val="20"/>
          <w:szCs w:val="20"/>
        </w:rPr>
        <w:t>23</w:t>
      </w:r>
    </w:p>
    <w:p w:rsidR="00000000" w:rsidRDefault="008E203B">
      <w:pPr>
        <w:divId w:val="1921139300"/>
        <w:rPr>
          <w:rFonts w:ascii="Times New Roman" w:hAnsi="Times New Roman" w:cs="Times New Roman"/>
          <w:sz w:val="20"/>
          <w:szCs w:val="20"/>
        </w:rPr>
      </w:pPr>
      <w:r>
        <w:rPr>
          <w:rFonts w:ascii="Times New Roman" w:hAnsi="Times New Roman" w:cs="Times New Roman"/>
          <w:sz w:val="20"/>
          <w:szCs w:val="20"/>
        </w:rPr>
        <w:pict>
          <v:rect id="_x0000_i1051" style="width:415.3pt;height:1.5pt" o:hralign="center" o:hrstd="t" o:hrnoshade="t" o:hr="t" fillcolor="black" stroked="f"/>
        </w:pict>
      </w:r>
    </w:p>
    <w:p w:rsidR="00000000" w:rsidRDefault="008E203B">
      <w:pPr>
        <w:divId w:val="1921139300"/>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i/>
          <w:iCs/>
          <w:sz w:val="20"/>
          <w:szCs w:val="20"/>
        </w:rPr>
        <w:t xml:space="preserve">Equity in income of other real estate investments, net – </w:t>
      </w:r>
    </w:p>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i/>
          <w:iCs/>
          <w:sz w:val="20"/>
          <w:szCs w:val="20"/>
        </w:rPr>
        <w:t> </w:t>
      </w:r>
    </w:p>
    <w:p w:rsidR="00000000" w:rsidRDefault="008E203B">
      <w:pPr>
        <w:pStyle w:val="a3"/>
        <w:spacing w:before="0" w:beforeAutospacing="0" w:after="0" w:afterAutospacing="0"/>
        <w:ind w:firstLine="360"/>
        <w:jc w:val="both"/>
        <w:rPr>
          <w:rFonts w:ascii="Times New Roman" w:hAnsi="Times New Roman" w:cs="Times New Roman"/>
          <w:sz w:val="20"/>
          <w:szCs w:val="20"/>
        </w:rPr>
      </w:pPr>
      <w:r>
        <w:rPr>
          <w:rFonts w:ascii="Times New Roman" w:hAnsi="Times New Roman" w:cs="Times New Roman"/>
          <w:sz w:val="20"/>
          <w:szCs w:val="20"/>
        </w:rPr>
        <w:t>The decrease in Equity in income of other real estate investments, net of $3.8 million for the three months ended March 31, 2019, as compared to the corresponding period in 2018, is primarily due to a decrease in earnings and profit participation from capi</w:t>
      </w:r>
      <w:r>
        <w:rPr>
          <w:rFonts w:ascii="Times New Roman" w:hAnsi="Times New Roman" w:cs="Times New Roman"/>
          <w:sz w:val="20"/>
          <w:szCs w:val="20"/>
        </w:rPr>
        <w:t>tal transactions related to the Company’s Preferred Equity Program during the three months ended March 31, 2019, as compared to the corresponding period in 2018.</w:t>
      </w:r>
    </w:p>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 </w:t>
      </w:r>
      <w:r>
        <w:rPr>
          <w:rFonts w:ascii="Times New Roman" w:hAnsi="Times New Roman" w:cs="Times New Roman"/>
          <w:sz w:val="20"/>
          <w:szCs w:val="20"/>
          <w:u w:val="single"/>
        </w:rPr>
        <w:t>Tenant Concentration</w:t>
      </w:r>
    </w:p>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ind w:firstLine="360"/>
        <w:jc w:val="both"/>
        <w:rPr>
          <w:rFonts w:ascii="Times New Roman" w:hAnsi="Times New Roman" w:cs="Times New Roman"/>
          <w:sz w:val="20"/>
          <w:szCs w:val="20"/>
        </w:rPr>
      </w:pPr>
      <w:r>
        <w:rPr>
          <w:rFonts w:ascii="Times New Roman" w:hAnsi="Times New Roman" w:cs="Times New Roman"/>
          <w:sz w:val="20"/>
          <w:szCs w:val="20"/>
        </w:rPr>
        <w:t xml:space="preserve">The Company seeks to reduce its operating and leasing risks through </w:t>
      </w:r>
      <w:r>
        <w:rPr>
          <w:rFonts w:ascii="Times New Roman" w:hAnsi="Times New Roman" w:cs="Times New Roman"/>
          <w:sz w:val="20"/>
          <w:szCs w:val="20"/>
        </w:rPr>
        <w:t>diversification achieved by the geographic distribution of its properties and a large tenant base. At March 31, 2019, the Company’s five largest tenants were TJX Companies, Home Depot, Ahold Delhaize USA, Albertsons and PetSmart, which represented 3.8%, 2.</w:t>
      </w:r>
      <w:r>
        <w:rPr>
          <w:rFonts w:ascii="Times New Roman" w:hAnsi="Times New Roman" w:cs="Times New Roman"/>
          <w:sz w:val="20"/>
          <w:szCs w:val="20"/>
        </w:rPr>
        <w:t>6%, 2.2%, 2.0% and 1.9%, respectively, of the Company’s annualized base rental revenues, including the proportionate share of base rental revenues from properties in which the Company has less than a 100% economic interest.</w:t>
      </w:r>
    </w:p>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u w:val="single"/>
        </w:rPr>
        <w:t>Liquidity and Capital Resource</w:t>
      </w:r>
      <w:r>
        <w:rPr>
          <w:rFonts w:ascii="Times New Roman" w:hAnsi="Times New Roman" w:cs="Times New Roman"/>
          <w:sz w:val="20"/>
          <w:szCs w:val="20"/>
          <w:u w:val="single"/>
        </w:rPr>
        <w:t>s</w:t>
      </w:r>
    </w:p>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ind w:firstLine="360"/>
        <w:jc w:val="both"/>
        <w:rPr>
          <w:rFonts w:ascii="Times New Roman" w:hAnsi="Times New Roman" w:cs="Times New Roman"/>
          <w:sz w:val="20"/>
          <w:szCs w:val="20"/>
        </w:rPr>
      </w:pPr>
      <w:r>
        <w:rPr>
          <w:rFonts w:ascii="Times New Roman" w:hAnsi="Times New Roman" w:cs="Times New Roman"/>
          <w:sz w:val="20"/>
          <w:szCs w:val="20"/>
        </w:rPr>
        <w:t>The Company’s capital resources include accessing the public debt and equity capital markets, mortgages and construction loan financing, and immediate access to an unsecured revolving credit facility (the “Credit Facility”) with bank commitments of $2.</w:t>
      </w:r>
      <w:r>
        <w:rPr>
          <w:rFonts w:ascii="Times New Roman" w:hAnsi="Times New Roman" w:cs="Times New Roman"/>
          <w:sz w:val="20"/>
          <w:szCs w:val="20"/>
        </w:rPr>
        <w:t>25 billion which can be increased to $2.75 billion through an accordion feature.</w:t>
      </w:r>
    </w:p>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ind w:firstLine="360"/>
        <w:jc w:val="both"/>
        <w:rPr>
          <w:rFonts w:ascii="Times New Roman" w:hAnsi="Times New Roman" w:cs="Times New Roman"/>
          <w:sz w:val="20"/>
          <w:szCs w:val="20"/>
        </w:rPr>
      </w:pPr>
      <w:r>
        <w:rPr>
          <w:rFonts w:ascii="Times New Roman" w:hAnsi="Times New Roman" w:cs="Times New Roman"/>
          <w:sz w:val="20"/>
          <w:szCs w:val="20"/>
        </w:rPr>
        <w:t>The Company’s cash flow activities are summarized as follows (in thousands): </w:t>
      </w:r>
    </w:p>
    <w:p w:rsidR="00000000" w:rsidRDefault="008E203B">
      <w:pPr>
        <w:pStyle w:val="a3"/>
        <w:spacing w:before="0" w:beforeAutospacing="0" w:after="0" w:afterAutospacing="0"/>
        <w:ind w:firstLine="360"/>
        <w:jc w:val="both"/>
        <w:rPr>
          <w:rFonts w:ascii="Times New Roman" w:hAnsi="Times New Roman" w:cs="Times New Roman"/>
          <w:sz w:val="20"/>
          <w:szCs w:val="20"/>
        </w:rPr>
      </w:pPr>
      <w:r>
        <w:rPr>
          <w:rFonts w:ascii="Times New Roman" w:hAnsi="Times New Roman" w:cs="Times New Roman"/>
          <w:sz w:val="20"/>
          <w:szCs w:val="20"/>
        </w:rPr>
        <w:t> </w:t>
      </w:r>
    </w:p>
    <w:tbl>
      <w:tblPr>
        <w:tblW w:w="4250" w:type="pct"/>
        <w:tblCellSpacing w:w="0" w:type="dxa"/>
        <w:tblInd w:w="7" w:type="dxa"/>
        <w:tblCellMar>
          <w:left w:w="0" w:type="dxa"/>
          <w:right w:w="0" w:type="dxa"/>
        </w:tblCellMar>
        <w:tblLook w:val="04A0" w:firstRow="1" w:lastRow="0" w:firstColumn="1" w:lastColumn="0" w:noHBand="0" w:noVBand="1"/>
      </w:tblPr>
      <w:tblGrid>
        <w:gridCol w:w="4508"/>
        <w:gridCol w:w="61"/>
        <w:gridCol w:w="100"/>
        <w:gridCol w:w="1049"/>
        <w:gridCol w:w="67"/>
        <w:gridCol w:w="57"/>
        <w:gridCol w:w="100"/>
        <w:gridCol w:w="1051"/>
        <w:gridCol w:w="67"/>
      </w:tblGrid>
      <w:tr w:rsidR="00000000">
        <w:trPr>
          <w:tblCellSpacing w:w="0" w:type="dxa"/>
        </w:trPr>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gridSpan w:val="6"/>
            <w:tcBorders>
              <w:bottom w:val="single" w:sz="6" w:space="0" w:color="000000"/>
            </w:tcBorders>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Three Months Ended March 31,</w:t>
            </w:r>
          </w:p>
        </w:tc>
        <w:tc>
          <w:tcPr>
            <w:tcW w:w="0" w:type="auto"/>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tblCellSpacing w:w="0" w:type="dxa"/>
        </w:trPr>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gridSpan w:val="2"/>
            <w:tcBorders>
              <w:bottom w:val="single" w:sz="6" w:space="0" w:color="000000"/>
            </w:tcBorders>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2019</w:t>
            </w:r>
          </w:p>
        </w:tc>
        <w:tc>
          <w:tcPr>
            <w:tcW w:w="0" w:type="auto"/>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gridSpan w:val="2"/>
            <w:tcBorders>
              <w:bottom w:val="single" w:sz="6" w:space="0" w:color="000000"/>
            </w:tcBorders>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2018</w:t>
            </w:r>
          </w:p>
        </w:tc>
        <w:tc>
          <w:tcPr>
            <w:tcW w:w="0" w:type="auto"/>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tblCellSpacing w:w="0" w:type="dxa"/>
        </w:trPr>
        <w:tc>
          <w:tcPr>
            <w:tcW w:w="3200" w:type="pct"/>
            <w:shd w:val="clear" w:color="auto" w:fill="CCEEFF"/>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Cash and cash equivalents, beginning of the period</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single" w:sz="6" w:space="0" w:color="000000"/>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750" w:type="pct"/>
            <w:tcBorders>
              <w:bottom w:val="single" w:sz="6" w:space="0" w:color="000000"/>
            </w:tcBorders>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143,581</w:t>
            </w:r>
          </w:p>
        </w:tc>
        <w:tc>
          <w:tcPr>
            <w:tcW w:w="50" w:type="pct"/>
            <w:shd w:val="clear" w:color="auto" w:fill="CCEEFF"/>
            <w:noWrap/>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single" w:sz="6" w:space="0" w:color="000000"/>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750" w:type="pct"/>
            <w:tcBorders>
              <w:bottom w:val="single" w:sz="6" w:space="0" w:color="000000"/>
            </w:tcBorders>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238,513</w:t>
            </w:r>
          </w:p>
        </w:tc>
        <w:tc>
          <w:tcPr>
            <w:tcW w:w="50" w:type="pct"/>
            <w:shd w:val="clear" w:color="auto" w:fill="CCEEFF"/>
            <w:noWrap/>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tblCellSpacing w:w="0" w:type="dxa"/>
        </w:trPr>
        <w:tc>
          <w:tcPr>
            <w:tcW w:w="0" w:type="auto"/>
            <w:shd w:val="clear" w:color="auto" w:fill="FFFFFF"/>
            <w:vAlign w:val="bottom"/>
            <w:hideMark/>
          </w:tcPr>
          <w:p w:rsidR="00000000" w:rsidRDefault="008E203B">
            <w:pPr>
              <w:pStyle w:val="a3"/>
              <w:spacing w:before="0" w:beforeAutospacing="0" w:after="0" w:afterAutospacing="0"/>
              <w:ind w:left="180"/>
              <w:rPr>
                <w:rFonts w:ascii="Times New Roman" w:hAnsi="Times New Roman" w:cs="Times New Roman"/>
                <w:sz w:val="20"/>
                <w:szCs w:val="20"/>
              </w:rPr>
            </w:pPr>
            <w:r>
              <w:rPr>
                <w:rFonts w:ascii="Times New Roman" w:hAnsi="Times New Roman" w:cs="Times New Roman"/>
                <w:sz w:val="20"/>
                <w:szCs w:val="20"/>
              </w:rPr>
              <w:t>Net cash flow provided by operating activities</w:t>
            </w:r>
          </w:p>
        </w:tc>
        <w:tc>
          <w:tcPr>
            <w:tcW w:w="50" w:type="pct"/>
            <w:tcBorders>
              <w:bottom w:val="nil"/>
            </w:tcBorders>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nil"/>
            </w:tcBorders>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750" w:type="pct"/>
            <w:tcBorders>
              <w:bottom w:val="nil"/>
            </w:tcBorders>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155,258</w:t>
            </w:r>
          </w:p>
        </w:tc>
        <w:tc>
          <w:tcPr>
            <w:tcW w:w="50" w:type="pct"/>
            <w:tcBorders>
              <w:bottom w:val="nil"/>
            </w:tcBorders>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nil"/>
            </w:tcBorders>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nil"/>
            </w:tcBorders>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750" w:type="pct"/>
            <w:tcBorders>
              <w:bottom w:val="nil"/>
            </w:tcBorders>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192,279</w:t>
            </w:r>
          </w:p>
        </w:tc>
        <w:tc>
          <w:tcPr>
            <w:tcW w:w="50" w:type="pct"/>
            <w:tcBorders>
              <w:bottom w:val="nil"/>
            </w:tcBorders>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tblCellSpacing w:w="0" w:type="dxa"/>
        </w:trPr>
        <w:tc>
          <w:tcPr>
            <w:tcW w:w="0" w:type="auto"/>
            <w:shd w:val="clear" w:color="auto" w:fill="CCEEFF"/>
            <w:vAlign w:val="bottom"/>
            <w:hideMark/>
          </w:tcPr>
          <w:p w:rsidR="00000000" w:rsidRDefault="008E203B">
            <w:pPr>
              <w:pStyle w:val="a3"/>
              <w:spacing w:before="0" w:beforeAutospacing="0" w:after="0" w:afterAutospacing="0"/>
              <w:ind w:left="180"/>
              <w:rPr>
                <w:rFonts w:ascii="Times New Roman" w:hAnsi="Times New Roman" w:cs="Times New Roman"/>
                <w:sz w:val="20"/>
                <w:szCs w:val="20"/>
              </w:rPr>
            </w:pPr>
            <w:r>
              <w:rPr>
                <w:rFonts w:ascii="Times New Roman" w:hAnsi="Times New Roman" w:cs="Times New Roman"/>
                <w:sz w:val="20"/>
                <w:szCs w:val="20"/>
              </w:rPr>
              <w:t>Net cash flow (used for)/provided by investing activities</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75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(15,542</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75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79,426</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tblCellSpacing w:w="0" w:type="dxa"/>
        </w:trPr>
        <w:tc>
          <w:tcPr>
            <w:tcW w:w="0" w:type="auto"/>
            <w:shd w:val="clear" w:color="auto" w:fill="FFFFFF"/>
            <w:vAlign w:val="bottom"/>
            <w:hideMark/>
          </w:tcPr>
          <w:p w:rsidR="00000000" w:rsidRDefault="008E203B">
            <w:pPr>
              <w:pStyle w:val="a3"/>
              <w:spacing w:before="0" w:beforeAutospacing="0" w:after="0" w:afterAutospacing="0"/>
              <w:ind w:left="180"/>
              <w:rPr>
                <w:rFonts w:ascii="Times New Roman" w:hAnsi="Times New Roman" w:cs="Times New Roman"/>
                <w:sz w:val="20"/>
                <w:szCs w:val="20"/>
              </w:rPr>
            </w:pPr>
            <w:r>
              <w:rPr>
                <w:rFonts w:ascii="Times New Roman" w:hAnsi="Times New Roman" w:cs="Times New Roman"/>
                <w:sz w:val="20"/>
                <w:szCs w:val="20"/>
              </w:rPr>
              <w:t>Net cash flow used for financing activities</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single" w:sz="6" w:space="0" w:color="000000"/>
            </w:tcBorders>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750" w:type="pct"/>
            <w:tcBorders>
              <w:bottom w:val="single" w:sz="6" w:space="0" w:color="000000"/>
            </w:tcBorders>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(139,624</w:t>
            </w:r>
          </w:p>
        </w:tc>
        <w:tc>
          <w:tcPr>
            <w:tcW w:w="50" w:type="pct"/>
            <w:shd w:val="clear" w:color="auto" w:fill="FFFFFF"/>
            <w:noWrap/>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single" w:sz="6" w:space="0" w:color="000000"/>
            </w:tcBorders>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750" w:type="pct"/>
            <w:tcBorders>
              <w:bottom w:val="single" w:sz="6" w:space="0" w:color="000000"/>
            </w:tcBorders>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(291,905</w:t>
            </w:r>
          </w:p>
        </w:tc>
        <w:tc>
          <w:tcPr>
            <w:tcW w:w="50" w:type="pct"/>
            <w:shd w:val="clear" w:color="auto" w:fill="FFFFFF"/>
            <w:noWrap/>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r>
      <w:tr w:rsidR="00000000">
        <w:trPr>
          <w:tblCellSpacing w:w="0" w:type="dxa"/>
        </w:trPr>
        <w:tc>
          <w:tcPr>
            <w:tcW w:w="0" w:type="auto"/>
            <w:shd w:val="clear" w:color="auto" w:fill="CCEEFF"/>
            <w:vAlign w:val="bottom"/>
            <w:hideMark/>
          </w:tcPr>
          <w:p w:rsidR="00000000" w:rsidRDefault="008E203B">
            <w:pPr>
              <w:pStyle w:val="a3"/>
              <w:spacing w:before="0" w:beforeAutospacing="0" w:after="0" w:afterAutospacing="0"/>
              <w:ind w:left="360"/>
              <w:rPr>
                <w:rFonts w:ascii="Times New Roman" w:hAnsi="Times New Roman" w:cs="Times New Roman"/>
                <w:sz w:val="20"/>
                <w:szCs w:val="20"/>
              </w:rPr>
            </w:pPr>
            <w:r>
              <w:rPr>
                <w:rFonts w:ascii="Times New Roman" w:hAnsi="Times New Roman" w:cs="Times New Roman"/>
                <w:sz w:val="20"/>
                <w:szCs w:val="20"/>
              </w:rPr>
              <w:t>Net change in cash and cash equivalents</w:t>
            </w:r>
          </w:p>
        </w:tc>
        <w:tc>
          <w:tcPr>
            <w:tcW w:w="50" w:type="pct"/>
            <w:shd w:val="clear" w:color="auto" w:fill="CCEEFF"/>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single" w:sz="6" w:space="0" w:color="000000"/>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750" w:type="pct"/>
            <w:tcBorders>
              <w:bottom w:val="single" w:sz="6" w:space="0" w:color="000000"/>
            </w:tcBorders>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92</w:t>
            </w:r>
          </w:p>
        </w:tc>
        <w:tc>
          <w:tcPr>
            <w:tcW w:w="50" w:type="pct"/>
            <w:shd w:val="clear" w:color="auto" w:fill="CCEEFF"/>
            <w:noWrap/>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single" w:sz="6" w:space="0" w:color="000000"/>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750" w:type="pct"/>
            <w:tcBorders>
              <w:bottom w:val="single" w:sz="6" w:space="0" w:color="000000"/>
            </w:tcBorders>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(20,200</w:t>
            </w:r>
          </w:p>
        </w:tc>
        <w:tc>
          <w:tcPr>
            <w:tcW w:w="50" w:type="pct"/>
            <w:shd w:val="clear" w:color="auto" w:fill="CCEEFF"/>
            <w:noWrap/>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r>
      <w:tr w:rsidR="00000000">
        <w:trPr>
          <w:tblCellSpacing w:w="0" w:type="dxa"/>
        </w:trPr>
        <w:tc>
          <w:tcPr>
            <w:tcW w:w="0" w:type="auto"/>
            <w:shd w:val="clear" w:color="auto" w:fill="FFFFFF"/>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Cash and cash equivalents, end of the period</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double" w:sz="6" w:space="0" w:color="000000"/>
            </w:tcBorders>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750" w:type="pct"/>
            <w:tcBorders>
              <w:bottom w:val="double" w:sz="6" w:space="0" w:color="000000"/>
            </w:tcBorders>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143,673</w:t>
            </w:r>
          </w:p>
        </w:tc>
        <w:tc>
          <w:tcPr>
            <w:tcW w:w="50" w:type="pct"/>
            <w:shd w:val="clear" w:color="auto" w:fill="FFFFFF"/>
            <w:noWrap/>
            <w:tcMar>
              <w:top w:w="0" w:type="dxa"/>
              <w:left w:w="0" w:type="dxa"/>
              <w:bottom w:w="4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double" w:sz="6" w:space="0" w:color="000000"/>
            </w:tcBorders>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750" w:type="pct"/>
            <w:tcBorders>
              <w:bottom w:val="double" w:sz="6" w:space="0" w:color="000000"/>
            </w:tcBorders>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218,313</w:t>
            </w:r>
          </w:p>
        </w:tc>
        <w:tc>
          <w:tcPr>
            <w:tcW w:w="50" w:type="pct"/>
            <w:shd w:val="clear" w:color="auto" w:fill="FFFFFF"/>
            <w:noWrap/>
            <w:tcMar>
              <w:top w:w="0" w:type="dxa"/>
              <w:left w:w="0" w:type="dxa"/>
              <w:bottom w:w="4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bl>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u w:val="single"/>
        </w:rPr>
        <w:t>Operating Activities</w:t>
      </w:r>
    </w:p>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ind w:firstLine="360"/>
        <w:jc w:val="both"/>
        <w:rPr>
          <w:rFonts w:ascii="Times New Roman" w:hAnsi="Times New Roman" w:cs="Times New Roman"/>
          <w:sz w:val="20"/>
          <w:szCs w:val="20"/>
        </w:rPr>
      </w:pPr>
      <w:r>
        <w:rPr>
          <w:rFonts w:ascii="Times New Roman" w:hAnsi="Times New Roman" w:cs="Times New Roman"/>
          <w:sz w:val="20"/>
          <w:szCs w:val="20"/>
        </w:rPr>
        <w:t>The Company anticipates that cash on hand, net cash flow provided by </w:t>
      </w:r>
      <w:r>
        <w:rPr>
          <w:rFonts w:ascii="Times New Roman" w:hAnsi="Times New Roman" w:cs="Times New Roman"/>
          <w:sz w:val="20"/>
          <w:szCs w:val="20"/>
        </w:rPr>
        <w:t>operating activities, borrowings under its Credit Facility, and the issuance of equity and public debt, as well as other debt and equity alternatives, will provide the necessary capital required by the Company.  </w:t>
      </w:r>
    </w:p>
    <w:p w:rsidR="00000000" w:rsidRDefault="008E203B">
      <w:pPr>
        <w:pStyle w:val="a3"/>
        <w:spacing w:before="0" w:beforeAutospacing="0" w:after="0" w:afterAutospacing="0"/>
        <w:ind w:firstLine="360"/>
        <w:jc w:val="both"/>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ind w:firstLine="360"/>
        <w:jc w:val="both"/>
        <w:rPr>
          <w:rFonts w:ascii="Times New Roman" w:hAnsi="Times New Roman" w:cs="Times New Roman"/>
          <w:sz w:val="20"/>
          <w:szCs w:val="20"/>
        </w:rPr>
      </w:pPr>
      <w:r>
        <w:rPr>
          <w:rFonts w:ascii="Times New Roman" w:hAnsi="Times New Roman" w:cs="Times New Roman"/>
          <w:sz w:val="20"/>
          <w:szCs w:val="20"/>
        </w:rPr>
        <w:t>Net cash flow provided by operating activities for the three months ended March 31, 2019, was $155.3 million, as compared to $192.3 million for the comparable period in 2018. The decrease of $37.0 million is primarily attributable to:</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360" w:type="dxa"/>
            <w:hideMark/>
          </w:tcPr>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w:t>
            </w:r>
          </w:p>
        </w:tc>
        <w:tc>
          <w:tcPr>
            <w:tcW w:w="0" w:type="auto"/>
            <w:hideMark/>
          </w:tcPr>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changes in operat</w:t>
            </w:r>
            <w:r>
              <w:rPr>
                <w:rFonts w:ascii="Times New Roman" w:hAnsi="Times New Roman" w:cs="Times New Roman"/>
                <w:sz w:val="20"/>
                <w:szCs w:val="20"/>
              </w:rPr>
              <w:t>ing assets and liabilities due to timing of receipts and payments;</w:t>
            </w:r>
          </w:p>
        </w:tc>
      </w:tr>
    </w:tbl>
    <w:p w:rsidR="00000000" w:rsidRDefault="008E203B">
      <w:pPr>
        <w:rPr>
          <w:rFonts w:ascii="Times New Roman" w:hAnsi="Times New Roman" w:cs="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360" w:type="dxa"/>
            <w:hideMark/>
          </w:tcPr>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w:t>
            </w:r>
          </w:p>
        </w:tc>
        <w:tc>
          <w:tcPr>
            <w:tcW w:w="0" w:type="auto"/>
            <w:hideMark/>
          </w:tcPr>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the disposition of operating properties in 2019 and 2018; and</w:t>
            </w:r>
          </w:p>
        </w:tc>
      </w:tr>
    </w:tbl>
    <w:p w:rsidR="00000000" w:rsidRDefault="008E203B">
      <w:pPr>
        <w:rPr>
          <w:rFonts w:ascii="Times New Roman" w:hAnsi="Times New Roman" w:cs="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360" w:type="dxa"/>
            <w:hideMark/>
          </w:tcPr>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w:t>
            </w:r>
          </w:p>
        </w:tc>
        <w:tc>
          <w:tcPr>
            <w:tcW w:w="0" w:type="auto"/>
            <w:hideMark/>
          </w:tcPr>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a decrease in distributions from the Company’s joint venture programs; partially offset by</w:t>
            </w:r>
          </w:p>
        </w:tc>
      </w:tr>
    </w:tbl>
    <w:p w:rsidR="00000000" w:rsidRDefault="008E203B">
      <w:pPr>
        <w:rPr>
          <w:rFonts w:ascii="Times New Roman" w:hAnsi="Times New Roman" w:cs="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360" w:type="dxa"/>
            <w:hideMark/>
          </w:tcPr>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w:t>
            </w:r>
          </w:p>
        </w:tc>
        <w:tc>
          <w:tcPr>
            <w:tcW w:w="0" w:type="auto"/>
            <w:hideMark/>
          </w:tcPr>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new leasing, expan</w:t>
            </w:r>
            <w:r>
              <w:rPr>
                <w:rFonts w:ascii="Times New Roman" w:hAnsi="Times New Roman" w:cs="Times New Roman"/>
                <w:sz w:val="20"/>
                <w:szCs w:val="20"/>
              </w:rPr>
              <w:t>sion and re-tenanting of core portfolio properties; and</w:t>
            </w:r>
          </w:p>
        </w:tc>
      </w:tr>
    </w:tbl>
    <w:p w:rsidR="00000000" w:rsidRDefault="008E203B">
      <w:pPr>
        <w:rPr>
          <w:rFonts w:ascii="Times New Roman" w:hAnsi="Times New Roman" w:cs="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360" w:type="dxa"/>
            <w:hideMark/>
          </w:tcPr>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w:t>
            </w:r>
          </w:p>
        </w:tc>
        <w:tc>
          <w:tcPr>
            <w:tcW w:w="0" w:type="auto"/>
            <w:hideMark/>
          </w:tcPr>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the acquisition of operating properties during 2019.</w:t>
            </w:r>
          </w:p>
        </w:tc>
      </w:tr>
    </w:tbl>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ind w:firstLine="360"/>
        <w:jc w:val="both"/>
        <w:rPr>
          <w:rFonts w:ascii="Times New Roman" w:hAnsi="Times New Roman" w:cs="Times New Roman"/>
          <w:sz w:val="20"/>
          <w:szCs w:val="20"/>
        </w:rPr>
      </w:pPr>
      <w:r>
        <w:rPr>
          <w:rFonts w:ascii="Times New Roman" w:hAnsi="Times New Roman" w:cs="Times New Roman"/>
          <w:sz w:val="20"/>
          <w:szCs w:val="20"/>
        </w:rPr>
        <w:t>During the three months ended March 31, 2019 and 2018, the Company capitalized personnel costs of $0.6 million and $2.9 million, respectively, relating to deferred leasing costs.</w:t>
      </w:r>
    </w:p>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u w:val="single"/>
        </w:rPr>
        <w:t>Investing Activities</w:t>
      </w:r>
    </w:p>
    <w:p w:rsidR="00000000" w:rsidRDefault="008E203B">
      <w:pPr>
        <w:pStyle w:val="a3"/>
        <w:spacing w:before="0" w:beforeAutospacing="0" w:after="0" w:afterAutospacing="0"/>
        <w:ind w:firstLine="360"/>
        <w:jc w:val="both"/>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ind w:firstLine="360"/>
        <w:jc w:val="both"/>
        <w:rPr>
          <w:rFonts w:ascii="Times New Roman" w:hAnsi="Times New Roman" w:cs="Times New Roman"/>
          <w:sz w:val="20"/>
          <w:szCs w:val="20"/>
        </w:rPr>
      </w:pPr>
      <w:r>
        <w:rPr>
          <w:rFonts w:ascii="Times New Roman" w:hAnsi="Times New Roman" w:cs="Times New Roman"/>
          <w:sz w:val="20"/>
          <w:szCs w:val="20"/>
        </w:rPr>
        <w:t>Net cash flow used for investing activities was $15.</w:t>
      </w:r>
      <w:r>
        <w:rPr>
          <w:rFonts w:ascii="Times New Roman" w:hAnsi="Times New Roman" w:cs="Times New Roman"/>
          <w:sz w:val="20"/>
          <w:szCs w:val="20"/>
        </w:rPr>
        <w:t>5 million for the three months ended March 31, 2019, as compared to net cash flow provided by investing activities of $79.4 million for the comparable period in 2018.</w:t>
      </w:r>
    </w:p>
    <w:p w:rsidR="00000000" w:rsidRDefault="008E203B">
      <w:pPr>
        <w:pStyle w:val="a3"/>
        <w:spacing w:before="0" w:beforeAutospacing="0" w:after="0" w:afterAutospacing="0"/>
        <w:ind w:firstLine="360"/>
        <w:jc w:val="both"/>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ind w:firstLine="360"/>
        <w:jc w:val="both"/>
        <w:rPr>
          <w:rFonts w:ascii="Times New Roman" w:hAnsi="Times New Roman" w:cs="Times New Roman"/>
          <w:sz w:val="20"/>
          <w:szCs w:val="20"/>
        </w:rPr>
      </w:pPr>
      <w:r>
        <w:rPr>
          <w:rFonts w:ascii="Times New Roman" w:hAnsi="Times New Roman" w:cs="Times New Roman"/>
          <w:sz w:val="20"/>
          <w:szCs w:val="20"/>
        </w:rPr>
        <w:t>Investing activities during 2019 primarily consisted of:</w:t>
      </w:r>
    </w:p>
    <w:p w:rsidR="00000000" w:rsidRDefault="008E203B">
      <w:pPr>
        <w:pStyle w:val="a3"/>
        <w:spacing w:before="0" w:beforeAutospacing="0" w:after="0" w:afterAutospacing="0"/>
        <w:ind w:firstLine="540"/>
        <w:jc w:val="both"/>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ind w:firstLine="540"/>
        <w:jc w:val="both"/>
        <w:rPr>
          <w:rFonts w:ascii="Times New Roman" w:hAnsi="Times New Roman" w:cs="Times New Roman"/>
          <w:sz w:val="20"/>
          <w:szCs w:val="20"/>
        </w:rPr>
      </w:pPr>
      <w:r>
        <w:rPr>
          <w:rFonts w:ascii="Times New Roman" w:hAnsi="Times New Roman" w:cs="Times New Roman"/>
          <w:sz w:val="20"/>
          <w:szCs w:val="20"/>
        </w:rPr>
        <w:t>Cash inflows:</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360" w:type="dxa"/>
            <w:hideMark/>
          </w:tcPr>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w:t>
            </w:r>
          </w:p>
        </w:tc>
        <w:tc>
          <w:tcPr>
            <w:tcW w:w="0" w:type="auto"/>
            <w:hideMark/>
          </w:tcPr>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$72.1 mill</w:t>
            </w:r>
            <w:r>
              <w:rPr>
                <w:rFonts w:ascii="Times New Roman" w:hAnsi="Times New Roman" w:cs="Times New Roman"/>
                <w:sz w:val="20"/>
                <w:szCs w:val="20"/>
              </w:rPr>
              <w:t>ion in proceeds from the sale of five consolidated operating properties and two out-parcels.</w:t>
            </w:r>
          </w:p>
        </w:tc>
      </w:tr>
    </w:tbl>
    <w:p w:rsidR="00000000" w:rsidRDefault="008E203B">
      <w:pPr>
        <w:pStyle w:val="a3"/>
        <w:spacing w:before="0" w:beforeAutospacing="0" w:after="0" w:afterAutospacing="0"/>
        <w:ind w:left="1080"/>
        <w:jc w:val="both"/>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ind w:firstLine="540"/>
        <w:jc w:val="both"/>
        <w:rPr>
          <w:rFonts w:ascii="Times New Roman" w:hAnsi="Times New Roman" w:cs="Times New Roman"/>
          <w:sz w:val="20"/>
          <w:szCs w:val="20"/>
        </w:rPr>
      </w:pPr>
      <w:r>
        <w:rPr>
          <w:rFonts w:ascii="Times New Roman" w:hAnsi="Times New Roman" w:cs="Times New Roman"/>
          <w:sz w:val="20"/>
          <w:szCs w:val="20"/>
        </w:rPr>
        <w:t>Cash outflows:</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360" w:type="dxa"/>
            <w:hideMark/>
          </w:tcPr>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w:t>
            </w:r>
          </w:p>
        </w:tc>
        <w:tc>
          <w:tcPr>
            <w:tcW w:w="0" w:type="auto"/>
            <w:hideMark/>
          </w:tcPr>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$77.6 million for improvements to operating real estate primarily related to the Company’s active redevelopment pipeline and improvements to real estate under development; and</w:t>
            </w:r>
          </w:p>
        </w:tc>
      </w:tr>
    </w:tbl>
    <w:p w:rsidR="00000000" w:rsidRDefault="008E203B">
      <w:pPr>
        <w:rPr>
          <w:rFonts w:ascii="Times New Roman" w:hAnsi="Times New Roman" w:cs="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360" w:type="dxa"/>
            <w:hideMark/>
          </w:tcPr>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w:t>
            </w:r>
          </w:p>
        </w:tc>
        <w:tc>
          <w:tcPr>
            <w:tcW w:w="0" w:type="auto"/>
            <w:hideMark/>
          </w:tcPr>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$12.4 million for investments in and advances to real estate joint venture</w:t>
            </w:r>
            <w:r>
              <w:rPr>
                <w:rFonts w:ascii="Times New Roman" w:hAnsi="Times New Roman" w:cs="Times New Roman"/>
                <w:sz w:val="20"/>
                <w:szCs w:val="20"/>
              </w:rPr>
              <w:t>s, primarily related to a redevelopment project within the Company’s joint venture portfolio, and investments in other real estate investments, primarily related to repayment of a mortgage within the Company’s Preferred Equity Program.</w:t>
            </w:r>
          </w:p>
        </w:tc>
      </w:tr>
    </w:tbl>
    <w:p w:rsidR="00000000" w:rsidRDefault="008E203B">
      <w:pPr>
        <w:pStyle w:val="a3"/>
        <w:spacing w:before="0" w:beforeAutospacing="0" w:after="0" w:afterAutospacing="0"/>
        <w:ind w:left="720"/>
        <w:jc w:val="both"/>
        <w:rPr>
          <w:rFonts w:ascii="Times New Roman" w:hAnsi="Times New Roman" w:cs="Times New Roman"/>
          <w:sz w:val="20"/>
          <w:szCs w:val="20"/>
        </w:rPr>
      </w:pPr>
      <w:r>
        <w:rPr>
          <w:rFonts w:ascii="Times New Roman" w:hAnsi="Times New Roman" w:cs="Times New Roman"/>
          <w:sz w:val="20"/>
          <w:szCs w:val="20"/>
        </w:rPr>
        <w:t> </w:t>
      </w:r>
    </w:p>
    <w:p w:rsidR="00000000" w:rsidRDefault="008E203B">
      <w:pPr>
        <w:jc w:val="center"/>
        <w:divId w:val="448014065"/>
        <w:rPr>
          <w:rFonts w:ascii="Times New Roman" w:hAnsi="Times New Roman" w:cs="Times New Roman"/>
          <w:sz w:val="20"/>
          <w:szCs w:val="20"/>
        </w:rPr>
      </w:pPr>
      <w:r>
        <w:rPr>
          <w:rFonts w:ascii="Times New Roman" w:hAnsi="Times New Roman" w:cs="Times New Roman"/>
          <w:sz w:val="20"/>
          <w:szCs w:val="20"/>
        </w:rPr>
        <w:t>24</w:t>
      </w:r>
    </w:p>
    <w:p w:rsidR="00000000" w:rsidRDefault="008E203B">
      <w:pPr>
        <w:divId w:val="448014065"/>
        <w:rPr>
          <w:rFonts w:ascii="Times New Roman" w:hAnsi="Times New Roman" w:cs="Times New Roman"/>
          <w:sz w:val="20"/>
          <w:szCs w:val="20"/>
        </w:rPr>
      </w:pPr>
      <w:r>
        <w:rPr>
          <w:rFonts w:ascii="Times New Roman" w:hAnsi="Times New Roman" w:cs="Times New Roman"/>
          <w:sz w:val="20"/>
          <w:szCs w:val="20"/>
        </w:rPr>
        <w:pict>
          <v:rect id="_x0000_i1052" style="width:415.3pt;height:1.5pt" o:hralign="center" o:hrstd="t" o:hrnoshade="t" o:hr="t" fillcolor="black" stroked="f"/>
        </w:pict>
      </w:r>
    </w:p>
    <w:p w:rsidR="00000000" w:rsidRDefault="008E203B">
      <w:pPr>
        <w:divId w:val="448014065"/>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ind w:firstLine="360"/>
        <w:jc w:val="both"/>
        <w:rPr>
          <w:rFonts w:ascii="Times New Roman" w:hAnsi="Times New Roman" w:cs="Times New Roman"/>
          <w:sz w:val="20"/>
          <w:szCs w:val="20"/>
        </w:rPr>
      </w:pPr>
      <w:r>
        <w:rPr>
          <w:rFonts w:ascii="Times New Roman" w:hAnsi="Times New Roman" w:cs="Times New Roman"/>
          <w:sz w:val="20"/>
          <w:szCs w:val="20"/>
        </w:rPr>
        <w:t>Investing activities during 2018 primarily consisted of:</w:t>
      </w:r>
    </w:p>
    <w:p w:rsidR="00000000" w:rsidRDefault="008E203B">
      <w:pPr>
        <w:pStyle w:val="a3"/>
        <w:spacing w:before="0" w:beforeAutospacing="0" w:after="0" w:afterAutospacing="0"/>
        <w:ind w:firstLine="360"/>
        <w:jc w:val="both"/>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ind w:firstLine="540"/>
        <w:jc w:val="both"/>
        <w:rPr>
          <w:rFonts w:ascii="Times New Roman" w:hAnsi="Times New Roman" w:cs="Times New Roman"/>
          <w:sz w:val="20"/>
          <w:szCs w:val="20"/>
        </w:rPr>
      </w:pPr>
      <w:r>
        <w:rPr>
          <w:rFonts w:ascii="Times New Roman" w:hAnsi="Times New Roman" w:cs="Times New Roman"/>
          <w:sz w:val="20"/>
          <w:szCs w:val="20"/>
        </w:rPr>
        <w:t>Cash inflows:</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360" w:type="dxa"/>
            <w:hideMark/>
          </w:tcPr>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w:t>
            </w:r>
          </w:p>
        </w:tc>
        <w:tc>
          <w:tcPr>
            <w:tcW w:w="0" w:type="auto"/>
            <w:hideMark/>
          </w:tcPr>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$184.6 million in proceeds from the sale of 19 consolidated operating properties, one out-parcel and four land parcels.</w:t>
            </w:r>
          </w:p>
        </w:tc>
      </w:tr>
    </w:tbl>
    <w:p w:rsidR="00000000" w:rsidRDefault="008E203B">
      <w:pPr>
        <w:pStyle w:val="a3"/>
        <w:spacing w:before="0" w:beforeAutospacing="0" w:after="0" w:afterAutospacing="0"/>
        <w:ind w:firstLine="540"/>
        <w:jc w:val="both"/>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ind w:firstLine="540"/>
        <w:jc w:val="both"/>
        <w:rPr>
          <w:rFonts w:ascii="Times New Roman" w:hAnsi="Times New Roman" w:cs="Times New Roman"/>
          <w:sz w:val="20"/>
          <w:szCs w:val="20"/>
        </w:rPr>
      </w:pPr>
      <w:r>
        <w:rPr>
          <w:rFonts w:ascii="Times New Roman" w:hAnsi="Times New Roman" w:cs="Times New Roman"/>
          <w:sz w:val="20"/>
          <w:szCs w:val="20"/>
        </w:rPr>
        <w:t>Cash outflows:</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360" w:type="dxa"/>
            <w:hideMark/>
          </w:tcPr>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w:t>
            </w:r>
          </w:p>
        </w:tc>
        <w:tc>
          <w:tcPr>
            <w:tcW w:w="0" w:type="auto"/>
            <w:hideMark/>
          </w:tcPr>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$95.3 million for improvements to operating real estate related to the Company’s active redevelopment pipeline and</w:t>
            </w:r>
            <w:r>
              <w:rPr>
                <w:rFonts w:ascii="Times New Roman" w:hAnsi="Times New Roman" w:cs="Times New Roman"/>
                <w:sz w:val="20"/>
                <w:szCs w:val="20"/>
              </w:rPr>
              <w:t xml:space="preserve"> improvements to real estate under development;</w:t>
            </w:r>
          </w:p>
        </w:tc>
      </w:tr>
    </w:tbl>
    <w:p w:rsidR="00000000" w:rsidRDefault="008E203B">
      <w:pPr>
        <w:rPr>
          <w:rFonts w:ascii="Times New Roman" w:hAnsi="Times New Roman" w:cs="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360" w:type="dxa"/>
            <w:hideMark/>
          </w:tcPr>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w:t>
            </w:r>
          </w:p>
        </w:tc>
        <w:tc>
          <w:tcPr>
            <w:tcW w:w="0" w:type="auto"/>
            <w:hideMark/>
          </w:tcPr>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$7.9 million for acquisition of operating real estate and other related net assets, including one land parcel, and acquisition of real estate under development related to one development project; and</w:t>
            </w:r>
          </w:p>
        </w:tc>
      </w:tr>
    </w:tbl>
    <w:p w:rsidR="00000000" w:rsidRDefault="008E203B">
      <w:pPr>
        <w:rPr>
          <w:rFonts w:ascii="Times New Roman" w:hAnsi="Times New Roman" w:cs="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360" w:type="dxa"/>
            <w:hideMark/>
          </w:tcPr>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w:t>
            </w:r>
          </w:p>
        </w:tc>
        <w:tc>
          <w:tcPr>
            <w:tcW w:w="0" w:type="auto"/>
            <w:hideMark/>
          </w:tcPr>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$5.9 million for investments in and advances to real estate joint ventures, primarily related to a redevelopment project within the Company’s joint venture portfolio.</w:t>
            </w:r>
          </w:p>
        </w:tc>
      </w:tr>
    </w:tbl>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i/>
          <w:iCs/>
          <w:sz w:val="20"/>
          <w:szCs w:val="20"/>
        </w:rPr>
        <w:t> </w:t>
      </w:r>
    </w:p>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i/>
          <w:iCs/>
          <w:sz w:val="20"/>
          <w:szCs w:val="20"/>
        </w:rPr>
        <w:t>Acquisitions of Operating Real Estate and Other Related Net Assets -</w:t>
      </w:r>
    </w:p>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i/>
          <w:iCs/>
          <w:sz w:val="20"/>
          <w:szCs w:val="20"/>
        </w:rPr>
        <w:t> </w:t>
      </w:r>
    </w:p>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       Dur</w:t>
      </w:r>
      <w:r>
        <w:rPr>
          <w:rFonts w:ascii="Times New Roman" w:hAnsi="Times New Roman" w:cs="Times New Roman"/>
          <w:sz w:val="20"/>
          <w:szCs w:val="20"/>
        </w:rPr>
        <w:t>ing the three months ended March 31, 2019 and 2018, the Company expended $0 million (after use of §1031 proceeds of $31.0 million) and $3.3 million, respectively, towards the acquisition of operating real estate properties and parcels adjacent to operating</w:t>
      </w:r>
      <w:r>
        <w:rPr>
          <w:rFonts w:ascii="Times New Roman" w:hAnsi="Times New Roman" w:cs="Times New Roman"/>
          <w:sz w:val="20"/>
          <w:szCs w:val="20"/>
        </w:rPr>
        <w:t xml:space="preserve"> real estate properties. The Company anticipates spending approximately $20.0 million to $45.0 million towards the acquisition of operating properties for the remainder of 2019. The Company intends to fund these acquisitions with net cash flow provided by </w:t>
      </w:r>
      <w:r>
        <w:rPr>
          <w:rFonts w:ascii="Times New Roman" w:hAnsi="Times New Roman" w:cs="Times New Roman"/>
          <w:sz w:val="20"/>
          <w:szCs w:val="20"/>
        </w:rPr>
        <w:t>operating activities, proceeds from property dispositions and availability under its Credit Facility.</w:t>
      </w:r>
    </w:p>
    <w:p w:rsidR="00000000" w:rsidRDefault="008E203B">
      <w:pPr>
        <w:pStyle w:val="a3"/>
        <w:spacing w:before="0" w:beforeAutospacing="0" w:after="0" w:afterAutospacing="0"/>
        <w:ind w:firstLine="360"/>
        <w:jc w:val="both"/>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i/>
          <w:iCs/>
          <w:sz w:val="20"/>
          <w:szCs w:val="20"/>
        </w:rPr>
        <w:t>Improvements to Operating Real Estate -</w:t>
      </w:r>
    </w:p>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ind w:firstLine="360"/>
        <w:jc w:val="both"/>
        <w:rPr>
          <w:rFonts w:ascii="Times New Roman" w:hAnsi="Times New Roman" w:cs="Times New Roman"/>
          <w:sz w:val="20"/>
          <w:szCs w:val="20"/>
        </w:rPr>
      </w:pPr>
      <w:r>
        <w:rPr>
          <w:rFonts w:ascii="Times New Roman" w:hAnsi="Times New Roman" w:cs="Times New Roman"/>
          <w:sz w:val="20"/>
          <w:szCs w:val="20"/>
        </w:rPr>
        <w:t>During the three months ended March 31, 2019 and 2018, the Company expended $51.3 million and $40.4 million, r</w:t>
      </w:r>
      <w:r>
        <w:rPr>
          <w:rFonts w:ascii="Times New Roman" w:hAnsi="Times New Roman" w:cs="Times New Roman"/>
          <w:sz w:val="20"/>
          <w:szCs w:val="20"/>
        </w:rPr>
        <w:t>espectively, towards improvements to operating real estate. These amounts consist of the following (in thousands):</w:t>
      </w:r>
    </w:p>
    <w:p w:rsidR="00000000" w:rsidRDefault="008E203B">
      <w:pPr>
        <w:pStyle w:val="a3"/>
        <w:spacing w:before="0" w:beforeAutospacing="0" w:after="0" w:afterAutospacing="0"/>
        <w:ind w:firstLine="720"/>
        <w:jc w:val="both"/>
        <w:rPr>
          <w:rFonts w:ascii="Times New Roman" w:hAnsi="Times New Roman" w:cs="Times New Roman"/>
          <w:sz w:val="20"/>
          <w:szCs w:val="20"/>
        </w:rPr>
      </w:pPr>
      <w:r>
        <w:rPr>
          <w:rFonts w:ascii="Times New Roman" w:hAnsi="Times New Roman" w:cs="Times New Roman"/>
          <w:sz w:val="20"/>
          <w:szCs w:val="20"/>
        </w:rPr>
        <w:t> </w:t>
      </w:r>
    </w:p>
    <w:tbl>
      <w:tblPr>
        <w:tblW w:w="4500" w:type="pct"/>
        <w:tblCellSpacing w:w="0" w:type="dxa"/>
        <w:tblInd w:w="5" w:type="dxa"/>
        <w:tblCellMar>
          <w:left w:w="0" w:type="dxa"/>
          <w:right w:w="0" w:type="dxa"/>
        </w:tblCellMar>
        <w:tblLook w:val="04A0" w:firstRow="1" w:lastRow="0" w:firstColumn="1" w:lastColumn="0" w:noHBand="0" w:noVBand="1"/>
      </w:tblPr>
      <w:tblGrid>
        <w:gridCol w:w="4595"/>
        <w:gridCol w:w="50"/>
        <w:gridCol w:w="101"/>
        <w:gridCol w:w="1204"/>
        <w:gridCol w:w="86"/>
        <w:gridCol w:w="86"/>
        <w:gridCol w:w="100"/>
        <w:gridCol w:w="1203"/>
        <w:gridCol w:w="50"/>
      </w:tblGrid>
      <w:tr w:rsidR="00000000">
        <w:trPr>
          <w:tblCellSpacing w:w="0" w:type="dxa"/>
        </w:trPr>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pct"/>
            <w:gridSpan w:val="6"/>
            <w:tcBorders>
              <w:bottom w:val="single" w:sz="6" w:space="0" w:color="000000"/>
            </w:tcBorders>
            <w:noWrap/>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Three Months Ended March 31,</w:t>
            </w:r>
          </w:p>
        </w:tc>
        <w:tc>
          <w:tcPr>
            <w:tcW w:w="0" w:type="auto"/>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tblCellSpacing w:w="0" w:type="dxa"/>
        </w:trPr>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gridSpan w:val="2"/>
            <w:tcBorders>
              <w:bottom w:val="single" w:sz="6" w:space="0" w:color="000000"/>
            </w:tcBorders>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2019</w:t>
            </w:r>
          </w:p>
        </w:tc>
        <w:tc>
          <w:tcPr>
            <w:tcW w:w="0" w:type="auto"/>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gridSpan w:val="2"/>
            <w:tcBorders>
              <w:bottom w:val="single" w:sz="6" w:space="0" w:color="000000"/>
            </w:tcBorders>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2018</w:t>
            </w:r>
          </w:p>
        </w:tc>
        <w:tc>
          <w:tcPr>
            <w:tcW w:w="0" w:type="auto"/>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tblCellSpacing w:w="0" w:type="dxa"/>
        </w:trPr>
        <w:tc>
          <w:tcPr>
            <w:tcW w:w="3300" w:type="pct"/>
            <w:shd w:val="clear" w:color="auto" w:fill="CCEEFF"/>
            <w:vAlign w:val="bottom"/>
            <w:hideMark/>
          </w:tcPr>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Redevelopment and renovations</w:t>
            </w:r>
          </w:p>
        </w:tc>
        <w:tc>
          <w:tcPr>
            <w:tcW w:w="50" w:type="pct"/>
            <w:tcBorders>
              <w:bottom w:val="nil"/>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nil"/>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700" w:type="pct"/>
            <w:tcBorders>
              <w:bottom w:val="nil"/>
            </w:tcBorders>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36,357</w:t>
            </w:r>
          </w:p>
        </w:tc>
        <w:tc>
          <w:tcPr>
            <w:tcW w:w="50" w:type="pct"/>
            <w:tcBorders>
              <w:bottom w:val="nil"/>
            </w:tcBorders>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nil"/>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nil"/>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700" w:type="pct"/>
            <w:tcBorders>
              <w:bottom w:val="nil"/>
            </w:tcBorders>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28,477</w:t>
            </w:r>
          </w:p>
        </w:tc>
        <w:tc>
          <w:tcPr>
            <w:tcW w:w="50" w:type="pct"/>
            <w:tcBorders>
              <w:bottom w:val="nil"/>
            </w:tcBorders>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tblCellSpacing w:w="0" w:type="dxa"/>
        </w:trPr>
        <w:tc>
          <w:tcPr>
            <w:tcW w:w="0" w:type="auto"/>
            <w:shd w:val="clear" w:color="auto" w:fill="FFFFFF"/>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Tenant improvements and tenant allowances</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70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11,937</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70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9,851</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tblCellSpacing w:w="0" w:type="dxa"/>
        </w:trPr>
        <w:tc>
          <w:tcPr>
            <w:tcW w:w="0" w:type="auto"/>
            <w:shd w:val="clear" w:color="auto" w:fill="CCEEFF"/>
            <w:vAlign w:val="bottom"/>
            <w:hideMark/>
          </w:tcPr>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Other</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single" w:sz="6" w:space="0" w:color="000000"/>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700" w:type="pct"/>
            <w:tcBorders>
              <w:bottom w:val="single" w:sz="6" w:space="0" w:color="000000"/>
            </w:tcBorders>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3,051</w:t>
            </w:r>
          </w:p>
        </w:tc>
        <w:tc>
          <w:tcPr>
            <w:tcW w:w="50" w:type="pct"/>
            <w:shd w:val="clear" w:color="auto" w:fill="CCEEFF"/>
            <w:noWrap/>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single" w:sz="6" w:space="0" w:color="000000"/>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700" w:type="pct"/>
            <w:tcBorders>
              <w:bottom w:val="single" w:sz="6" w:space="0" w:color="000000"/>
            </w:tcBorders>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2,056</w:t>
            </w:r>
          </w:p>
        </w:tc>
        <w:tc>
          <w:tcPr>
            <w:tcW w:w="50" w:type="pct"/>
            <w:shd w:val="clear" w:color="auto" w:fill="CCEEFF"/>
            <w:noWrap/>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tblCellSpacing w:w="0" w:type="dxa"/>
        </w:trPr>
        <w:tc>
          <w:tcPr>
            <w:tcW w:w="0" w:type="auto"/>
            <w:shd w:val="clear" w:color="auto" w:fill="FFFFFF"/>
            <w:vAlign w:val="bottom"/>
            <w:hideMark/>
          </w:tcPr>
          <w:p w:rsidR="00000000" w:rsidRDefault="008E203B">
            <w:pPr>
              <w:pStyle w:val="a3"/>
              <w:spacing w:before="0" w:beforeAutospacing="0" w:after="0" w:afterAutospacing="0"/>
              <w:ind w:left="180"/>
              <w:rPr>
                <w:rFonts w:ascii="Times New Roman" w:hAnsi="Times New Roman" w:cs="Times New Roman"/>
                <w:sz w:val="20"/>
                <w:szCs w:val="20"/>
              </w:rPr>
            </w:pPr>
            <w:r>
              <w:rPr>
                <w:rFonts w:ascii="Times New Roman" w:hAnsi="Times New Roman" w:cs="Times New Roman"/>
                <w:sz w:val="20"/>
                <w:szCs w:val="20"/>
              </w:rPr>
              <w:t>Total improvements (1)</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double" w:sz="6" w:space="0" w:color="000000"/>
            </w:tcBorders>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700" w:type="pct"/>
            <w:tcBorders>
              <w:bottom w:val="double" w:sz="6" w:space="0" w:color="000000"/>
            </w:tcBorders>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51,345</w:t>
            </w:r>
          </w:p>
        </w:tc>
        <w:tc>
          <w:tcPr>
            <w:tcW w:w="50" w:type="pct"/>
            <w:shd w:val="clear" w:color="auto" w:fill="FFFFFF"/>
            <w:noWrap/>
            <w:tcMar>
              <w:top w:w="0" w:type="dxa"/>
              <w:left w:w="0" w:type="dxa"/>
              <w:bottom w:w="4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double" w:sz="6" w:space="0" w:color="000000"/>
            </w:tcBorders>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700" w:type="pct"/>
            <w:tcBorders>
              <w:bottom w:val="double" w:sz="6" w:space="0" w:color="000000"/>
            </w:tcBorders>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40,384</w:t>
            </w:r>
          </w:p>
        </w:tc>
        <w:tc>
          <w:tcPr>
            <w:tcW w:w="50" w:type="pct"/>
            <w:shd w:val="clear" w:color="auto" w:fill="FFFFFF"/>
            <w:noWrap/>
            <w:tcMar>
              <w:top w:w="0" w:type="dxa"/>
              <w:left w:w="0" w:type="dxa"/>
              <w:bottom w:w="4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bl>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360" w:type="dxa"/>
            <w:hideMark/>
          </w:tcPr>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(1)</w:t>
            </w:r>
          </w:p>
        </w:tc>
        <w:tc>
          <w:tcPr>
            <w:tcW w:w="0" w:type="auto"/>
            <w:hideMark/>
          </w:tcPr>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During the three months ended March 31, 2019 and 2018, the Company capitalized payroll of $1.1 million and $0.9 million, respectively, and capitalized interest of $1.2 million and $0.7 million, respectively, in connection with the Company’s improvements to</w:t>
            </w:r>
            <w:r>
              <w:rPr>
                <w:rFonts w:ascii="Times New Roman" w:hAnsi="Times New Roman" w:cs="Times New Roman"/>
                <w:sz w:val="20"/>
                <w:szCs w:val="20"/>
              </w:rPr>
              <w:t xml:space="preserve"> operating real estate.</w:t>
            </w:r>
          </w:p>
        </w:tc>
      </w:tr>
    </w:tbl>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ind w:firstLine="360"/>
        <w:jc w:val="both"/>
        <w:rPr>
          <w:rFonts w:ascii="Times New Roman" w:hAnsi="Times New Roman" w:cs="Times New Roman"/>
          <w:sz w:val="20"/>
          <w:szCs w:val="20"/>
        </w:rPr>
      </w:pPr>
      <w:r>
        <w:rPr>
          <w:rFonts w:ascii="Times New Roman" w:hAnsi="Times New Roman" w:cs="Times New Roman"/>
          <w:sz w:val="20"/>
          <w:szCs w:val="20"/>
        </w:rPr>
        <w:t>The Company has an ongoing program to redevelop and re-tenant its properties to maintain or enhance its competitive position in the marketplace. The Company is actively pursuing redevelopment opportunities within its operating portfolio which it believes w</w:t>
      </w:r>
      <w:r>
        <w:rPr>
          <w:rFonts w:ascii="Times New Roman" w:hAnsi="Times New Roman" w:cs="Times New Roman"/>
          <w:sz w:val="20"/>
          <w:szCs w:val="20"/>
        </w:rPr>
        <w:t>ill increase the overall value by bringing in new tenants and improving the assets’ value. The Company has identified three categories of redevelopment, (i) large scale redevelopment, which involves demolishing and building new square footage, (ii) value c</w:t>
      </w:r>
      <w:r>
        <w:rPr>
          <w:rFonts w:ascii="Times New Roman" w:hAnsi="Times New Roman" w:cs="Times New Roman"/>
          <w:sz w:val="20"/>
          <w:szCs w:val="20"/>
        </w:rPr>
        <w:t>reation redevelopment, which includes the subdivision of large anchor spaces into multiple tenant layouts, and (iii) creation of out-parcels and pads located in the front of the shopping center properties. The Company anticipates its capital commitment tow</w:t>
      </w:r>
      <w:r>
        <w:rPr>
          <w:rFonts w:ascii="Times New Roman" w:hAnsi="Times New Roman" w:cs="Times New Roman"/>
          <w:sz w:val="20"/>
          <w:szCs w:val="20"/>
        </w:rPr>
        <w:t>ard these redevelopment projects and re-tenanting efforts for the remainder of 2019 will be approximately $200.0 million to $250.0 million. The funding of these capital requirements will be provided by proceeds from property dispositions, net cash flow pro</w:t>
      </w:r>
      <w:r>
        <w:rPr>
          <w:rFonts w:ascii="Times New Roman" w:hAnsi="Times New Roman" w:cs="Times New Roman"/>
          <w:sz w:val="20"/>
          <w:szCs w:val="20"/>
        </w:rPr>
        <w:t>vided by operating activities and availability under the Company’s Credit Facility.</w:t>
      </w:r>
    </w:p>
    <w:p w:rsidR="00000000" w:rsidRDefault="008E203B">
      <w:pPr>
        <w:pStyle w:val="a3"/>
        <w:spacing w:before="0" w:beforeAutospacing="0" w:after="0" w:afterAutospacing="0"/>
        <w:ind w:left="720"/>
        <w:jc w:val="both"/>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i/>
          <w:iCs/>
          <w:sz w:val="20"/>
          <w:szCs w:val="20"/>
        </w:rPr>
        <w:t>Real Estate Under Development -</w:t>
      </w:r>
    </w:p>
    <w:p w:rsidR="00000000" w:rsidRDefault="008E203B">
      <w:pPr>
        <w:pStyle w:val="a3"/>
        <w:spacing w:before="0" w:beforeAutospacing="0" w:after="0" w:afterAutospacing="0"/>
        <w:ind w:firstLine="720"/>
        <w:jc w:val="both"/>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ind w:firstLine="360"/>
        <w:jc w:val="both"/>
        <w:rPr>
          <w:rFonts w:ascii="Times New Roman" w:hAnsi="Times New Roman" w:cs="Times New Roman"/>
          <w:sz w:val="20"/>
          <w:szCs w:val="20"/>
        </w:rPr>
      </w:pPr>
      <w:r>
        <w:rPr>
          <w:rFonts w:ascii="Times New Roman" w:hAnsi="Times New Roman" w:cs="Times New Roman"/>
          <w:sz w:val="20"/>
          <w:szCs w:val="20"/>
        </w:rPr>
        <w:t>The Company is engaged in select real estate development projects, which are expected to be held as long-term investments. As of March 3</w:t>
      </w:r>
      <w:r>
        <w:rPr>
          <w:rFonts w:ascii="Times New Roman" w:hAnsi="Times New Roman" w:cs="Times New Roman"/>
          <w:sz w:val="20"/>
          <w:szCs w:val="20"/>
        </w:rPr>
        <w:t>1, 2019, the Company had in progress a total of two active real estate development projects and one project held for future development. During the three months ended March 31, 2019 and 2018, the Company expended $26.3 million and $54.9 million, respective</w:t>
      </w:r>
      <w:r>
        <w:rPr>
          <w:rFonts w:ascii="Times New Roman" w:hAnsi="Times New Roman" w:cs="Times New Roman"/>
          <w:sz w:val="20"/>
          <w:szCs w:val="20"/>
        </w:rPr>
        <w:t xml:space="preserve">ly, towards improvements to real estate under development. The Company capitalized (i) interest of $1.9 million and $3.0 million, (ii) real estate taxes, insurance and legal costs of $0.3 million and $0.7 million and (iii) payroll of $0.5 million and $0.4 </w:t>
      </w:r>
      <w:r>
        <w:rPr>
          <w:rFonts w:ascii="Times New Roman" w:hAnsi="Times New Roman" w:cs="Times New Roman"/>
          <w:sz w:val="20"/>
          <w:szCs w:val="20"/>
        </w:rPr>
        <w:t xml:space="preserve">million during the three months ended March 31, 2019 and 2018, respectively, in connection with its real estate development projects. The Company anticipates the total remaining costs to complete these active projects to be approximately $125.0 million to </w:t>
      </w:r>
      <w:r>
        <w:rPr>
          <w:rFonts w:ascii="Times New Roman" w:hAnsi="Times New Roman" w:cs="Times New Roman"/>
          <w:sz w:val="20"/>
          <w:szCs w:val="20"/>
        </w:rPr>
        <w:t>$175.0 million. The Company anticipates its capital commitment toward these development projects for the remainder of 2019 will be approximately $75.0 million to $125.0 million. The funding of these capital requirements will be provided by proceeds from pr</w:t>
      </w:r>
      <w:r>
        <w:rPr>
          <w:rFonts w:ascii="Times New Roman" w:hAnsi="Times New Roman" w:cs="Times New Roman"/>
          <w:sz w:val="20"/>
          <w:szCs w:val="20"/>
        </w:rPr>
        <w:t>operty dispositions, net cash flow provided by operating activities, construction financing, where applicable, and availability under the Company’s Credit Facility.</w:t>
      </w:r>
      <w:r>
        <w:rPr>
          <w:rFonts w:ascii="Times New Roman" w:hAnsi="Times New Roman" w:cs="Times New Roman"/>
          <w:sz w:val="20"/>
          <w:szCs w:val="20"/>
          <w:u w:val="single"/>
        </w:rPr>
        <w:t xml:space="preserve"> </w:t>
      </w:r>
    </w:p>
    <w:p w:rsidR="00000000" w:rsidRDefault="008E203B">
      <w:pPr>
        <w:pStyle w:val="a3"/>
        <w:spacing w:before="0" w:beforeAutospacing="0" w:after="0" w:afterAutospacing="0"/>
        <w:ind w:firstLine="720"/>
        <w:jc w:val="both"/>
        <w:rPr>
          <w:rFonts w:ascii="Times New Roman" w:hAnsi="Times New Roman" w:cs="Times New Roman"/>
          <w:sz w:val="20"/>
          <w:szCs w:val="20"/>
        </w:rPr>
      </w:pPr>
      <w:r>
        <w:rPr>
          <w:rFonts w:ascii="Times New Roman" w:hAnsi="Times New Roman" w:cs="Times New Roman"/>
          <w:sz w:val="20"/>
          <w:szCs w:val="20"/>
        </w:rPr>
        <w:t> </w:t>
      </w:r>
    </w:p>
    <w:p w:rsidR="00000000" w:rsidRDefault="008E203B">
      <w:pPr>
        <w:jc w:val="center"/>
        <w:divId w:val="101728003"/>
        <w:rPr>
          <w:rFonts w:ascii="Times New Roman" w:hAnsi="Times New Roman" w:cs="Times New Roman"/>
          <w:sz w:val="20"/>
          <w:szCs w:val="20"/>
        </w:rPr>
      </w:pPr>
      <w:r>
        <w:rPr>
          <w:rFonts w:ascii="Times New Roman" w:hAnsi="Times New Roman" w:cs="Times New Roman"/>
          <w:sz w:val="20"/>
          <w:szCs w:val="20"/>
        </w:rPr>
        <w:t>25</w:t>
      </w:r>
    </w:p>
    <w:p w:rsidR="00000000" w:rsidRDefault="008E203B">
      <w:pPr>
        <w:divId w:val="101728003"/>
        <w:rPr>
          <w:rFonts w:ascii="Times New Roman" w:hAnsi="Times New Roman" w:cs="Times New Roman"/>
          <w:sz w:val="20"/>
          <w:szCs w:val="20"/>
        </w:rPr>
      </w:pPr>
      <w:r>
        <w:rPr>
          <w:rFonts w:ascii="Times New Roman" w:hAnsi="Times New Roman" w:cs="Times New Roman"/>
          <w:sz w:val="20"/>
          <w:szCs w:val="20"/>
        </w:rPr>
        <w:pict>
          <v:rect id="_x0000_i1053" style="width:415.3pt;height:1.5pt" o:hralign="center" o:hrstd="t" o:hrnoshade="t" o:hr="t" fillcolor="black" stroked="f"/>
        </w:pict>
      </w:r>
    </w:p>
    <w:p w:rsidR="00000000" w:rsidRDefault="008E203B">
      <w:pPr>
        <w:divId w:val="101728003"/>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u w:val="single"/>
        </w:rPr>
        <w:t>Financing Activities</w:t>
      </w:r>
    </w:p>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ind w:firstLine="360"/>
        <w:jc w:val="both"/>
        <w:rPr>
          <w:rFonts w:ascii="Times New Roman" w:hAnsi="Times New Roman" w:cs="Times New Roman"/>
          <w:sz w:val="20"/>
          <w:szCs w:val="20"/>
        </w:rPr>
      </w:pPr>
      <w:r>
        <w:rPr>
          <w:rFonts w:ascii="Times New Roman" w:hAnsi="Times New Roman" w:cs="Times New Roman"/>
          <w:sz w:val="20"/>
          <w:szCs w:val="20"/>
        </w:rPr>
        <w:t>Net cash flow used for financing activities was $139.6 million for the three months ended March 31, 2019, as compar</w:t>
      </w:r>
      <w:r>
        <w:rPr>
          <w:rFonts w:ascii="Times New Roman" w:hAnsi="Times New Roman" w:cs="Times New Roman"/>
          <w:sz w:val="20"/>
          <w:szCs w:val="20"/>
        </w:rPr>
        <w:t>ed to $291.9 million for the comparable period in 2018.</w:t>
      </w:r>
    </w:p>
    <w:p w:rsidR="00000000" w:rsidRDefault="008E203B">
      <w:pPr>
        <w:pStyle w:val="a3"/>
        <w:spacing w:before="0" w:beforeAutospacing="0" w:after="0" w:afterAutospacing="0"/>
        <w:ind w:firstLine="360"/>
        <w:jc w:val="both"/>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ind w:firstLine="360"/>
        <w:jc w:val="both"/>
        <w:rPr>
          <w:rFonts w:ascii="Times New Roman" w:hAnsi="Times New Roman" w:cs="Times New Roman"/>
          <w:sz w:val="20"/>
          <w:szCs w:val="20"/>
        </w:rPr>
      </w:pPr>
      <w:r>
        <w:rPr>
          <w:rFonts w:ascii="Times New Roman" w:hAnsi="Times New Roman" w:cs="Times New Roman"/>
          <w:sz w:val="20"/>
          <w:szCs w:val="20"/>
        </w:rPr>
        <w:t>Financing activities during 2019 primarily consisted of:</w:t>
      </w:r>
    </w:p>
    <w:p w:rsidR="00000000" w:rsidRDefault="008E203B">
      <w:pPr>
        <w:pStyle w:val="a3"/>
        <w:spacing w:before="0" w:beforeAutospacing="0" w:after="0" w:afterAutospacing="0"/>
        <w:ind w:firstLine="540"/>
        <w:jc w:val="both"/>
        <w:rPr>
          <w:rFonts w:ascii="Times New Roman" w:hAnsi="Times New Roman" w:cs="Times New Roman"/>
          <w:sz w:val="20"/>
          <w:szCs w:val="20"/>
        </w:rPr>
      </w:pPr>
      <w:r>
        <w:rPr>
          <w:rFonts w:ascii="Times New Roman" w:hAnsi="Times New Roman" w:cs="Times New Roman"/>
          <w:i/>
          <w:iCs/>
          <w:sz w:val="20"/>
          <w:szCs w:val="20"/>
        </w:rPr>
        <w:t> </w:t>
      </w:r>
    </w:p>
    <w:p w:rsidR="00000000" w:rsidRDefault="008E203B">
      <w:pPr>
        <w:pStyle w:val="a3"/>
        <w:spacing w:before="0" w:beforeAutospacing="0" w:after="0" w:afterAutospacing="0"/>
        <w:ind w:firstLine="540"/>
        <w:jc w:val="both"/>
        <w:rPr>
          <w:rFonts w:ascii="Times New Roman" w:hAnsi="Times New Roman" w:cs="Times New Roman"/>
          <w:sz w:val="20"/>
          <w:szCs w:val="20"/>
        </w:rPr>
      </w:pPr>
      <w:r>
        <w:rPr>
          <w:rFonts w:ascii="Times New Roman" w:hAnsi="Times New Roman" w:cs="Times New Roman"/>
          <w:i/>
          <w:iCs/>
          <w:sz w:val="20"/>
          <w:szCs w:val="20"/>
        </w:rPr>
        <w:t>Cash inflows:</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360" w:type="dxa"/>
            <w:hideMark/>
          </w:tcPr>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w:t>
            </w:r>
          </w:p>
        </w:tc>
        <w:tc>
          <w:tcPr>
            <w:tcW w:w="0" w:type="auto"/>
            <w:hideMark/>
          </w:tcPr>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$3.3 million in proceeds from construction loan financing at one development project.</w:t>
            </w:r>
          </w:p>
        </w:tc>
      </w:tr>
    </w:tbl>
    <w:p w:rsidR="00000000" w:rsidRDefault="008E203B">
      <w:pPr>
        <w:pStyle w:val="a3"/>
        <w:spacing w:before="0" w:beforeAutospacing="0" w:after="0" w:afterAutospacing="0"/>
        <w:ind w:firstLine="540"/>
        <w:jc w:val="both"/>
        <w:rPr>
          <w:rFonts w:ascii="Times New Roman" w:hAnsi="Times New Roman" w:cs="Times New Roman"/>
          <w:sz w:val="20"/>
          <w:szCs w:val="20"/>
        </w:rPr>
      </w:pPr>
      <w:r>
        <w:rPr>
          <w:rFonts w:ascii="Times New Roman" w:hAnsi="Times New Roman" w:cs="Times New Roman"/>
          <w:i/>
          <w:iCs/>
          <w:sz w:val="20"/>
          <w:szCs w:val="20"/>
        </w:rPr>
        <w:t> </w:t>
      </w:r>
    </w:p>
    <w:p w:rsidR="00000000" w:rsidRDefault="008E203B">
      <w:pPr>
        <w:pStyle w:val="a3"/>
        <w:spacing w:before="0" w:beforeAutospacing="0" w:after="0" w:afterAutospacing="0"/>
        <w:ind w:firstLine="540"/>
        <w:jc w:val="both"/>
        <w:rPr>
          <w:rFonts w:ascii="Times New Roman" w:hAnsi="Times New Roman" w:cs="Times New Roman"/>
          <w:sz w:val="20"/>
          <w:szCs w:val="20"/>
        </w:rPr>
      </w:pPr>
      <w:r>
        <w:rPr>
          <w:rFonts w:ascii="Times New Roman" w:hAnsi="Times New Roman" w:cs="Times New Roman"/>
          <w:i/>
          <w:iCs/>
          <w:sz w:val="20"/>
          <w:szCs w:val="20"/>
        </w:rPr>
        <w:t>Cash outflows:</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360" w:type="dxa"/>
            <w:hideMark/>
          </w:tcPr>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w:t>
            </w:r>
          </w:p>
        </w:tc>
        <w:tc>
          <w:tcPr>
            <w:tcW w:w="0" w:type="auto"/>
            <w:hideMark/>
          </w:tcPr>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$132.5 million of dividends paid; and</w:t>
            </w:r>
          </w:p>
        </w:tc>
      </w:tr>
    </w:tbl>
    <w:p w:rsidR="00000000" w:rsidRDefault="008E203B">
      <w:pPr>
        <w:rPr>
          <w:rFonts w:ascii="Times New Roman" w:hAnsi="Times New Roman" w:cs="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360" w:type="dxa"/>
            <w:hideMark/>
          </w:tcPr>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w:t>
            </w:r>
          </w:p>
        </w:tc>
        <w:tc>
          <w:tcPr>
            <w:tcW w:w="0" w:type="auto"/>
            <w:hideMark/>
          </w:tcPr>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$6.4 million for principal payments on debt (related to the repayment of debt on an encumbered property)</w:t>
            </w:r>
            <w:r>
              <w:rPr>
                <w:rFonts w:ascii="Times New Roman" w:hAnsi="Times New Roman" w:cs="Times New Roman"/>
                <w:sz w:val="20"/>
                <w:szCs w:val="20"/>
              </w:rPr>
              <w:t>, including normal amortization on rental property debt.</w:t>
            </w:r>
          </w:p>
        </w:tc>
      </w:tr>
    </w:tbl>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ind w:firstLine="360"/>
        <w:jc w:val="both"/>
        <w:rPr>
          <w:rFonts w:ascii="Times New Roman" w:hAnsi="Times New Roman" w:cs="Times New Roman"/>
          <w:sz w:val="20"/>
          <w:szCs w:val="20"/>
        </w:rPr>
      </w:pPr>
      <w:r>
        <w:rPr>
          <w:rFonts w:ascii="Times New Roman" w:hAnsi="Times New Roman" w:cs="Times New Roman"/>
          <w:sz w:val="20"/>
          <w:szCs w:val="20"/>
        </w:rPr>
        <w:t>Financing activities during 2018 primarily consisted of:</w:t>
      </w:r>
    </w:p>
    <w:p w:rsidR="00000000" w:rsidRDefault="008E203B">
      <w:pPr>
        <w:pStyle w:val="a3"/>
        <w:spacing w:before="0" w:beforeAutospacing="0" w:after="0" w:afterAutospacing="0"/>
        <w:ind w:firstLine="540"/>
        <w:jc w:val="both"/>
        <w:rPr>
          <w:rFonts w:ascii="Times New Roman" w:hAnsi="Times New Roman" w:cs="Times New Roman"/>
          <w:sz w:val="20"/>
          <w:szCs w:val="20"/>
        </w:rPr>
      </w:pPr>
      <w:r>
        <w:rPr>
          <w:rFonts w:ascii="Times New Roman" w:hAnsi="Times New Roman" w:cs="Times New Roman"/>
          <w:i/>
          <w:iCs/>
          <w:sz w:val="20"/>
          <w:szCs w:val="20"/>
        </w:rPr>
        <w:t> </w:t>
      </w:r>
    </w:p>
    <w:p w:rsidR="00000000" w:rsidRDefault="008E203B">
      <w:pPr>
        <w:pStyle w:val="a3"/>
        <w:spacing w:before="0" w:beforeAutospacing="0" w:after="0" w:afterAutospacing="0"/>
        <w:ind w:firstLine="540"/>
        <w:jc w:val="both"/>
        <w:rPr>
          <w:rFonts w:ascii="Times New Roman" w:hAnsi="Times New Roman" w:cs="Times New Roman"/>
          <w:sz w:val="20"/>
          <w:szCs w:val="20"/>
        </w:rPr>
      </w:pPr>
      <w:r>
        <w:rPr>
          <w:rFonts w:ascii="Times New Roman" w:hAnsi="Times New Roman" w:cs="Times New Roman"/>
          <w:i/>
          <w:iCs/>
          <w:sz w:val="20"/>
          <w:szCs w:val="20"/>
        </w:rPr>
        <w:t>Cash inflows:</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360" w:type="dxa"/>
            <w:hideMark/>
          </w:tcPr>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w:t>
            </w:r>
          </w:p>
        </w:tc>
        <w:tc>
          <w:tcPr>
            <w:tcW w:w="0" w:type="auto"/>
            <w:hideMark/>
          </w:tcPr>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$33.1 million in proceeds primarily from the exercise of the Class M Preferred Stock over-allotment option.</w:t>
            </w:r>
          </w:p>
        </w:tc>
      </w:tr>
    </w:tbl>
    <w:p w:rsidR="00000000" w:rsidRDefault="008E203B">
      <w:pPr>
        <w:pStyle w:val="a3"/>
        <w:spacing w:before="0" w:beforeAutospacing="0" w:after="0" w:afterAutospacing="0"/>
        <w:ind w:firstLine="540"/>
        <w:jc w:val="both"/>
        <w:rPr>
          <w:rFonts w:ascii="Times New Roman" w:hAnsi="Times New Roman" w:cs="Times New Roman"/>
          <w:sz w:val="20"/>
          <w:szCs w:val="20"/>
        </w:rPr>
      </w:pPr>
      <w:r>
        <w:rPr>
          <w:rFonts w:ascii="Times New Roman" w:hAnsi="Times New Roman" w:cs="Times New Roman"/>
          <w:i/>
          <w:iCs/>
          <w:sz w:val="20"/>
          <w:szCs w:val="20"/>
        </w:rPr>
        <w:t> </w:t>
      </w:r>
    </w:p>
    <w:p w:rsidR="00000000" w:rsidRDefault="008E203B">
      <w:pPr>
        <w:pStyle w:val="a3"/>
        <w:spacing w:before="0" w:beforeAutospacing="0" w:after="0" w:afterAutospacing="0"/>
        <w:ind w:firstLine="540"/>
        <w:jc w:val="both"/>
        <w:rPr>
          <w:rFonts w:ascii="Times New Roman" w:hAnsi="Times New Roman" w:cs="Times New Roman"/>
          <w:sz w:val="20"/>
          <w:szCs w:val="20"/>
        </w:rPr>
      </w:pPr>
      <w:r>
        <w:rPr>
          <w:rFonts w:ascii="Times New Roman" w:hAnsi="Times New Roman" w:cs="Times New Roman"/>
          <w:i/>
          <w:iCs/>
          <w:sz w:val="20"/>
          <w:szCs w:val="20"/>
        </w:rPr>
        <w:t>Cash outflows:</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360" w:type="dxa"/>
            <w:hideMark/>
          </w:tcPr>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w:t>
            </w:r>
          </w:p>
        </w:tc>
        <w:tc>
          <w:tcPr>
            <w:tcW w:w="0" w:type="auto"/>
            <w:hideMark/>
          </w:tcPr>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$165.0 million for principal payments on debt (related to the repayment of debt on two encumbered properties), including norma</w:t>
            </w:r>
            <w:r>
              <w:rPr>
                <w:rFonts w:ascii="Times New Roman" w:hAnsi="Times New Roman" w:cs="Times New Roman"/>
                <w:sz w:val="20"/>
                <w:szCs w:val="20"/>
              </w:rPr>
              <w:t>l amortization on rental property debt;</w:t>
            </w:r>
          </w:p>
        </w:tc>
      </w:tr>
    </w:tbl>
    <w:p w:rsidR="00000000" w:rsidRDefault="008E203B">
      <w:pPr>
        <w:rPr>
          <w:rFonts w:ascii="Times New Roman" w:hAnsi="Times New Roman" w:cs="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360" w:type="dxa"/>
            <w:hideMark/>
          </w:tcPr>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w:t>
            </w:r>
          </w:p>
        </w:tc>
        <w:tc>
          <w:tcPr>
            <w:tcW w:w="0" w:type="auto"/>
            <w:hideMark/>
          </w:tcPr>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$130.2 million of dividends paid;</w:t>
            </w:r>
          </w:p>
        </w:tc>
      </w:tr>
    </w:tbl>
    <w:p w:rsidR="00000000" w:rsidRDefault="008E203B">
      <w:pPr>
        <w:rPr>
          <w:rFonts w:ascii="Times New Roman" w:hAnsi="Times New Roman" w:cs="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360" w:type="dxa"/>
            <w:hideMark/>
          </w:tcPr>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w:t>
            </w:r>
          </w:p>
        </w:tc>
        <w:tc>
          <w:tcPr>
            <w:tcW w:w="0" w:type="auto"/>
            <w:hideMark/>
          </w:tcPr>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$24.3 million for the repurchase of common stock; and</w:t>
            </w:r>
          </w:p>
        </w:tc>
      </w:tr>
    </w:tbl>
    <w:p w:rsidR="00000000" w:rsidRDefault="008E203B">
      <w:pPr>
        <w:rPr>
          <w:rFonts w:ascii="Times New Roman" w:hAnsi="Times New Roman" w:cs="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360" w:type="dxa"/>
            <w:hideMark/>
          </w:tcPr>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w:t>
            </w:r>
          </w:p>
        </w:tc>
        <w:tc>
          <w:tcPr>
            <w:tcW w:w="0" w:type="auto"/>
            <w:hideMark/>
          </w:tcPr>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$5.0 million for redemption/distribution of noncontrolling interests, primarily related to the redemption of certain partnership units by consolidated subsidiaries.</w:t>
            </w:r>
          </w:p>
        </w:tc>
      </w:tr>
    </w:tbl>
    <w:p w:rsidR="00000000" w:rsidRDefault="008E203B">
      <w:pPr>
        <w:pStyle w:val="a3"/>
        <w:spacing w:before="0" w:beforeAutospacing="0" w:after="0" w:afterAutospacing="0"/>
        <w:ind w:left="720"/>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ind w:firstLine="360"/>
        <w:jc w:val="both"/>
        <w:rPr>
          <w:rFonts w:ascii="Times New Roman" w:hAnsi="Times New Roman" w:cs="Times New Roman"/>
          <w:sz w:val="20"/>
          <w:szCs w:val="20"/>
        </w:rPr>
      </w:pPr>
      <w:r>
        <w:rPr>
          <w:rFonts w:ascii="Times New Roman" w:hAnsi="Times New Roman" w:cs="Times New Roman"/>
          <w:sz w:val="20"/>
          <w:szCs w:val="20"/>
        </w:rPr>
        <w:t>The Company continually evaluates its debt maturities, and, based on management’s curren</w:t>
      </w:r>
      <w:r>
        <w:rPr>
          <w:rFonts w:ascii="Times New Roman" w:hAnsi="Times New Roman" w:cs="Times New Roman"/>
          <w:sz w:val="20"/>
          <w:szCs w:val="20"/>
        </w:rPr>
        <w:t>t assessment, believes it has viable financing and refinancing alternatives that will not materially adversely impact its expected financial results. The Company continues to pursue borrowing opportunities with large commercial U.S. and global banks, selec</w:t>
      </w:r>
      <w:r>
        <w:rPr>
          <w:rFonts w:ascii="Times New Roman" w:hAnsi="Times New Roman" w:cs="Times New Roman"/>
          <w:sz w:val="20"/>
          <w:szCs w:val="20"/>
        </w:rPr>
        <w:t>t life insurance companies and certain regional and local banks. The Company has noticed a continuing trend that, although pricing remains dependent on specific deal terms, generally spreads for non-recourse mortgage and construction loan financing has sta</w:t>
      </w:r>
      <w:r>
        <w:rPr>
          <w:rFonts w:ascii="Times New Roman" w:hAnsi="Times New Roman" w:cs="Times New Roman"/>
          <w:sz w:val="20"/>
          <w:szCs w:val="20"/>
        </w:rPr>
        <w:t>bilized and the unsecured debt markets are functioning well and credit spreads are at manageable levels.</w:t>
      </w:r>
    </w:p>
    <w:p w:rsidR="00000000" w:rsidRDefault="008E203B">
      <w:pPr>
        <w:pStyle w:val="a3"/>
        <w:spacing w:before="0" w:beforeAutospacing="0" w:after="0" w:afterAutospacing="0"/>
        <w:ind w:firstLine="360"/>
        <w:jc w:val="both"/>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ind w:firstLine="360"/>
        <w:jc w:val="both"/>
        <w:rPr>
          <w:rFonts w:ascii="Times New Roman" w:hAnsi="Times New Roman" w:cs="Times New Roman"/>
          <w:sz w:val="20"/>
          <w:szCs w:val="20"/>
        </w:rPr>
      </w:pPr>
      <w:r>
        <w:rPr>
          <w:rFonts w:ascii="Times New Roman" w:hAnsi="Times New Roman" w:cs="Times New Roman"/>
          <w:sz w:val="20"/>
          <w:szCs w:val="20"/>
        </w:rPr>
        <w:t>Debt maturities for 2019 consist of: $45.4 million of unconsolidated joint venture debt and $26.3 million of debt included in the Company’s Preferred</w:t>
      </w:r>
      <w:r>
        <w:rPr>
          <w:rFonts w:ascii="Times New Roman" w:hAnsi="Times New Roman" w:cs="Times New Roman"/>
          <w:sz w:val="20"/>
          <w:szCs w:val="20"/>
        </w:rPr>
        <w:t xml:space="preserve"> Equity Program, assuming the utilization of extension options where available. These debt maturities are anticipated to be repaid through operating cash flows, debt refinancing, unsecured credit facilities, proceeds from sales and partner capital contribu</w:t>
      </w:r>
      <w:r>
        <w:rPr>
          <w:rFonts w:ascii="Times New Roman" w:hAnsi="Times New Roman" w:cs="Times New Roman"/>
          <w:sz w:val="20"/>
          <w:szCs w:val="20"/>
        </w:rPr>
        <w:t>tions, as deemed appropriate.</w:t>
      </w:r>
    </w:p>
    <w:p w:rsidR="00000000" w:rsidRDefault="008E203B">
      <w:pPr>
        <w:pStyle w:val="a3"/>
        <w:spacing w:before="0" w:beforeAutospacing="0" w:after="0" w:afterAutospacing="0"/>
        <w:ind w:firstLine="360"/>
        <w:jc w:val="both"/>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ind w:firstLine="360"/>
        <w:jc w:val="both"/>
        <w:rPr>
          <w:rFonts w:ascii="Times New Roman" w:hAnsi="Times New Roman" w:cs="Times New Roman"/>
          <w:sz w:val="20"/>
          <w:szCs w:val="20"/>
        </w:rPr>
      </w:pPr>
      <w:r>
        <w:rPr>
          <w:rFonts w:ascii="Times New Roman" w:hAnsi="Times New Roman" w:cs="Times New Roman"/>
          <w:sz w:val="20"/>
          <w:szCs w:val="20"/>
        </w:rPr>
        <w:t>The Company intends to maintain strong debt service coverage and fixed charge coverage ratios as part of its commitment to maintain its investment-grade senior, unsecured debt ratings.  The Company may, from time-to-time, se</w:t>
      </w:r>
      <w:r>
        <w:rPr>
          <w:rFonts w:ascii="Times New Roman" w:hAnsi="Times New Roman" w:cs="Times New Roman"/>
          <w:sz w:val="20"/>
          <w:szCs w:val="20"/>
        </w:rPr>
        <w:t>ek to obtain funds through additional common and preferred equity offerings, unsecured debt financings, mortgages and/or construction loan financing and other capital alternatives.</w:t>
      </w:r>
    </w:p>
    <w:p w:rsidR="00000000" w:rsidRDefault="008E203B">
      <w:pPr>
        <w:pStyle w:val="a3"/>
        <w:spacing w:before="0" w:beforeAutospacing="0" w:after="0" w:afterAutospacing="0"/>
        <w:ind w:firstLine="360"/>
        <w:jc w:val="both"/>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ind w:firstLine="360"/>
        <w:jc w:val="both"/>
        <w:rPr>
          <w:rFonts w:ascii="Times New Roman" w:hAnsi="Times New Roman" w:cs="Times New Roman"/>
          <w:sz w:val="20"/>
          <w:szCs w:val="20"/>
        </w:rPr>
      </w:pPr>
      <w:r>
        <w:rPr>
          <w:rFonts w:ascii="Times New Roman" w:hAnsi="Times New Roman" w:cs="Times New Roman"/>
          <w:sz w:val="20"/>
          <w:szCs w:val="20"/>
        </w:rPr>
        <w:t>Since the completion of the Company’s IPO in 1991, the Company has utiliz</w:t>
      </w:r>
      <w:r>
        <w:rPr>
          <w:rFonts w:ascii="Times New Roman" w:hAnsi="Times New Roman" w:cs="Times New Roman"/>
          <w:sz w:val="20"/>
          <w:szCs w:val="20"/>
        </w:rPr>
        <w:t xml:space="preserve">ed the public debt and equity markets as its principal source of capital for its expansion needs. Since the IPO, the Company has completed additional offerings of its public unsecured debt and equity, raising in the aggregate over $13.8 billion.  Proceeds </w:t>
      </w:r>
      <w:r>
        <w:rPr>
          <w:rFonts w:ascii="Times New Roman" w:hAnsi="Times New Roman" w:cs="Times New Roman"/>
          <w:sz w:val="20"/>
          <w:szCs w:val="20"/>
        </w:rPr>
        <w:t>from public capital market activities have been used for the purposes of, among other things, repaying indebtedness, acquiring interests in open-air shopping centers, funding real estate under development projects, expanding and improving properties in the</w:t>
      </w:r>
      <w:r>
        <w:rPr>
          <w:rFonts w:ascii="Times New Roman" w:hAnsi="Times New Roman" w:cs="Times New Roman"/>
          <w:sz w:val="20"/>
          <w:szCs w:val="20"/>
        </w:rPr>
        <w:t xml:space="preserve"> portfolio and other investments.</w:t>
      </w:r>
    </w:p>
    <w:p w:rsidR="00000000" w:rsidRDefault="008E203B">
      <w:pPr>
        <w:pStyle w:val="a3"/>
        <w:spacing w:before="0" w:beforeAutospacing="0" w:after="0" w:afterAutospacing="0"/>
        <w:ind w:firstLine="360"/>
        <w:jc w:val="both"/>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ind w:firstLine="360"/>
        <w:jc w:val="both"/>
        <w:rPr>
          <w:rFonts w:ascii="Times New Roman" w:hAnsi="Times New Roman" w:cs="Times New Roman"/>
          <w:sz w:val="20"/>
          <w:szCs w:val="20"/>
        </w:rPr>
      </w:pPr>
      <w:r>
        <w:rPr>
          <w:rFonts w:ascii="Times New Roman" w:hAnsi="Times New Roman" w:cs="Times New Roman"/>
          <w:sz w:val="20"/>
          <w:szCs w:val="20"/>
        </w:rPr>
        <w:t>During February 2018, the Company filed a shelf registration statement on Form S-3, which is effective for a term of three years, for the future unlimited offerings, from time-to-time, of debt securities, preferred stock</w:t>
      </w:r>
      <w:r>
        <w:rPr>
          <w:rFonts w:ascii="Times New Roman" w:hAnsi="Times New Roman" w:cs="Times New Roman"/>
          <w:sz w:val="20"/>
          <w:szCs w:val="20"/>
        </w:rPr>
        <w:t>, depositary shares, common stock and common stock warrants. The Company, pursuant to this shelf registration statement may, from time-to-time, offer for sale its senior unsecured debt for any general corporate purposes, including (i) funding specific liqu</w:t>
      </w:r>
      <w:r>
        <w:rPr>
          <w:rFonts w:ascii="Times New Roman" w:hAnsi="Times New Roman" w:cs="Times New Roman"/>
          <w:sz w:val="20"/>
          <w:szCs w:val="20"/>
        </w:rPr>
        <w:t>idity requirements in its business, including property acquisitions, development and redevelopment costs and (ii) managing the Company’s debt maturities.</w:t>
      </w:r>
    </w:p>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 </w:t>
      </w:r>
    </w:p>
    <w:p w:rsidR="00000000" w:rsidRDefault="008E203B">
      <w:pPr>
        <w:jc w:val="center"/>
        <w:divId w:val="326790121"/>
        <w:rPr>
          <w:rFonts w:ascii="Times New Roman" w:hAnsi="Times New Roman" w:cs="Times New Roman"/>
          <w:sz w:val="20"/>
          <w:szCs w:val="20"/>
        </w:rPr>
      </w:pPr>
      <w:r>
        <w:rPr>
          <w:rFonts w:ascii="Times New Roman" w:hAnsi="Times New Roman" w:cs="Times New Roman"/>
          <w:sz w:val="20"/>
          <w:szCs w:val="20"/>
        </w:rPr>
        <w:t>26</w:t>
      </w:r>
    </w:p>
    <w:p w:rsidR="00000000" w:rsidRDefault="008E203B">
      <w:pPr>
        <w:divId w:val="326790121"/>
        <w:rPr>
          <w:rFonts w:ascii="Times New Roman" w:hAnsi="Times New Roman" w:cs="Times New Roman"/>
          <w:sz w:val="20"/>
          <w:szCs w:val="20"/>
        </w:rPr>
      </w:pPr>
      <w:r>
        <w:rPr>
          <w:rFonts w:ascii="Times New Roman" w:hAnsi="Times New Roman" w:cs="Times New Roman"/>
          <w:sz w:val="20"/>
          <w:szCs w:val="20"/>
        </w:rPr>
        <w:pict>
          <v:rect id="_x0000_i1054" style="width:415.3pt;height:1.5pt" o:hralign="center" o:hrstd="t" o:hrnoshade="t" o:hr="t" fillcolor="black" stroked="f"/>
        </w:pict>
      </w:r>
    </w:p>
    <w:p w:rsidR="00000000" w:rsidRDefault="008E203B">
      <w:pPr>
        <w:divId w:val="326790121"/>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i/>
          <w:iCs/>
          <w:sz w:val="20"/>
          <w:szCs w:val="20"/>
        </w:rPr>
        <w:t>Common Stock –</w:t>
      </w:r>
    </w:p>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i/>
          <w:iCs/>
          <w:sz w:val="20"/>
          <w:szCs w:val="20"/>
        </w:rPr>
        <w:t> </w:t>
      </w:r>
    </w:p>
    <w:p w:rsidR="00000000" w:rsidRDefault="008E203B">
      <w:pPr>
        <w:pStyle w:val="a3"/>
        <w:spacing w:before="0" w:beforeAutospacing="0" w:after="0" w:afterAutospacing="0"/>
        <w:ind w:firstLine="360"/>
        <w:jc w:val="both"/>
        <w:rPr>
          <w:rFonts w:ascii="Times New Roman" w:hAnsi="Times New Roman" w:cs="Times New Roman"/>
          <w:sz w:val="20"/>
          <w:szCs w:val="20"/>
        </w:rPr>
      </w:pPr>
      <w:r>
        <w:rPr>
          <w:rFonts w:ascii="Times New Roman" w:hAnsi="Times New Roman" w:cs="Times New Roman"/>
          <w:sz w:val="20"/>
          <w:szCs w:val="20"/>
        </w:rPr>
        <w:t>During February 2018, the Company’s Board of Directors authorized a share repurchase program, which is effective for a term of two years, pursuant to which the Company may repurchase shares of its common stock, par valu</w:t>
      </w:r>
      <w:r>
        <w:rPr>
          <w:rFonts w:ascii="Times New Roman" w:hAnsi="Times New Roman" w:cs="Times New Roman"/>
          <w:sz w:val="20"/>
          <w:szCs w:val="20"/>
        </w:rPr>
        <w:t>e $0.01 per share, with an aggregate gross purchase price of up to $300.0 million. The Company did not repurchase any shares under the share repurchase program during the three months ended March 31, 2019. As of March 31, 2019, the Company had $224.9 milli</w:t>
      </w:r>
      <w:r>
        <w:rPr>
          <w:rFonts w:ascii="Times New Roman" w:hAnsi="Times New Roman" w:cs="Times New Roman"/>
          <w:sz w:val="20"/>
          <w:szCs w:val="20"/>
        </w:rPr>
        <w:t>on available under this common share repurchase program.</w:t>
      </w:r>
    </w:p>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i/>
          <w:iCs/>
          <w:sz w:val="20"/>
          <w:szCs w:val="20"/>
        </w:rPr>
        <w:t> </w:t>
      </w:r>
    </w:p>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i/>
          <w:iCs/>
          <w:sz w:val="20"/>
          <w:szCs w:val="20"/>
        </w:rPr>
        <w:t>Senior Notes –</w:t>
      </w:r>
    </w:p>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ind w:firstLine="360"/>
        <w:jc w:val="both"/>
        <w:rPr>
          <w:rFonts w:ascii="Times New Roman" w:hAnsi="Times New Roman" w:cs="Times New Roman"/>
          <w:sz w:val="20"/>
          <w:szCs w:val="20"/>
        </w:rPr>
      </w:pPr>
      <w:r>
        <w:rPr>
          <w:rFonts w:ascii="Times New Roman" w:hAnsi="Times New Roman" w:cs="Times New Roman"/>
          <w:sz w:val="20"/>
          <w:szCs w:val="20"/>
        </w:rPr>
        <w:t>The Company’s supplemental indenture governing its senior notes contains the following covenants, all of which the Company is compliant with:</w:t>
      </w:r>
    </w:p>
    <w:p w:rsidR="00000000" w:rsidRDefault="008E203B">
      <w:pPr>
        <w:pStyle w:val="a3"/>
        <w:spacing w:before="0" w:beforeAutospacing="0" w:after="0" w:afterAutospacing="0"/>
        <w:ind w:firstLine="360"/>
        <w:rPr>
          <w:rFonts w:ascii="Times New Roman" w:hAnsi="Times New Roman" w:cs="Times New Roman"/>
          <w:sz w:val="20"/>
          <w:szCs w:val="20"/>
        </w:rPr>
      </w:pPr>
      <w:r>
        <w:rPr>
          <w:rFonts w:ascii="Times New Roman" w:hAnsi="Times New Roman" w:cs="Times New Roman"/>
          <w:sz w:val="20"/>
          <w:szCs w:val="20"/>
        </w:rPr>
        <w:t> </w:t>
      </w:r>
    </w:p>
    <w:tbl>
      <w:tblPr>
        <w:tblW w:w="4750" w:type="pct"/>
        <w:tblCellSpacing w:w="15" w:type="dxa"/>
        <w:tblInd w:w="2" w:type="dxa"/>
        <w:tblCellMar>
          <w:top w:w="15" w:type="dxa"/>
          <w:left w:w="15" w:type="dxa"/>
          <w:bottom w:w="15" w:type="dxa"/>
          <w:right w:w="15" w:type="dxa"/>
        </w:tblCellMar>
        <w:tblLook w:val="04A0" w:firstRow="1" w:lastRow="0" w:firstColumn="1" w:lastColumn="0" w:noHBand="0" w:noVBand="1"/>
      </w:tblPr>
      <w:tblGrid>
        <w:gridCol w:w="5749"/>
        <w:gridCol w:w="110"/>
        <w:gridCol w:w="953"/>
        <w:gridCol w:w="110"/>
        <w:gridCol w:w="969"/>
      </w:tblGrid>
      <w:tr w:rsidR="00000000">
        <w:trPr>
          <w:tblCellSpacing w:w="15" w:type="dxa"/>
        </w:trPr>
        <w:tc>
          <w:tcPr>
            <w:tcW w:w="3700" w:type="pct"/>
            <w:tcBorders>
              <w:bottom w:val="single" w:sz="6" w:space="0" w:color="000000"/>
            </w:tcBorders>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Covenant</w:t>
            </w:r>
          </w:p>
        </w:tc>
        <w:tc>
          <w:tcPr>
            <w:tcW w:w="50" w:type="pct"/>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tcBorders>
              <w:bottom w:val="single" w:sz="6" w:space="0" w:color="000000"/>
            </w:tcBorders>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Must Be</w:t>
            </w:r>
          </w:p>
        </w:tc>
        <w:tc>
          <w:tcPr>
            <w:tcW w:w="50" w:type="pct"/>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tcBorders>
              <w:bottom w:val="single" w:sz="6" w:space="0" w:color="000000"/>
            </w:tcBorders>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As of March 31,</w:t>
            </w:r>
            <w:r>
              <w:rPr>
                <w:rFonts w:ascii="Times New Roman" w:hAnsi="Times New Roman" w:cs="Times New Roman"/>
                <w:b/>
                <w:bCs/>
                <w:sz w:val="20"/>
                <w:szCs w:val="20"/>
              </w:rPr>
              <w:t xml:space="preserve"> 2019</w:t>
            </w:r>
          </w:p>
        </w:tc>
      </w:tr>
      <w:tr w:rsidR="00000000">
        <w:trPr>
          <w:tblCellSpacing w:w="15" w:type="dxa"/>
        </w:trPr>
        <w:tc>
          <w:tcPr>
            <w:tcW w:w="3700" w:type="pct"/>
            <w:tcBorders>
              <w:bottom w:val="nil"/>
            </w:tcBorders>
            <w:shd w:val="clear" w:color="auto" w:fill="CCEEFF"/>
            <w:hideMark/>
          </w:tcPr>
          <w:p w:rsidR="00000000" w:rsidRDefault="008E203B">
            <w:pPr>
              <w:pStyle w:val="a3"/>
              <w:spacing w:before="0" w:beforeAutospacing="0" w:after="0" w:afterAutospacing="0"/>
              <w:ind w:left="168" w:hanging="168"/>
              <w:rPr>
                <w:rFonts w:ascii="Times New Roman" w:hAnsi="Times New Roman" w:cs="Times New Roman"/>
                <w:sz w:val="20"/>
                <w:szCs w:val="20"/>
              </w:rPr>
            </w:pPr>
            <w:r>
              <w:rPr>
                <w:rFonts w:ascii="Times New Roman" w:hAnsi="Times New Roman" w:cs="Times New Roman"/>
                <w:sz w:val="20"/>
                <w:szCs w:val="20"/>
              </w:rPr>
              <w:t>Consolidated Indebtedness to Total Assets</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tcBorders>
              <w:bottom w:val="nil"/>
            </w:tcBorders>
            <w:shd w:val="clear" w:color="auto" w:fill="CCEEFF"/>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&lt;65%</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tcBorders>
              <w:bottom w:val="nil"/>
            </w:tcBorders>
            <w:shd w:val="clear" w:color="auto" w:fill="CCEEFF"/>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37%</w:t>
            </w:r>
          </w:p>
        </w:tc>
      </w:tr>
      <w:tr w:rsidR="00000000">
        <w:trPr>
          <w:tblCellSpacing w:w="15" w:type="dxa"/>
        </w:trPr>
        <w:tc>
          <w:tcPr>
            <w:tcW w:w="3700" w:type="pct"/>
            <w:shd w:val="clear" w:color="auto" w:fill="FFFFFF"/>
            <w:hideMark/>
          </w:tcPr>
          <w:p w:rsidR="00000000" w:rsidRDefault="008E203B">
            <w:pPr>
              <w:pStyle w:val="a3"/>
              <w:spacing w:before="0" w:beforeAutospacing="0" w:after="0" w:afterAutospacing="0"/>
              <w:ind w:left="168" w:hanging="168"/>
              <w:rPr>
                <w:rFonts w:ascii="Times New Roman" w:hAnsi="Times New Roman" w:cs="Times New Roman"/>
                <w:sz w:val="20"/>
                <w:szCs w:val="20"/>
              </w:rPr>
            </w:pPr>
            <w:r>
              <w:rPr>
                <w:rFonts w:ascii="Times New Roman" w:hAnsi="Times New Roman" w:cs="Times New Roman"/>
                <w:sz w:val="20"/>
                <w:szCs w:val="20"/>
              </w:rPr>
              <w:t>Consolidated Secured Indebtedness to Total Assets</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shd w:val="clear" w:color="auto" w:fill="FFFFFF"/>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&lt;40%</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shd w:val="clear" w:color="auto" w:fill="FFFFFF"/>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4%</w:t>
            </w:r>
          </w:p>
        </w:tc>
      </w:tr>
      <w:tr w:rsidR="00000000">
        <w:trPr>
          <w:tblCellSpacing w:w="15" w:type="dxa"/>
        </w:trPr>
        <w:tc>
          <w:tcPr>
            <w:tcW w:w="3700" w:type="pct"/>
            <w:shd w:val="clear" w:color="auto" w:fill="CCEEFF"/>
            <w:hideMark/>
          </w:tcPr>
          <w:p w:rsidR="00000000" w:rsidRDefault="008E203B">
            <w:pPr>
              <w:pStyle w:val="a3"/>
              <w:spacing w:before="0" w:beforeAutospacing="0" w:after="0" w:afterAutospacing="0"/>
              <w:ind w:left="168" w:hanging="168"/>
              <w:rPr>
                <w:rFonts w:ascii="Times New Roman" w:hAnsi="Times New Roman" w:cs="Times New Roman"/>
                <w:sz w:val="20"/>
                <w:szCs w:val="20"/>
              </w:rPr>
            </w:pPr>
            <w:r>
              <w:rPr>
                <w:rFonts w:ascii="Times New Roman" w:hAnsi="Times New Roman" w:cs="Times New Roman"/>
                <w:sz w:val="20"/>
                <w:szCs w:val="20"/>
              </w:rPr>
              <w:t>Consolidated Income Available for Debt Service to Maximum Annual Service Charge</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shd w:val="clear" w:color="auto" w:fill="CCEEFF"/>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&gt;1.50x</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shd w:val="clear" w:color="auto" w:fill="CCEEFF"/>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5.8x</w:t>
            </w:r>
          </w:p>
        </w:tc>
      </w:tr>
      <w:tr w:rsidR="00000000">
        <w:trPr>
          <w:tblCellSpacing w:w="15" w:type="dxa"/>
        </w:trPr>
        <w:tc>
          <w:tcPr>
            <w:tcW w:w="3700" w:type="pct"/>
            <w:shd w:val="clear" w:color="auto" w:fill="FFFFFF"/>
            <w:hideMark/>
          </w:tcPr>
          <w:p w:rsidR="00000000" w:rsidRDefault="008E203B">
            <w:pPr>
              <w:pStyle w:val="a3"/>
              <w:spacing w:before="0" w:beforeAutospacing="0" w:after="0" w:afterAutospacing="0"/>
              <w:ind w:left="168" w:hanging="168"/>
              <w:rPr>
                <w:rFonts w:ascii="Times New Roman" w:hAnsi="Times New Roman" w:cs="Times New Roman"/>
                <w:sz w:val="20"/>
                <w:szCs w:val="20"/>
              </w:rPr>
            </w:pPr>
            <w:r>
              <w:rPr>
                <w:rFonts w:ascii="Times New Roman" w:hAnsi="Times New Roman" w:cs="Times New Roman"/>
                <w:sz w:val="20"/>
                <w:szCs w:val="20"/>
              </w:rPr>
              <w:t>Unencumbered Total Asset Value to Consolidated Unsecured Indebtedness</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shd w:val="clear" w:color="auto" w:fill="FFFFFF"/>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&gt;1.50x</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shd w:val="clear" w:color="auto" w:fill="FFFFFF"/>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2.7x</w:t>
            </w:r>
          </w:p>
        </w:tc>
      </w:tr>
    </w:tbl>
    <w:p w:rsidR="00000000" w:rsidRDefault="008E203B">
      <w:pPr>
        <w:pStyle w:val="a3"/>
        <w:spacing w:before="0" w:beforeAutospacing="0" w:after="0" w:afterAutospacing="0"/>
        <w:ind w:firstLine="360"/>
        <w:jc w:val="both"/>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ind w:firstLine="360"/>
        <w:jc w:val="both"/>
        <w:rPr>
          <w:rFonts w:ascii="Times New Roman" w:hAnsi="Times New Roman" w:cs="Times New Roman"/>
          <w:sz w:val="20"/>
          <w:szCs w:val="20"/>
        </w:rPr>
      </w:pPr>
      <w:r>
        <w:rPr>
          <w:rFonts w:ascii="Times New Roman" w:hAnsi="Times New Roman" w:cs="Times New Roman"/>
          <w:sz w:val="20"/>
          <w:szCs w:val="20"/>
        </w:rPr>
        <w:t>For a full description of the various indenture covenants refer to the Indenture dated September 1, 1993; the First Supplemental Indenture dated August 4, 1994; the Second Supplemental Indenture dated April 7, 1995; the Third Supplemental Indenture dated J</w:t>
      </w:r>
      <w:r>
        <w:rPr>
          <w:rFonts w:ascii="Times New Roman" w:hAnsi="Times New Roman" w:cs="Times New Roman"/>
          <w:sz w:val="20"/>
          <w:szCs w:val="20"/>
        </w:rPr>
        <w:t>une 2, 2006; the Fourth Supplemental Indenture dated April 26, 2007; the Fifth Supplemental Indenture dated as of September 24, 2009; the Sixth Supplemental Indenture dated as of May 23, 2013; and the Seventh Supplemental Indenture dated as of April 24, 20</w:t>
      </w:r>
      <w:r>
        <w:rPr>
          <w:rFonts w:ascii="Times New Roman" w:hAnsi="Times New Roman" w:cs="Times New Roman"/>
          <w:sz w:val="20"/>
          <w:szCs w:val="20"/>
        </w:rPr>
        <w:t>14, each as filed with the SEC. See the Exhibits Index to our Annual Report on Form 10-K for the year ended December 31, 2018 for specific filing information.</w:t>
      </w:r>
    </w:p>
    <w:p w:rsidR="00000000" w:rsidRDefault="008E203B">
      <w:pPr>
        <w:pStyle w:val="a3"/>
        <w:spacing w:before="0" w:beforeAutospacing="0" w:after="0" w:afterAutospacing="0"/>
        <w:ind w:firstLine="360"/>
        <w:jc w:val="both"/>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i/>
          <w:iCs/>
          <w:sz w:val="20"/>
          <w:szCs w:val="20"/>
        </w:rPr>
        <w:t>Credit Facility -</w:t>
      </w:r>
    </w:p>
    <w:p w:rsidR="00000000" w:rsidRDefault="008E203B">
      <w:pPr>
        <w:pStyle w:val="a3"/>
        <w:spacing w:before="0" w:beforeAutospacing="0" w:after="0" w:afterAutospacing="0"/>
        <w:ind w:firstLine="720"/>
        <w:jc w:val="both"/>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ind w:firstLine="360"/>
        <w:jc w:val="both"/>
        <w:rPr>
          <w:rFonts w:ascii="Times New Roman" w:hAnsi="Times New Roman" w:cs="Times New Roman"/>
          <w:sz w:val="20"/>
          <w:szCs w:val="20"/>
        </w:rPr>
      </w:pPr>
      <w:r>
        <w:rPr>
          <w:rFonts w:ascii="Times New Roman" w:hAnsi="Times New Roman" w:cs="Times New Roman"/>
          <w:sz w:val="20"/>
          <w:szCs w:val="20"/>
        </w:rPr>
        <w:t>The Company has a $2.25 billion unsecured revolving credit facility (the “C</w:t>
      </w:r>
      <w:r>
        <w:rPr>
          <w:rFonts w:ascii="Times New Roman" w:hAnsi="Times New Roman" w:cs="Times New Roman"/>
          <w:sz w:val="20"/>
          <w:szCs w:val="20"/>
        </w:rPr>
        <w:t>redit Facility”) with a group of banks, which is scheduled to expire in March 2021, with two additional six-month options to extend the maturity date, at the Company’s discretion, to March 2022. This Credit Facility, which accrues interest at a rate of LIB</w:t>
      </w:r>
      <w:r>
        <w:rPr>
          <w:rFonts w:ascii="Times New Roman" w:hAnsi="Times New Roman" w:cs="Times New Roman"/>
          <w:sz w:val="20"/>
          <w:szCs w:val="20"/>
        </w:rPr>
        <w:t>OR plus 87.5 basis points (3.37% as of March 31, 2019), can be increased to $2.75 billion through an accordion feature. In addition, the Credit Facility includes a $500.0 million sub-limit which provides the Company the opportunity to borrow in alternative</w:t>
      </w:r>
      <w:r>
        <w:rPr>
          <w:rFonts w:ascii="Times New Roman" w:hAnsi="Times New Roman" w:cs="Times New Roman"/>
          <w:sz w:val="20"/>
          <w:szCs w:val="20"/>
        </w:rPr>
        <w:t xml:space="preserve"> currencies including Canadian Dollars, British Pounds Sterling, Japanese Yen or Euros. Pursuant to the terms of the Credit Facility, the Company, among other things, is subject to covenants requiring the maintenance of (i) maximum leverage ratios on both </w:t>
      </w:r>
      <w:r>
        <w:rPr>
          <w:rFonts w:ascii="Times New Roman" w:hAnsi="Times New Roman" w:cs="Times New Roman"/>
          <w:sz w:val="20"/>
          <w:szCs w:val="20"/>
        </w:rPr>
        <w:t>unsecured and secured debt and (ii) minimum interest and fixed coverage ratios. As of March 31, 2019, the Credit Facility had a balance of $100.0 million outstanding and $0.3 million appropriated for letters of credit.</w:t>
      </w:r>
    </w:p>
    <w:p w:rsidR="00000000" w:rsidRDefault="008E203B">
      <w:pPr>
        <w:pStyle w:val="a3"/>
        <w:spacing w:before="0" w:beforeAutospacing="0" w:after="0" w:afterAutospacing="0"/>
        <w:ind w:firstLine="360"/>
        <w:jc w:val="both"/>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ind w:firstLine="360"/>
        <w:jc w:val="both"/>
        <w:rPr>
          <w:rFonts w:ascii="Times New Roman" w:hAnsi="Times New Roman" w:cs="Times New Roman"/>
          <w:sz w:val="20"/>
          <w:szCs w:val="20"/>
        </w:rPr>
      </w:pPr>
      <w:r>
        <w:rPr>
          <w:rFonts w:ascii="Times New Roman" w:hAnsi="Times New Roman" w:cs="Times New Roman"/>
          <w:sz w:val="20"/>
          <w:szCs w:val="20"/>
        </w:rPr>
        <w:t>Pursuant to the terms of the Credit</w:t>
      </w:r>
      <w:r>
        <w:rPr>
          <w:rFonts w:ascii="Times New Roman" w:hAnsi="Times New Roman" w:cs="Times New Roman"/>
          <w:sz w:val="20"/>
          <w:szCs w:val="20"/>
        </w:rPr>
        <w:t xml:space="preserve"> Facility, the Company, among other things, is subject to maintenance of various covenants. The Company is currently in compliance with these covenants. The financial covenants for the Credit Facility are as follows:</w:t>
      </w:r>
    </w:p>
    <w:p w:rsidR="00000000" w:rsidRDefault="008E203B">
      <w:pPr>
        <w:pStyle w:val="a3"/>
        <w:spacing w:before="0" w:beforeAutospacing="0" w:after="0" w:afterAutospacing="0"/>
        <w:ind w:firstLine="360"/>
        <w:rPr>
          <w:rFonts w:ascii="Times New Roman" w:hAnsi="Times New Roman" w:cs="Times New Roman"/>
          <w:sz w:val="20"/>
          <w:szCs w:val="20"/>
        </w:rPr>
      </w:pPr>
      <w:r>
        <w:rPr>
          <w:rFonts w:ascii="Times New Roman" w:hAnsi="Times New Roman" w:cs="Times New Roman"/>
          <w:sz w:val="20"/>
          <w:szCs w:val="20"/>
        </w:rPr>
        <w:t> </w:t>
      </w:r>
    </w:p>
    <w:tbl>
      <w:tblPr>
        <w:tblW w:w="4750" w:type="pct"/>
        <w:tblCellSpacing w:w="15" w:type="dxa"/>
        <w:tblInd w:w="2" w:type="dxa"/>
        <w:tblCellMar>
          <w:top w:w="15" w:type="dxa"/>
          <w:left w:w="15" w:type="dxa"/>
          <w:bottom w:w="15" w:type="dxa"/>
          <w:right w:w="15" w:type="dxa"/>
        </w:tblCellMar>
        <w:tblLook w:val="04A0" w:firstRow="1" w:lastRow="0" w:firstColumn="1" w:lastColumn="0" w:noHBand="0" w:noVBand="1"/>
      </w:tblPr>
      <w:tblGrid>
        <w:gridCol w:w="5749"/>
        <w:gridCol w:w="110"/>
        <w:gridCol w:w="953"/>
        <w:gridCol w:w="110"/>
        <w:gridCol w:w="969"/>
      </w:tblGrid>
      <w:tr w:rsidR="00000000">
        <w:trPr>
          <w:tblCellSpacing w:w="15" w:type="dxa"/>
        </w:trPr>
        <w:tc>
          <w:tcPr>
            <w:tcW w:w="3700" w:type="pct"/>
            <w:tcBorders>
              <w:bottom w:val="single" w:sz="6" w:space="0" w:color="000000"/>
            </w:tcBorders>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Covenant</w:t>
            </w:r>
          </w:p>
        </w:tc>
        <w:tc>
          <w:tcPr>
            <w:tcW w:w="50" w:type="pct"/>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tcBorders>
              <w:bottom w:val="single" w:sz="6" w:space="0" w:color="000000"/>
            </w:tcBorders>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Must Be</w:t>
            </w:r>
          </w:p>
        </w:tc>
        <w:tc>
          <w:tcPr>
            <w:tcW w:w="50" w:type="pct"/>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tcBorders>
              <w:bottom w:val="single" w:sz="6" w:space="0" w:color="000000"/>
            </w:tcBorders>
            <w:hideMark/>
          </w:tcPr>
          <w:p w:rsidR="00000000" w:rsidRDefault="008E203B">
            <w:pPr>
              <w:jc w:val="center"/>
              <w:rPr>
                <w:rFonts w:ascii="Times New Roman" w:hAnsi="Times New Roman" w:cs="Times New Roman"/>
                <w:sz w:val="20"/>
                <w:szCs w:val="20"/>
              </w:rPr>
            </w:pPr>
            <w:r>
              <w:rPr>
                <w:rFonts w:ascii="Times New Roman" w:hAnsi="Times New Roman" w:cs="Times New Roman"/>
                <w:b/>
                <w:bCs/>
                <w:sz w:val="20"/>
                <w:szCs w:val="20"/>
              </w:rPr>
              <w:t xml:space="preserve">As of </w:t>
            </w:r>
            <w:r>
              <w:rPr>
                <w:rFonts w:ascii="Times New Roman" w:hAnsi="Times New Roman" w:cs="Times New Roman"/>
                <w:b/>
                <w:bCs/>
                <w:sz w:val="20"/>
                <w:szCs w:val="20"/>
              </w:rPr>
              <w:t>March 31, 2019</w:t>
            </w:r>
          </w:p>
        </w:tc>
      </w:tr>
      <w:tr w:rsidR="00000000">
        <w:trPr>
          <w:tblCellSpacing w:w="15" w:type="dxa"/>
        </w:trPr>
        <w:tc>
          <w:tcPr>
            <w:tcW w:w="3700" w:type="pct"/>
            <w:tcBorders>
              <w:bottom w:val="nil"/>
            </w:tcBorders>
            <w:shd w:val="clear" w:color="auto" w:fill="CCEEFF"/>
            <w:hideMark/>
          </w:tcPr>
          <w:p w:rsidR="00000000" w:rsidRDefault="008E203B">
            <w:pPr>
              <w:pStyle w:val="a3"/>
              <w:spacing w:before="0" w:beforeAutospacing="0" w:after="0" w:afterAutospacing="0"/>
              <w:ind w:left="220" w:hanging="220"/>
              <w:rPr>
                <w:rFonts w:ascii="Times New Roman" w:hAnsi="Times New Roman" w:cs="Times New Roman"/>
                <w:sz w:val="20"/>
                <w:szCs w:val="20"/>
              </w:rPr>
            </w:pPr>
            <w:r>
              <w:rPr>
                <w:rFonts w:ascii="Times New Roman" w:hAnsi="Times New Roman" w:cs="Times New Roman"/>
                <w:sz w:val="20"/>
                <w:szCs w:val="20"/>
              </w:rPr>
              <w:t>Total Indebtedness to Gross Asset Value (“GAV”)</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tcBorders>
              <w:bottom w:val="nil"/>
            </w:tcBorders>
            <w:shd w:val="clear" w:color="auto" w:fill="CCEEFF"/>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&lt;60%</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tcBorders>
              <w:bottom w:val="nil"/>
            </w:tcBorders>
            <w:shd w:val="clear" w:color="auto" w:fill="CCEEFF"/>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38%</w:t>
            </w:r>
          </w:p>
        </w:tc>
      </w:tr>
      <w:tr w:rsidR="00000000">
        <w:trPr>
          <w:tblCellSpacing w:w="15" w:type="dxa"/>
        </w:trPr>
        <w:tc>
          <w:tcPr>
            <w:tcW w:w="3700" w:type="pct"/>
            <w:shd w:val="clear" w:color="auto" w:fill="FFFFFF"/>
            <w:hideMark/>
          </w:tcPr>
          <w:p w:rsidR="00000000" w:rsidRDefault="008E203B">
            <w:pPr>
              <w:pStyle w:val="a3"/>
              <w:spacing w:before="0" w:beforeAutospacing="0" w:after="0" w:afterAutospacing="0"/>
              <w:ind w:left="220" w:hanging="220"/>
              <w:rPr>
                <w:rFonts w:ascii="Times New Roman" w:hAnsi="Times New Roman" w:cs="Times New Roman"/>
                <w:sz w:val="20"/>
                <w:szCs w:val="20"/>
              </w:rPr>
            </w:pPr>
            <w:r>
              <w:rPr>
                <w:rFonts w:ascii="Times New Roman" w:hAnsi="Times New Roman" w:cs="Times New Roman"/>
                <w:sz w:val="20"/>
                <w:szCs w:val="20"/>
              </w:rPr>
              <w:t>Total Priority Indebtedness to GAV</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shd w:val="clear" w:color="auto" w:fill="FFFFFF"/>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&lt;35%</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shd w:val="clear" w:color="auto" w:fill="FFFFFF"/>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3%</w:t>
            </w:r>
          </w:p>
        </w:tc>
      </w:tr>
      <w:tr w:rsidR="00000000">
        <w:trPr>
          <w:tblCellSpacing w:w="15" w:type="dxa"/>
        </w:trPr>
        <w:tc>
          <w:tcPr>
            <w:tcW w:w="3700" w:type="pct"/>
            <w:shd w:val="clear" w:color="auto" w:fill="CCEEFF"/>
            <w:hideMark/>
          </w:tcPr>
          <w:p w:rsidR="00000000" w:rsidRDefault="008E203B">
            <w:pPr>
              <w:pStyle w:val="a3"/>
              <w:spacing w:before="0" w:beforeAutospacing="0" w:after="0" w:afterAutospacing="0"/>
              <w:ind w:left="220" w:hanging="220"/>
              <w:rPr>
                <w:rFonts w:ascii="Times New Roman" w:hAnsi="Times New Roman" w:cs="Times New Roman"/>
                <w:sz w:val="20"/>
                <w:szCs w:val="20"/>
              </w:rPr>
            </w:pPr>
            <w:r>
              <w:rPr>
                <w:rFonts w:ascii="Times New Roman" w:hAnsi="Times New Roman" w:cs="Times New Roman"/>
                <w:sz w:val="20"/>
                <w:szCs w:val="20"/>
              </w:rPr>
              <w:t>Unencumbered Asset Net Operating Income to Total Unsecured Interest Expense</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shd w:val="clear" w:color="auto" w:fill="CCEEFF"/>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&gt;1.75x</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shd w:val="clear" w:color="auto" w:fill="CCEEFF"/>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4.2x</w:t>
            </w:r>
          </w:p>
        </w:tc>
      </w:tr>
      <w:tr w:rsidR="00000000">
        <w:trPr>
          <w:tblCellSpacing w:w="15" w:type="dxa"/>
        </w:trPr>
        <w:tc>
          <w:tcPr>
            <w:tcW w:w="3700" w:type="pct"/>
            <w:shd w:val="clear" w:color="auto" w:fill="FFFFFF"/>
            <w:hideMark/>
          </w:tcPr>
          <w:p w:rsidR="00000000" w:rsidRDefault="008E203B">
            <w:pPr>
              <w:pStyle w:val="a3"/>
              <w:spacing w:before="0" w:beforeAutospacing="0" w:after="0" w:afterAutospacing="0"/>
              <w:ind w:left="220" w:hanging="220"/>
              <w:rPr>
                <w:rFonts w:ascii="Times New Roman" w:hAnsi="Times New Roman" w:cs="Times New Roman"/>
                <w:sz w:val="20"/>
                <w:szCs w:val="20"/>
              </w:rPr>
            </w:pPr>
            <w:r>
              <w:rPr>
                <w:rFonts w:ascii="Times New Roman" w:hAnsi="Times New Roman" w:cs="Times New Roman"/>
                <w:sz w:val="20"/>
                <w:szCs w:val="20"/>
              </w:rPr>
              <w:t>Fixed Charge Total Adjusted EBITDA to Total Debt Service</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shd w:val="clear" w:color="auto" w:fill="FFFFFF"/>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&gt;1.50x</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shd w:val="clear" w:color="auto" w:fill="FFFFFF"/>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3.0x</w:t>
            </w:r>
          </w:p>
        </w:tc>
      </w:tr>
    </w:tbl>
    <w:p w:rsidR="00000000" w:rsidRDefault="008E203B">
      <w:pPr>
        <w:pStyle w:val="a3"/>
        <w:spacing w:before="0" w:beforeAutospacing="0" w:after="0" w:afterAutospacing="0"/>
        <w:ind w:firstLine="360"/>
        <w:jc w:val="both"/>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ind w:firstLine="360"/>
        <w:jc w:val="both"/>
        <w:rPr>
          <w:rFonts w:ascii="Times New Roman" w:hAnsi="Times New Roman" w:cs="Times New Roman"/>
          <w:sz w:val="20"/>
          <w:szCs w:val="20"/>
        </w:rPr>
      </w:pPr>
      <w:r>
        <w:rPr>
          <w:rFonts w:ascii="Times New Roman" w:hAnsi="Times New Roman" w:cs="Times New Roman"/>
          <w:sz w:val="20"/>
          <w:szCs w:val="20"/>
        </w:rPr>
        <w:t>For a full description of the Credit Facility’s covenants refer to the Amended and Rest</w:t>
      </w:r>
      <w:r>
        <w:rPr>
          <w:rFonts w:ascii="Times New Roman" w:hAnsi="Times New Roman" w:cs="Times New Roman"/>
          <w:sz w:val="20"/>
          <w:szCs w:val="20"/>
        </w:rPr>
        <w:t>ated Credit Agreement dated as of February 1, 2018, filed as Exhibit 10.1 to the Company’s Current Report on Form 8-K dated January 30, 2018.</w:t>
      </w:r>
    </w:p>
    <w:p w:rsidR="00000000" w:rsidRDefault="008E203B">
      <w:pPr>
        <w:pStyle w:val="a3"/>
        <w:spacing w:before="0" w:beforeAutospacing="0" w:after="0" w:afterAutospacing="0"/>
        <w:ind w:firstLine="720"/>
        <w:jc w:val="both"/>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i/>
          <w:iCs/>
          <w:sz w:val="20"/>
          <w:szCs w:val="20"/>
        </w:rPr>
        <w:t>Mortgages and Construction Loan Payable –</w:t>
      </w:r>
    </w:p>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i/>
          <w:iCs/>
          <w:sz w:val="20"/>
          <w:szCs w:val="20"/>
        </w:rPr>
        <w:t> </w:t>
      </w:r>
    </w:p>
    <w:p w:rsidR="00000000" w:rsidRDefault="008E203B">
      <w:pPr>
        <w:pStyle w:val="a3"/>
        <w:spacing w:before="0" w:beforeAutospacing="0" w:after="0" w:afterAutospacing="0"/>
        <w:ind w:firstLine="360"/>
        <w:jc w:val="both"/>
        <w:rPr>
          <w:rFonts w:ascii="Times New Roman" w:hAnsi="Times New Roman" w:cs="Times New Roman"/>
          <w:sz w:val="20"/>
          <w:szCs w:val="20"/>
        </w:rPr>
      </w:pPr>
      <w:r>
        <w:rPr>
          <w:rFonts w:ascii="Times New Roman" w:hAnsi="Times New Roman" w:cs="Times New Roman"/>
          <w:sz w:val="20"/>
          <w:szCs w:val="20"/>
        </w:rPr>
        <w:t>During the three months ended March 31, 2019, the Company repaid $3.2 million of mortgage debt that encumbered an operating property.</w:t>
      </w:r>
    </w:p>
    <w:p w:rsidR="00000000" w:rsidRDefault="008E203B">
      <w:pPr>
        <w:pStyle w:val="a3"/>
        <w:spacing w:before="0" w:beforeAutospacing="0" w:after="0" w:afterAutospacing="0"/>
        <w:ind w:firstLine="360"/>
        <w:jc w:val="both"/>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ind w:firstLine="360"/>
        <w:jc w:val="both"/>
        <w:rPr>
          <w:rFonts w:ascii="Times New Roman" w:hAnsi="Times New Roman" w:cs="Times New Roman"/>
          <w:sz w:val="20"/>
          <w:szCs w:val="20"/>
        </w:rPr>
      </w:pPr>
      <w:r>
        <w:rPr>
          <w:rFonts w:ascii="Times New Roman" w:hAnsi="Times New Roman" w:cs="Times New Roman"/>
          <w:sz w:val="20"/>
          <w:szCs w:val="20"/>
        </w:rPr>
        <w:t>In August 2018, the Company closed on a construction loan commitment of $67.0 million relating to one of its development</w:t>
      </w:r>
      <w:r>
        <w:rPr>
          <w:rFonts w:ascii="Times New Roman" w:hAnsi="Times New Roman" w:cs="Times New Roman"/>
          <w:sz w:val="20"/>
          <w:szCs w:val="20"/>
        </w:rPr>
        <w:t xml:space="preserve"> projects. This loan commitment is scheduled to mature in August 2020, with six additional six-month options to extend the maturity date to August 2023 and bears interest at a rate of LIBOR plus 180 basis points (4.29% as of March 31, 2019). As of March 31</w:t>
      </w:r>
      <w:r>
        <w:rPr>
          <w:rFonts w:ascii="Times New Roman" w:hAnsi="Times New Roman" w:cs="Times New Roman"/>
          <w:sz w:val="20"/>
          <w:szCs w:val="20"/>
        </w:rPr>
        <w:t>, 2019, the construction loan had a balance of $54.3 million outstanding.</w:t>
      </w:r>
    </w:p>
    <w:p w:rsidR="00000000" w:rsidRDefault="008E203B">
      <w:pPr>
        <w:pStyle w:val="a3"/>
        <w:spacing w:before="0" w:beforeAutospacing="0" w:after="0" w:afterAutospacing="0"/>
        <w:ind w:firstLine="360"/>
        <w:jc w:val="both"/>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ind w:firstLine="360"/>
        <w:jc w:val="both"/>
        <w:rPr>
          <w:rFonts w:ascii="Times New Roman" w:hAnsi="Times New Roman" w:cs="Times New Roman"/>
          <w:sz w:val="20"/>
          <w:szCs w:val="20"/>
        </w:rPr>
      </w:pPr>
      <w:r>
        <w:rPr>
          <w:rFonts w:ascii="Times New Roman" w:hAnsi="Times New Roman" w:cs="Times New Roman"/>
          <w:sz w:val="20"/>
          <w:szCs w:val="20"/>
        </w:rPr>
        <w:t>In addition to the public equity and debt markets as capital sources, the Company may, from time-to-time, obtain mortgage financing on selected properties and construction loan fin</w:t>
      </w:r>
      <w:r>
        <w:rPr>
          <w:rFonts w:ascii="Times New Roman" w:hAnsi="Times New Roman" w:cs="Times New Roman"/>
          <w:sz w:val="20"/>
          <w:szCs w:val="20"/>
        </w:rPr>
        <w:t>ancing to partially fund the capital needs of its real estate development projects. As of March 31, 2019, the Company had over 320 unencumbered property interests in its portfolio.</w:t>
      </w:r>
    </w:p>
    <w:p w:rsidR="00000000" w:rsidRDefault="008E203B">
      <w:pPr>
        <w:pStyle w:val="a3"/>
        <w:spacing w:before="0" w:beforeAutospacing="0" w:after="0" w:afterAutospacing="0"/>
        <w:ind w:firstLine="720"/>
        <w:jc w:val="both"/>
        <w:rPr>
          <w:rFonts w:ascii="Times New Roman" w:hAnsi="Times New Roman" w:cs="Times New Roman"/>
          <w:sz w:val="20"/>
          <w:szCs w:val="20"/>
        </w:rPr>
      </w:pPr>
      <w:r>
        <w:rPr>
          <w:rFonts w:ascii="Times New Roman" w:hAnsi="Times New Roman" w:cs="Times New Roman"/>
          <w:sz w:val="20"/>
          <w:szCs w:val="20"/>
        </w:rPr>
        <w:t> </w:t>
      </w:r>
    </w:p>
    <w:p w:rsidR="00000000" w:rsidRDefault="008E203B">
      <w:pPr>
        <w:jc w:val="center"/>
        <w:divId w:val="652955016"/>
        <w:rPr>
          <w:rFonts w:ascii="Times New Roman" w:hAnsi="Times New Roman" w:cs="Times New Roman"/>
          <w:sz w:val="20"/>
          <w:szCs w:val="20"/>
        </w:rPr>
      </w:pPr>
      <w:r>
        <w:rPr>
          <w:rFonts w:ascii="Times New Roman" w:hAnsi="Times New Roman" w:cs="Times New Roman"/>
          <w:sz w:val="20"/>
          <w:szCs w:val="20"/>
        </w:rPr>
        <w:t>27</w:t>
      </w:r>
    </w:p>
    <w:p w:rsidR="00000000" w:rsidRDefault="008E203B">
      <w:pPr>
        <w:divId w:val="652955016"/>
        <w:rPr>
          <w:rFonts w:ascii="Times New Roman" w:hAnsi="Times New Roman" w:cs="Times New Roman"/>
          <w:sz w:val="20"/>
          <w:szCs w:val="20"/>
        </w:rPr>
      </w:pPr>
      <w:r>
        <w:rPr>
          <w:rFonts w:ascii="Times New Roman" w:hAnsi="Times New Roman" w:cs="Times New Roman"/>
          <w:sz w:val="20"/>
          <w:szCs w:val="20"/>
        </w:rPr>
        <w:pict>
          <v:rect id="_x0000_i1055" style="width:415.3pt;height:1.5pt" o:hralign="center" o:hrstd="t" o:hrnoshade="t" o:hr="t" fillcolor="black" stroked="f"/>
        </w:pict>
      </w:r>
    </w:p>
    <w:p w:rsidR="00000000" w:rsidRDefault="008E203B">
      <w:pPr>
        <w:divId w:val="652955016"/>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i/>
          <w:iCs/>
          <w:sz w:val="20"/>
          <w:szCs w:val="20"/>
        </w:rPr>
        <w:t>Dividends –</w:t>
      </w:r>
    </w:p>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i/>
          <w:iCs/>
          <w:sz w:val="20"/>
          <w:szCs w:val="20"/>
        </w:rPr>
        <w:t> </w:t>
      </w:r>
    </w:p>
    <w:p w:rsidR="00000000" w:rsidRDefault="008E203B">
      <w:pPr>
        <w:pStyle w:val="a3"/>
        <w:spacing w:before="0" w:beforeAutospacing="0" w:after="0" w:afterAutospacing="0"/>
        <w:ind w:firstLine="360"/>
        <w:jc w:val="both"/>
        <w:rPr>
          <w:rFonts w:ascii="Times New Roman" w:hAnsi="Times New Roman" w:cs="Times New Roman"/>
          <w:sz w:val="20"/>
          <w:szCs w:val="20"/>
        </w:rPr>
      </w:pPr>
      <w:r>
        <w:rPr>
          <w:rFonts w:ascii="Times New Roman" w:hAnsi="Times New Roman" w:cs="Times New Roman"/>
          <w:sz w:val="20"/>
          <w:szCs w:val="20"/>
        </w:rPr>
        <w:t xml:space="preserve">In connection with its intention to continue to qualify as a REIT for federal income tax purposes, the Company expects to continue paying regular dividends to its stockholders. These dividends will be paid from operating cash flows. The Company’s Board of </w:t>
      </w:r>
      <w:r>
        <w:rPr>
          <w:rFonts w:ascii="Times New Roman" w:hAnsi="Times New Roman" w:cs="Times New Roman"/>
          <w:sz w:val="20"/>
          <w:szCs w:val="20"/>
        </w:rPr>
        <w:t>Directors will continue to evaluate the Company’s dividend policy on a quarterly basis as the Board of Directors monitors sources of capital and evaluates the impact of the economy and capital markets availability on operating fundamentals.  Since cash use</w:t>
      </w:r>
      <w:r>
        <w:rPr>
          <w:rFonts w:ascii="Times New Roman" w:hAnsi="Times New Roman" w:cs="Times New Roman"/>
          <w:sz w:val="20"/>
          <w:szCs w:val="20"/>
        </w:rPr>
        <w:t>d to pay dividends reduces amounts available for capital investment, the Company generally intends to maintain a conservative dividend payout ratio, reserving such amounts as it considers necessary for the expansion and renovation of shopping centers in it</w:t>
      </w:r>
      <w:r>
        <w:rPr>
          <w:rFonts w:ascii="Times New Roman" w:hAnsi="Times New Roman" w:cs="Times New Roman"/>
          <w:sz w:val="20"/>
          <w:szCs w:val="20"/>
        </w:rPr>
        <w:t>s portfolio, debt reduction, the acquisition of interests in new properties and other investments as suitable opportunities arise and such other factors as the Board of Directors considers appropriate.  Cash dividends paid for common and preferred issuance</w:t>
      </w:r>
      <w:r>
        <w:rPr>
          <w:rFonts w:ascii="Times New Roman" w:hAnsi="Times New Roman" w:cs="Times New Roman"/>
          <w:sz w:val="20"/>
          <w:szCs w:val="20"/>
        </w:rPr>
        <w:t>s of stock for the three months ended March 31, 2019 and 2018 were $132.5 million and $130.2 million, respectively.</w:t>
      </w:r>
    </w:p>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ind w:firstLine="360"/>
        <w:jc w:val="both"/>
        <w:rPr>
          <w:rFonts w:ascii="Times New Roman" w:hAnsi="Times New Roman" w:cs="Times New Roman"/>
          <w:sz w:val="20"/>
          <w:szCs w:val="20"/>
        </w:rPr>
      </w:pPr>
      <w:r>
        <w:rPr>
          <w:rFonts w:ascii="Times New Roman" w:hAnsi="Times New Roman" w:cs="Times New Roman"/>
          <w:sz w:val="20"/>
          <w:szCs w:val="20"/>
        </w:rPr>
        <w:t>Although the Company receives substantially all of its rental payments on a monthly basis, it generally intends to continue paying dividen</w:t>
      </w:r>
      <w:r>
        <w:rPr>
          <w:rFonts w:ascii="Times New Roman" w:hAnsi="Times New Roman" w:cs="Times New Roman"/>
          <w:sz w:val="20"/>
          <w:szCs w:val="20"/>
        </w:rPr>
        <w:t>ds quarterly. Amounts accumulated in advance of each quarterly distribution will be invested by the Company in short-term money market or other suitable instruments. On January 29, 2019, the Company’s Board of Directors declared a quarterly cash dividend o</w:t>
      </w:r>
      <w:r>
        <w:rPr>
          <w:rFonts w:ascii="Times New Roman" w:hAnsi="Times New Roman" w:cs="Times New Roman"/>
          <w:sz w:val="20"/>
          <w:szCs w:val="20"/>
        </w:rPr>
        <w:t>f $0.28 per common share payable to shareholders of record on April 2, 2019, which was paid on April 15, 2019. Additionally, on April 30, 2019, the Company’s Board of Directors declared a quarterly cash dividend of $0.28 per common share payable to shareho</w:t>
      </w:r>
      <w:r>
        <w:rPr>
          <w:rFonts w:ascii="Times New Roman" w:hAnsi="Times New Roman" w:cs="Times New Roman"/>
          <w:sz w:val="20"/>
          <w:szCs w:val="20"/>
        </w:rPr>
        <w:t>lders of record on July 2, 2019, which is scheduled to be paid on July 15, 2019.</w:t>
      </w:r>
    </w:p>
    <w:p w:rsidR="00000000" w:rsidRDefault="008E203B">
      <w:pPr>
        <w:pStyle w:val="a3"/>
        <w:spacing w:before="0" w:beforeAutospacing="0" w:after="0" w:afterAutospacing="0"/>
        <w:ind w:firstLine="360"/>
        <w:jc w:val="both"/>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ind w:firstLine="360"/>
        <w:jc w:val="both"/>
        <w:rPr>
          <w:rFonts w:ascii="Times New Roman" w:hAnsi="Times New Roman" w:cs="Times New Roman"/>
          <w:sz w:val="20"/>
          <w:szCs w:val="20"/>
        </w:rPr>
      </w:pPr>
      <w:r>
        <w:rPr>
          <w:rFonts w:ascii="Times New Roman" w:hAnsi="Times New Roman" w:cs="Times New Roman"/>
          <w:sz w:val="20"/>
          <w:szCs w:val="20"/>
        </w:rPr>
        <w:t xml:space="preserve">The Company’s Board of Directors also declared quarterly dividends with respect to the Company’s various classes of cumulative redeemable preferred shares (Classes I, J, K, </w:t>
      </w:r>
      <w:r>
        <w:rPr>
          <w:rFonts w:ascii="Times New Roman" w:hAnsi="Times New Roman" w:cs="Times New Roman"/>
          <w:sz w:val="20"/>
          <w:szCs w:val="20"/>
        </w:rPr>
        <w:t>L and M). All dividends on the preferred shares were paid on April 15, 2019 to shareholders of record on April 1, 2019. Additionally, the Company’s Board of Directors also declared quarterly dividends with respect to the Company’s various classes of cumula</w:t>
      </w:r>
      <w:r>
        <w:rPr>
          <w:rFonts w:ascii="Times New Roman" w:hAnsi="Times New Roman" w:cs="Times New Roman"/>
          <w:sz w:val="20"/>
          <w:szCs w:val="20"/>
        </w:rPr>
        <w:t>tive redeemable preferred shares (Classes I, J, K, L and M). All dividends on the preferred shares are scheduled to be paid on July 15, 2019, to shareholders of record on July 1, 2019.</w:t>
      </w:r>
    </w:p>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i/>
          <w:iCs/>
          <w:sz w:val="20"/>
          <w:szCs w:val="20"/>
        </w:rPr>
        <w:t>Hurricane Impact –</w:t>
      </w:r>
    </w:p>
    <w:p w:rsidR="00000000" w:rsidRDefault="008E203B">
      <w:pPr>
        <w:pStyle w:val="a3"/>
        <w:spacing w:before="0" w:beforeAutospacing="0" w:after="0" w:afterAutospacing="0"/>
        <w:ind w:firstLine="360"/>
        <w:jc w:val="both"/>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ind w:firstLine="360"/>
        <w:jc w:val="both"/>
        <w:rPr>
          <w:rFonts w:ascii="Times New Roman" w:hAnsi="Times New Roman" w:cs="Times New Roman"/>
          <w:sz w:val="20"/>
          <w:szCs w:val="20"/>
        </w:rPr>
      </w:pPr>
      <w:r>
        <w:rPr>
          <w:rFonts w:ascii="Times New Roman" w:hAnsi="Times New Roman" w:cs="Times New Roman"/>
          <w:sz w:val="20"/>
          <w:szCs w:val="20"/>
        </w:rPr>
        <w:t>On September 20, 2017, Hurricane Maria struck Puerto Rico as a Category 4 hurricane which resulted in widespread damage, flooding, and power outages. The Company has interests in seven operating properties located throughout Puerto Rico, aggregating 2.2 mi</w:t>
      </w:r>
      <w:r>
        <w:rPr>
          <w:rFonts w:ascii="Times New Roman" w:hAnsi="Times New Roman" w:cs="Times New Roman"/>
          <w:sz w:val="20"/>
          <w:szCs w:val="20"/>
        </w:rPr>
        <w:t>llion square feet of GLA, which were variously impacted by the hurricane. The Company maintains a comprehensive property insurance policy on these properties with total coverage of up to $62.0 million, as well as business interruption insurance with covera</w:t>
      </w:r>
      <w:r>
        <w:rPr>
          <w:rFonts w:ascii="Times New Roman" w:hAnsi="Times New Roman" w:cs="Times New Roman"/>
          <w:sz w:val="20"/>
          <w:szCs w:val="20"/>
        </w:rPr>
        <w:t>ge up to $39.3 million in the aggregate, subject to a collective deductible of $1.2 million.</w:t>
      </w:r>
    </w:p>
    <w:p w:rsidR="00000000" w:rsidRDefault="008E203B">
      <w:pPr>
        <w:pStyle w:val="a3"/>
        <w:spacing w:before="0" w:beforeAutospacing="0" w:after="0" w:afterAutospacing="0"/>
        <w:ind w:firstLine="360"/>
        <w:jc w:val="both"/>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ind w:firstLine="360"/>
        <w:jc w:val="both"/>
        <w:rPr>
          <w:rFonts w:ascii="Times New Roman" w:hAnsi="Times New Roman" w:cs="Times New Roman"/>
          <w:sz w:val="20"/>
          <w:szCs w:val="20"/>
        </w:rPr>
      </w:pPr>
      <w:r>
        <w:rPr>
          <w:rFonts w:ascii="Times New Roman" w:hAnsi="Times New Roman" w:cs="Times New Roman"/>
          <w:sz w:val="20"/>
          <w:szCs w:val="20"/>
        </w:rPr>
        <w:t>The Company expects to collect property insurance proceeds (net of deductible) equal to the replacement cost of its damaged property, currently estimated to be a</w:t>
      </w:r>
      <w:r>
        <w:rPr>
          <w:rFonts w:ascii="Times New Roman" w:hAnsi="Times New Roman" w:cs="Times New Roman"/>
          <w:sz w:val="20"/>
          <w:szCs w:val="20"/>
        </w:rPr>
        <w:t>pproximately $30.3 million. As of March 31, 2019, the Company has collected property insurance proceeds totaling $21.2 million to date, which exceeds the $16.0 million previously written off due to property damage by $5.2 million. During the three months e</w:t>
      </w:r>
      <w:r>
        <w:rPr>
          <w:rFonts w:ascii="Times New Roman" w:hAnsi="Times New Roman" w:cs="Times New Roman"/>
          <w:sz w:val="20"/>
          <w:szCs w:val="20"/>
        </w:rPr>
        <w:t>nded March 31, 2019, the Company collected property insurance proceeds of $1.0 million and recognized this as income included in Other income, net on the Company’s Condensed Consolidated Statements of Income.</w:t>
      </w:r>
    </w:p>
    <w:p w:rsidR="00000000" w:rsidRDefault="008E203B">
      <w:pPr>
        <w:pStyle w:val="a3"/>
        <w:spacing w:before="0" w:beforeAutospacing="0" w:after="0" w:afterAutospacing="0"/>
        <w:ind w:firstLine="360"/>
        <w:jc w:val="both"/>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ind w:firstLine="360"/>
        <w:jc w:val="both"/>
        <w:rPr>
          <w:rFonts w:ascii="Times New Roman" w:hAnsi="Times New Roman" w:cs="Times New Roman"/>
          <w:sz w:val="20"/>
          <w:szCs w:val="20"/>
        </w:rPr>
      </w:pPr>
      <w:r>
        <w:rPr>
          <w:rFonts w:ascii="Times New Roman" w:hAnsi="Times New Roman" w:cs="Times New Roman"/>
          <w:sz w:val="20"/>
          <w:szCs w:val="20"/>
        </w:rPr>
        <w:t>The Company’s business interruption insurance</w:t>
      </w:r>
      <w:r>
        <w:rPr>
          <w:rFonts w:ascii="Times New Roman" w:hAnsi="Times New Roman" w:cs="Times New Roman"/>
          <w:sz w:val="20"/>
          <w:szCs w:val="20"/>
        </w:rPr>
        <w:t xml:space="preserve"> covers lost revenues as a result of the hurricane for a period of up to one year. After the expiration of one year following the loss, the policy has 365 days of an extended period of indemnity which provides business interruption coverage in the event th</w:t>
      </w:r>
      <w:r>
        <w:rPr>
          <w:rFonts w:ascii="Times New Roman" w:hAnsi="Times New Roman" w:cs="Times New Roman"/>
          <w:sz w:val="20"/>
          <w:szCs w:val="20"/>
        </w:rPr>
        <w:t xml:space="preserve">e properties have not fully recovered from the storm. Although the Company primarily recovered its business interruption insurance claims during 2018 and 2017, it will continue to assess and process any future business interruption claims for the extended </w:t>
      </w:r>
      <w:r>
        <w:rPr>
          <w:rFonts w:ascii="Times New Roman" w:hAnsi="Times New Roman" w:cs="Times New Roman"/>
          <w:sz w:val="20"/>
          <w:szCs w:val="20"/>
        </w:rPr>
        <w:t>period of indemnity and will submit insurance claims for its losses, if any, under its business interruption insurance policy.</w:t>
      </w:r>
    </w:p>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i/>
          <w:iCs/>
          <w:sz w:val="20"/>
          <w:szCs w:val="20"/>
        </w:rPr>
        <w:t>Other –</w:t>
      </w:r>
    </w:p>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ind w:firstLine="360"/>
        <w:jc w:val="both"/>
        <w:rPr>
          <w:rFonts w:ascii="Times New Roman" w:hAnsi="Times New Roman" w:cs="Times New Roman"/>
          <w:sz w:val="20"/>
          <w:szCs w:val="20"/>
        </w:rPr>
      </w:pPr>
      <w:r>
        <w:rPr>
          <w:rFonts w:ascii="Times New Roman" w:hAnsi="Times New Roman" w:cs="Times New Roman"/>
          <w:sz w:val="20"/>
          <w:szCs w:val="20"/>
        </w:rPr>
        <w:t>The Company is subject to taxes on its activities in Canada, Puerto Rico and Mexico.  In general, under local countr</w:t>
      </w:r>
      <w:r>
        <w:rPr>
          <w:rFonts w:ascii="Times New Roman" w:hAnsi="Times New Roman" w:cs="Times New Roman"/>
          <w:sz w:val="20"/>
          <w:szCs w:val="20"/>
        </w:rPr>
        <w:t>y law applicable to the structures the Company has in place and applicable treaties, the repatriation of cash to the Company from its subsidiaries and joint ventures in Canada, Puerto Rico and Mexico generally are not subject to withholding tax. The Compan</w:t>
      </w:r>
      <w:r>
        <w:rPr>
          <w:rFonts w:ascii="Times New Roman" w:hAnsi="Times New Roman" w:cs="Times New Roman"/>
          <w:sz w:val="20"/>
          <w:szCs w:val="20"/>
        </w:rPr>
        <w:t>y is subject to and also includes in its tax provision non-U.S. income taxes on certain investments located in jurisdictions outside the U.S. These investments are held by the Company at the REIT level and not in the Company’s taxable REIT subsidiary. Acco</w:t>
      </w:r>
      <w:r>
        <w:rPr>
          <w:rFonts w:ascii="Times New Roman" w:hAnsi="Times New Roman" w:cs="Times New Roman"/>
          <w:sz w:val="20"/>
          <w:szCs w:val="20"/>
        </w:rPr>
        <w:t>rdingly, the Company does not expect a U.S. income tax impact associated with the repatriation of undistributed earnings from the Company’s foreign subsidiaries.</w:t>
      </w:r>
    </w:p>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u w:val="single"/>
        </w:rPr>
        <w:t>Funds From Operations</w:t>
      </w:r>
    </w:p>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ind w:left="144" w:right="144" w:firstLine="360"/>
        <w:jc w:val="both"/>
        <w:rPr>
          <w:rFonts w:ascii="Times New Roman" w:hAnsi="Times New Roman" w:cs="Times New Roman"/>
          <w:sz w:val="20"/>
          <w:szCs w:val="20"/>
        </w:rPr>
      </w:pPr>
      <w:r>
        <w:rPr>
          <w:rFonts w:ascii="Times New Roman" w:hAnsi="Times New Roman" w:cs="Times New Roman"/>
          <w:sz w:val="20"/>
          <w:szCs w:val="20"/>
        </w:rPr>
        <w:t>Funds From Operations (“FFO”) is a supplemental non-GAAP financial m</w:t>
      </w:r>
      <w:r>
        <w:rPr>
          <w:rFonts w:ascii="Times New Roman" w:hAnsi="Times New Roman" w:cs="Times New Roman"/>
          <w:sz w:val="20"/>
          <w:szCs w:val="20"/>
        </w:rPr>
        <w:t>easure utilized to evaluate the operating performance of real estate companies. In December 2018, the National Association of Real Estate Investment Trusts (“NAREIT”) issued “NAREIT Funds From Operations White Paper – 2018 Restatement” which clarifies, whe</w:t>
      </w:r>
      <w:r>
        <w:rPr>
          <w:rFonts w:ascii="Times New Roman" w:hAnsi="Times New Roman" w:cs="Times New Roman"/>
          <w:sz w:val="20"/>
          <w:szCs w:val="20"/>
        </w:rPr>
        <w:t>re necessary, existing guidance and consolidates alerts and policy bulletins into a single document for ease of use.  NAREIT defines FFO as net income/(loss) available to the Company’s common shareholders computed in accordance with generally accepted acco</w:t>
      </w:r>
      <w:r>
        <w:rPr>
          <w:rFonts w:ascii="Times New Roman" w:hAnsi="Times New Roman" w:cs="Times New Roman"/>
          <w:sz w:val="20"/>
          <w:szCs w:val="20"/>
        </w:rPr>
        <w:t>unting principles in the United States (“GAAP”), excluding (i) depreciation and amortization related to real estate, (ii) gains or losses from sales of certain real estate assets, (iii) gains and losses from change in control, (iv) impairment write-downs o</w:t>
      </w:r>
      <w:r>
        <w:rPr>
          <w:rFonts w:ascii="Times New Roman" w:hAnsi="Times New Roman" w:cs="Times New Roman"/>
          <w:sz w:val="20"/>
          <w:szCs w:val="20"/>
        </w:rPr>
        <w:t>f certain real estate assets and investments in entities when the impairment is directly attributable to decreases in the value of depreciable real estate held by the entity and (v) after adjustments for unconsolidated partnerships and joint ventures calcu</w:t>
      </w:r>
      <w:r>
        <w:rPr>
          <w:rFonts w:ascii="Times New Roman" w:hAnsi="Times New Roman" w:cs="Times New Roman"/>
          <w:sz w:val="20"/>
          <w:szCs w:val="20"/>
        </w:rPr>
        <w:t>lated to reflect FFO on the same basis. Included in the 2018 Restatement is an option for the Company to make an election to include or exclude gains and losses on the sale of assets and impairments of assets incidental to its main business in the calculat</w:t>
      </w:r>
      <w:r>
        <w:rPr>
          <w:rFonts w:ascii="Times New Roman" w:hAnsi="Times New Roman" w:cs="Times New Roman"/>
          <w:sz w:val="20"/>
          <w:szCs w:val="20"/>
        </w:rPr>
        <w:t>ion of FFO. The main business of a REIT is acquiring, owning, operating, developing and redeveloping real estate in conjunction with its rental of real estate.  Incidental assets may include, but are not limited to, land peripheral to operating properties,</w:t>
      </w:r>
      <w:r>
        <w:rPr>
          <w:rFonts w:ascii="Times New Roman" w:hAnsi="Times New Roman" w:cs="Times New Roman"/>
          <w:sz w:val="20"/>
          <w:szCs w:val="20"/>
        </w:rPr>
        <w:t xml:space="preserve"> property developed for sale, and securities. The NAREIT FFO White Paper – 2018 Restatement (“FFO White Paper - 2018 Restatement”) is effective for annual periods beginning after December 31, 2018 and interim periods reported within those periods.</w:t>
      </w:r>
    </w:p>
    <w:p w:rsidR="00000000" w:rsidRDefault="008E203B">
      <w:pPr>
        <w:pStyle w:val="a3"/>
        <w:spacing w:before="0" w:beforeAutospacing="0" w:after="0" w:afterAutospacing="0"/>
        <w:ind w:firstLine="360"/>
        <w:jc w:val="both"/>
        <w:rPr>
          <w:rFonts w:ascii="Times New Roman" w:hAnsi="Times New Roman" w:cs="Times New Roman"/>
          <w:sz w:val="20"/>
          <w:szCs w:val="20"/>
        </w:rPr>
      </w:pPr>
      <w:r>
        <w:rPr>
          <w:rFonts w:ascii="Times New Roman" w:hAnsi="Times New Roman" w:cs="Times New Roman"/>
          <w:sz w:val="20"/>
          <w:szCs w:val="20"/>
        </w:rPr>
        <w:t> </w:t>
      </w:r>
    </w:p>
    <w:p w:rsidR="00000000" w:rsidRDefault="008E203B">
      <w:pPr>
        <w:jc w:val="center"/>
        <w:divId w:val="1984235034"/>
        <w:rPr>
          <w:rFonts w:ascii="Times New Roman" w:hAnsi="Times New Roman" w:cs="Times New Roman"/>
          <w:sz w:val="20"/>
          <w:szCs w:val="20"/>
        </w:rPr>
      </w:pPr>
      <w:r>
        <w:rPr>
          <w:rFonts w:ascii="Times New Roman" w:hAnsi="Times New Roman" w:cs="Times New Roman"/>
          <w:sz w:val="20"/>
          <w:szCs w:val="20"/>
        </w:rPr>
        <w:t>28</w:t>
      </w:r>
    </w:p>
    <w:p w:rsidR="00000000" w:rsidRDefault="008E203B">
      <w:pPr>
        <w:divId w:val="1984235034"/>
        <w:rPr>
          <w:rFonts w:ascii="Times New Roman" w:hAnsi="Times New Roman" w:cs="Times New Roman"/>
          <w:sz w:val="20"/>
          <w:szCs w:val="20"/>
        </w:rPr>
      </w:pPr>
      <w:r>
        <w:rPr>
          <w:rFonts w:ascii="Times New Roman" w:hAnsi="Times New Roman" w:cs="Times New Roman"/>
          <w:sz w:val="20"/>
          <w:szCs w:val="20"/>
        </w:rPr>
        <w:pict>
          <v:rect id="_x0000_i1056" style="width:415.3pt;height:1.5pt" o:hralign="center" o:hrstd="t" o:hrnoshade="t" o:hr="t" fillcolor="black" stroked="f"/>
        </w:pict>
      </w:r>
    </w:p>
    <w:p w:rsidR="00000000" w:rsidRDefault="008E203B">
      <w:pPr>
        <w:divId w:val="1984235034"/>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ind w:left="144" w:right="144" w:firstLine="360"/>
        <w:jc w:val="both"/>
        <w:rPr>
          <w:rFonts w:ascii="Times New Roman" w:hAnsi="Times New Roman" w:cs="Times New Roman"/>
          <w:sz w:val="20"/>
          <w:szCs w:val="20"/>
        </w:rPr>
      </w:pPr>
      <w:r>
        <w:rPr>
          <w:rFonts w:ascii="Times New Roman" w:hAnsi="Times New Roman" w:cs="Times New Roman"/>
          <w:sz w:val="20"/>
          <w:szCs w:val="20"/>
        </w:rPr>
        <w:t>As a result of adopting the FFO White Paper - 2018 Restatement, the Company has elected to exclude gai</w:t>
      </w:r>
      <w:r>
        <w:rPr>
          <w:rFonts w:ascii="Times New Roman" w:hAnsi="Times New Roman" w:cs="Times New Roman"/>
          <w:sz w:val="20"/>
          <w:szCs w:val="20"/>
        </w:rPr>
        <w:t xml:space="preserve">ns and losses on the sale of assets and impairments of assets incidental to its main business and to exclude mark-to-market changes in value of its equity securities in calculating FFO. As such, the Company will no longer include gains/impairments on land </w:t>
      </w:r>
      <w:r>
        <w:rPr>
          <w:rFonts w:ascii="Times New Roman" w:hAnsi="Times New Roman" w:cs="Times New Roman"/>
          <w:sz w:val="20"/>
          <w:szCs w:val="20"/>
        </w:rPr>
        <w:t>parcels, gains/losses (realized or unrealized) from marketable securities or gains/impairments on preferred equity participations in NAREIT defined FFO.</w:t>
      </w:r>
    </w:p>
    <w:p w:rsidR="00000000" w:rsidRDefault="008E203B">
      <w:pPr>
        <w:pStyle w:val="a3"/>
        <w:spacing w:before="0" w:beforeAutospacing="0" w:after="0" w:afterAutospacing="0"/>
        <w:ind w:left="144" w:right="144" w:firstLine="360"/>
        <w:jc w:val="both"/>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ind w:left="144" w:right="144" w:firstLine="360"/>
        <w:jc w:val="both"/>
        <w:rPr>
          <w:rFonts w:ascii="Times New Roman" w:hAnsi="Times New Roman" w:cs="Times New Roman"/>
          <w:sz w:val="20"/>
          <w:szCs w:val="20"/>
        </w:rPr>
      </w:pPr>
      <w:r>
        <w:rPr>
          <w:rFonts w:ascii="Times New Roman" w:hAnsi="Times New Roman" w:cs="Times New Roman"/>
          <w:sz w:val="20"/>
          <w:szCs w:val="20"/>
        </w:rPr>
        <w:t>The Company presents FFO available to the Company’s common shareholders as it considers it an importa</w:t>
      </w:r>
      <w:r>
        <w:rPr>
          <w:rFonts w:ascii="Times New Roman" w:hAnsi="Times New Roman" w:cs="Times New Roman"/>
          <w:sz w:val="20"/>
          <w:szCs w:val="20"/>
        </w:rPr>
        <w:t>nt supplemental measure of our operating performance and believes it is frequently used by securities analysts, investors and other interested parties in the evaluation of REITs, many of which present FFO available to the Company’s common shareholders when</w:t>
      </w:r>
      <w:r>
        <w:rPr>
          <w:rFonts w:ascii="Times New Roman" w:hAnsi="Times New Roman" w:cs="Times New Roman"/>
          <w:sz w:val="20"/>
          <w:szCs w:val="20"/>
        </w:rPr>
        <w:t xml:space="preserve"> reporting results. Comparison of our presentation of FFO available to the Company’s common shareholders to similarly titled measures for other REITs may not necessarily be meaningful due to possible differences in the application of the NAREIT definition </w:t>
      </w:r>
      <w:r>
        <w:rPr>
          <w:rFonts w:ascii="Times New Roman" w:hAnsi="Times New Roman" w:cs="Times New Roman"/>
          <w:sz w:val="20"/>
          <w:szCs w:val="20"/>
        </w:rPr>
        <w:t>used by such REITs.</w:t>
      </w:r>
    </w:p>
    <w:p w:rsidR="00000000" w:rsidRDefault="008E203B">
      <w:pPr>
        <w:pStyle w:val="a3"/>
        <w:spacing w:before="0" w:beforeAutospacing="0" w:after="0" w:afterAutospacing="0"/>
        <w:ind w:left="144" w:right="144" w:firstLine="360"/>
        <w:jc w:val="both"/>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ind w:left="144" w:right="144" w:firstLine="360"/>
        <w:jc w:val="both"/>
        <w:rPr>
          <w:rFonts w:ascii="Times New Roman" w:hAnsi="Times New Roman" w:cs="Times New Roman"/>
          <w:sz w:val="20"/>
          <w:szCs w:val="20"/>
        </w:rPr>
      </w:pPr>
      <w:r>
        <w:rPr>
          <w:rFonts w:ascii="Times New Roman" w:hAnsi="Times New Roman" w:cs="Times New Roman"/>
          <w:sz w:val="20"/>
          <w:szCs w:val="20"/>
        </w:rPr>
        <w:t>The Company also presents FFO available to the Company’</w:t>
      </w:r>
      <w:r>
        <w:rPr>
          <w:rFonts w:ascii="Times New Roman" w:hAnsi="Times New Roman" w:cs="Times New Roman"/>
          <w:sz w:val="20"/>
          <w:szCs w:val="20"/>
        </w:rPr>
        <w:t>s common shareholders as adjusted as an additional supplemental measure as it believes it is more reflective of its core operating performance and provides investors and analysts an additional measure to compare the Company’s performance across reporting p</w:t>
      </w:r>
      <w:r>
        <w:rPr>
          <w:rFonts w:ascii="Times New Roman" w:hAnsi="Times New Roman" w:cs="Times New Roman"/>
          <w:sz w:val="20"/>
          <w:szCs w:val="20"/>
        </w:rPr>
        <w:t>eriods on a consistent basis by excluding items that we do not believe are indicative of our core operating performance. FFO available to the Company’s common shareholders as adjusted is generally calculated by the Company as FFO available to the Company’s</w:t>
      </w:r>
      <w:r>
        <w:rPr>
          <w:rFonts w:ascii="Times New Roman" w:hAnsi="Times New Roman" w:cs="Times New Roman"/>
          <w:sz w:val="20"/>
          <w:szCs w:val="20"/>
        </w:rPr>
        <w:t xml:space="preserve"> common shareholders excluding certain transactional income and expenses and non-operating impairments which management believes are not reflective of the results within the Company’s operating real estate portfolio.</w:t>
      </w:r>
    </w:p>
    <w:p w:rsidR="00000000" w:rsidRDefault="008E203B">
      <w:pPr>
        <w:pStyle w:val="a3"/>
        <w:spacing w:before="0" w:beforeAutospacing="0" w:after="0" w:afterAutospacing="0"/>
        <w:ind w:left="144" w:right="144" w:firstLine="360"/>
        <w:jc w:val="both"/>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ind w:left="144" w:right="144" w:firstLine="360"/>
        <w:jc w:val="both"/>
        <w:rPr>
          <w:rFonts w:ascii="Times New Roman" w:hAnsi="Times New Roman" w:cs="Times New Roman"/>
          <w:sz w:val="20"/>
          <w:szCs w:val="20"/>
        </w:rPr>
      </w:pPr>
      <w:r>
        <w:rPr>
          <w:rFonts w:ascii="Times New Roman" w:hAnsi="Times New Roman" w:cs="Times New Roman"/>
          <w:sz w:val="20"/>
          <w:szCs w:val="20"/>
        </w:rPr>
        <w:t>FFO is a supplemental non-GAAP financ</w:t>
      </w:r>
      <w:r>
        <w:rPr>
          <w:rFonts w:ascii="Times New Roman" w:hAnsi="Times New Roman" w:cs="Times New Roman"/>
          <w:sz w:val="20"/>
          <w:szCs w:val="20"/>
        </w:rPr>
        <w:t xml:space="preserve">ial measure of real estate companies’ operating performances, which does not represent cash generated from operating activities in accordance with GAAP and therefore should not be considered an alternative for net income or cash flows from operations as a </w:t>
      </w:r>
      <w:r>
        <w:rPr>
          <w:rFonts w:ascii="Times New Roman" w:hAnsi="Times New Roman" w:cs="Times New Roman"/>
          <w:sz w:val="20"/>
          <w:szCs w:val="20"/>
        </w:rPr>
        <w:t>measure of liquidity.  Our method of calculating FFO available to the Company’s common shareholders and FFO available to the Company’s common shareholders as adjusted may be different from methods used by other REITs and, accordingly, may not be comparable</w:t>
      </w:r>
      <w:r>
        <w:rPr>
          <w:rFonts w:ascii="Times New Roman" w:hAnsi="Times New Roman" w:cs="Times New Roman"/>
          <w:sz w:val="20"/>
          <w:szCs w:val="20"/>
        </w:rPr>
        <w:t xml:space="preserve"> to such other REITs.</w:t>
      </w:r>
    </w:p>
    <w:p w:rsidR="00000000" w:rsidRDefault="008E203B">
      <w:pPr>
        <w:pStyle w:val="a3"/>
        <w:spacing w:before="0" w:beforeAutospacing="0" w:after="0" w:afterAutospacing="0"/>
        <w:ind w:left="144" w:right="144" w:firstLine="360"/>
        <w:jc w:val="both"/>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ind w:left="144" w:right="144" w:firstLine="360"/>
        <w:jc w:val="both"/>
        <w:rPr>
          <w:rFonts w:ascii="Times New Roman" w:hAnsi="Times New Roman" w:cs="Times New Roman"/>
          <w:sz w:val="20"/>
          <w:szCs w:val="20"/>
        </w:rPr>
      </w:pPr>
      <w:r>
        <w:rPr>
          <w:rFonts w:ascii="Times New Roman" w:hAnsi="Times New Roman" w:cs="Times New Roman"/>
          <w:sz w:val="20"/>
          <w:szCs w:val="20"/>
        </w:rPr>
        <w:t xml:space="preserve">The Company’s reconciliation of net income available to the Company’s common shareholders to FFO available to the Company’s common shareholders and FFO available to the Company’s common shareholders as adjusted, is reflected in the </w:t>
      </w:r>
      <w:r>
        <w:rPr>
          <w:rFonts w:ascii="Times New Roman" w:hAnsi="Times New Roman" w:cs="Times New Roman"/>
          <w:sz w:val="20"/>
          <w:szCs w:val="20"/>
        </w:rPr>
        <w:t xml:space="preserve">table below (in thousands, except per share data). In conjunction with the adoption of NAREIT’s FFO White Paper – 2018 Restatement, the Company has reclassified $3.5 million from transactional income into FFO available to the Company’s common shareholders </w:t>
      </w:r>
      <w:r>
        <w:rPr>
          <w:rFonts w:ascii="Times New Roman" w:hAnsi="Times New Roman" w:cs="Times New Roman"/>
          <w:sz w:val="20"/>
          <w:szCs w:val="20"/>
        </w:rPr>
        <w:t>for the three months ended March 31, 2018, relating to incidental gains and losses on the sale of assets and mark-to-market changes in equity securities.  This reclassification had no impact on FFO available to the Company’s common shareholders as adjusted</w:t>
      </w:r>
      <w:r>
        <w:rPr>
          <w:rFonts w:ascii="Times New Roman" w:hAnsi="Times New Roman" w:cs="Times New Roman"/>
          <w:sz w:val="20"/>
          <w:szCs w:val="20"/>
        </w:rPr>
        <w:t xml:space="preserve"> for the three months ended March 31, 2018.</w:t>
      </w:r>
    </w:p>
    <w:p w:rsidR="00000000" w:rsidRDefault="008E203B">
      <w:pPr>
        <w:pStyle w:val="a3"/>
        <w:spacing w:before="0" w:beforeAutospacing="0" w:after="0" w:afterAutospacing="0"/>
        <w:ind w:firstLine="360"/>
        <w:jc w:val="both"/>
        <w:rPr>
          <w:rFonts w:ascii="Times New Roman" w:hAnsi="Times New Roman" w:cs="Times New Roman"/>
          <w:sz w:val="20"/>
          <w:szCs w:val="20"/>
        </w:rPr>
      </w:pPr>
      <w:r>
        <w:rPr>
          <w:rFonts w:ascii="Times New Roman" w:hAnsi="Times New Roman" w:cs="Times New Roman"/>
          <w:sz w:val="20"/>
          <w:szCs w:val="20"/>
        </w:rPr>
        <w:t> </w:t>
      </w:r>
    </w:p>
    <w:tbl>
      <w:tblPr>
        <w:tblW w:w="4500" w:type="pct"/>
        <w:tblCellSpacing w:w="0" w:type="dxa"/>
        <w:tblInd w:w="5" w:type="dxa"/>
        <w:tblCellMar>
          <w:left w:w="0" w:type="dxa"/>
          <w:right w:w="0" w:type="dxa"/>
        </w:tblCellMar>
        <w:tblLook w:val="04A0" w:firstRow="1" w:lastRow="0" w:firstColumn="1" w:lastColumn="0" w:noHBand="0" w:noVBand="1"/>
      </w:tblPr>
      <w:tblGrid>
        <w:gridCol w:w="4578"/>
        <w:gridCol w:w="50"/>
        <w:gridCol w:w="101"/>
        <w:gridCol w:w="1204"/>
        <w:gridCol w:w="86"/>
        <w:gridCol w:w="86"/>
        <w:gridCol w:w="100"/>
        <w:gridCol w:w="1203"/>
        <w:gridCol w:w="67"/>
      </w:tblGrid>
      <w:tr w:rsidR="00000000">
        <w:trPr>
          <w:tblCellSpacing w:w="0" w:type="dxa"/>
        </w:trPr>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pct"/>
            <w:gridSpan w:val="6"/>
            <w:tcBorders>
              <w:bottom w:val="single" w:sz="6" w:space="0" w:color="000000"/>
            </w:tcBorders>
            <w:noWrap/>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Three Months Ended March 31,</w:t>
            </w:r>
          </w:p>
        </w:tc>
        <w:tc>
          <w:tcPr>
            <w:tcW w:w="0" w:type="auto"/>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tblCellSpacing w:w="0" w:type="dxa"/>
        </w:trPr>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gridSpan w:val="2"/>
            <w:tcBorders>
              <w:bottom w:val="single" w:sz="6" w:space="0" w:color="000000"/>
            </w:tcBorders>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2019</w:t>
            </w:r>
          </w:p>
        </w:tc>
        <w:tc>
          <w:tcPr>
            <w:tcW w:w="0" w:type="auto"/>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gridSpan w:val="2"/>
            <w:tcBorders>
              <w:bottom w:val="single" w:sz="6" w:space="0" w:color="000000"/>
            </w:tcBorders>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2018</w:t>
            </w:r>
          </w:p>
        </w:tc>
        <w:tc>
          <w:tcPr>
            <w:tcW w:w="0" w:type="auto"/>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tblCellSpacing w:w="0" w:type="dxa"/>
        </w:trPr>
        <w:tc>
          <w:tcPr>
            <w:tcW w:w="3300" w:type="pct"/>
            <w:shd w:val="clear" w:color="auto" w:fill="CCEEFF"/>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20"/>
                <w:szCs w:val="20"/>
              </w:rPr>
              <w:t>Net income available to the Company’s common shareholders</w:t>
            </w:r>
          </w:p>
        </w:tc>
        <w:tc>
          <w:tcPr>
            <w:tcW w:w="50" w:type="pct"/>
            <w:tcBorders>
              <w:bottom w:val="nil"/>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nil"/>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b/>
                <w:bCs/>
                <w:sz w:val="20"/>
                <w:szCs w:val="20"/>
              </w:rPr>
              <w:t>$</w:t>
            </w:r>
          </w:p>
        </w:tc>
        <w:tc>
          <w:tcPr>
            <w:tcW w:w="700" w:type="pct"/>
            <w:tcBorders>
              <w:bottom w:val="nil"/>
            </w:tcBorders>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b/>
                <w:bCs/>
                <w:sz w:val="20"/>
                <w:szCs w:val="20"/>
              </w:rPr>
              <w:t>101,635</w:t>
            </w:r>
          </w:p>
        </w:tc>
        <w:tc>
          <w:tcPr>
            <w:tcW w:w="50" w:type="pct"/>
            <w:tcBorders>
              <w:bottom w:val="nil"/>
            </w:tcBorders>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nil"/>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nil"/>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b/>
                <w:bCs/>
                <w:sz w:val="20"/>
                <w:szCs w:val="20"/>
              </w:rPr>
              <w:t>$</w:t>
            </w:r>
          </w:p>
        </w:tc>
        <w:tc>
          <w:tcPr>
            <w:tcW w:w="700" w:type="pct"/>
            <w:tcBorders>
              <w:bottom w:val="nil"/>
            </w:tcBorders>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b/>
                <w:bCs/>
                <w:sz w:val="20"/>
                <w:szCs w:val="20"/>
              </w:rPr>
              <w:t>129,501</w:t>
            </w:r>
          </w:p>
        </w:tc>
        <w:tc>
          <w:tcPr>
            <w:tcW w:w="50" w:type="pct"/>
            <w:tcBorders>
              <w:bottom w:val="nil"/>
            </w:tcBorders>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tblCellSpacing w:w="0" w:type="dxa"/>
        </w:trPr>
        <w:tc>
          <w:tcPr>
            <w:tcW w:w="0" w:type="auto"/>
            <w:shd w:val="clear" w:color="auto" w:fill="FFFFFF"/>
            <w:vAlign w:val="bottom"/>
            <w:hideMark/>
          </w:tcPr>
          <w:p w:rsidR="00000000" w:rsidRDefault="008E203B">
            <w:pPr>
              <w:pStyle w:val="a3"/>
              <w:spacing w:before="0" w:beforeAutospacing="0" w:after="0" w:afterAutospacing="0"/>
              <w:ind w:left="330" w:hanging="165"/>
              <w:rPr>
                <w:rFonts w:ascii="Times New Roman" w:hAnsi="Times New Roman" w:cs="Times New Roman"/>
                <w:sz w:val="20"/>
                <w:szCs w:val="20"/>
              </w:rPr>
            </w:pPr>
            <w:r>
              <w:rPr>
                <w:rFonts w:ascii="Times New Roman" w:hAnsi="Times New Roman" w:cs="Times New Roman"/>
                <w:sz w:val="20"/>
                <w:szCs w:val="20"/>
              </w:rPr>
              <w:t>Gain on sale of properties/change in control of interests</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70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(23,595</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70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(57,423</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r>
      <w:tr w:rsidR="00000000">
        <w:trPr>
          <w:tblCellSpacing w:w="0" w:type="dxa"/>
        </w:trPr>
        <w:tc>
          <w:tcPr>
            <w:tcW w:w="0" w:type="auto"/>
            <w:shd w:val="clear" w:color="auto" w:fill="CCEEFF"/>
            <w:vAlign w:val="bottom"/>
            <w:hideMark/>
          </w:tcPr>
          <w:p w:rsidR="00000000" w:rsidRDefault="008E203B">
            <w:pPr>
              <w:pStyle w:val="a3"/>
              <w:spacing w:before="0" w:beforeAutospacing="0" w:after="0" w:afterAutospacing="0"/>
              <w:ind w:left="330" w:hanging="165"/>
              <w:rPr>
                <w:rFonts w:ascii="Times New Roman" w:hAnsi="Times New Roman" w:cs="Times New Roman"/>
                <w:sz w:val="20"/>
                <w:szCs w:val="20"/>
              </w:rPr>
            </w:pPr>
            <w:r>
              <w:rPr>
                <w:rFonts w:ascii="Times New Roman" w:hAnsi="Times New Roman" w:cs="Times New Roman"/>
                <w:sz w:val="20"/>
                <w:szCs w:val="20"/>
              </w:rPr>
              <w:t>Gain on sale of joint venture properties</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70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(4,690</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70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(2,039</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r>
      <w:tr w:rsidR="00000000">
        <w:trPr>
          <w:tblCellSpacing w:w="0" w:type="dxa"/>
        </w:trPr>
        <w:tc>
          <w:tcPr>
            <w:tcW w:w="0" w:type="auto"/>
            <w:shd w:val="clear" w:color="auto" w:fill="FFFFFF"/>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Depreciation and amortization - real estate related</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70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71,260</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70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78,992</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tblCellSpacing w:w="0" w:type="dxa"/>
        </w:trPr>
        <w:tc>
          <w:tcPr>
            <w:tcW w:w="0" w:type="auto"/>
            <w:shd w:val="clear" w:color="auto" w:fill="CCEEFF"/>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Depreciation and amortization - real estate joint venture</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70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10,161</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70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9,284</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tblCellSpacing w:w="0" w:type="dxa"/>
        </w:trPr>
        <w:tc>
          <w:tcPr>
            <w:tcW w:w="0" w:type="auto"/>
            <w:shd w:val="clear" w:color="auto" w:fill="FFFFFF"/>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Impairment charges</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70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6,408</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70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7,714</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tblCellSpacing w:w="0" w:type="dxa"/>
        </w:trPr>
        <w:tc>
          <w:tcPr>
            <w:tcW w:w="0" w:type="auto"/>
            <w:shd w:val="clear" w:color="auto" w:fill="CCEEFF"/>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Profit participation from other real estate investments, net</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70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(1,030</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70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(4,728</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r>
      <w:tr w:rsidR="00000000">
        <w:trPr>
          <w:tblCellSpacing w:w="0" w:type="dxa"/>
        </w:trPr>
        <w:tc>
          <w:tcPr>
            <w:tcW w:w="0" w:type="auto"/>
            <w:shd w:val="clear" w:color="auto" w:fill="FFFFFF"/>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(Gain)/loss on marketable securities</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70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(1,503</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70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1,510</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tblCellSpacing w:w="0" w:type="dxa"/>
        </w:trPr>
        <w:tc>
          <w:tcPr>
            <w:tcW w:w="0" w:type="auto"/>
            <w:shd w:val="clear" w:color="auto" w:fill="CCEEFF"/>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Noncontrolling interests (1)</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single" w:sz="6" w:space="0" w:color="000000"/>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700" w:type="pct"/>
            <w:tcBorders>
              <w:bottom w:val="single" w:sz="6" w:space="0" w:color="000000"/>
            </w:tcBorders>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(248</w:t>
            </w:r>
          </w:p>
        </w:tc>
        <w:tc>
          <w:tcPr>
            <w:tcW w:w="50" w:type="pct"/>
            <w:shd w:val="clear" w:color="auto" w:fill="CCEEFF"/>
            <w:noWrap/>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single" w:sz="6" w:space="0" w:color="000000"/>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700" w:type="pct"/>
            <w:tcBorders>
              <w:bottom w:val="single" w:sz="6" w:space="0" w:color="000000"/>
            </w:tcBorders>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(1,418</w:t>
            </w:r>
          </w:p>
        </w:tc>
        <w:tc>
          <w:tcPr>
            <w:tcW w:w="50" w:type="pct"/>
            <w:shd w:val="clear" w:color="auto" w:fill="CCEEFF"/>
            <w:noWrap/>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r>
      <w:tr w:rsidR="00000000">
        <w:trPr>
          <w:tblCellSpacing w:w="0" w:type="dxa"/>
        </w:trPr>
        <w:tc>
          <w:tcPr>
            <w:tcW w:w="0" w:type="auto"/>
            <w:shd w:val="clear" w:color="auto" w:fill="FFFFFF"/>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20"/>
                <w:szCs w:val="20"/>
              </w:rPr>
              <w:t>FFO available to the Company’s common shareholders</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single" w:sz="6" w:space="0" w:color="000000"/>
            </w:tcBorders>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b/>
                <w:bCs/>
                <w:sz w:val="20"/>
                <w:szCs w:val="20"/>
              </w:rPr>
              <w:t> </w:t>
            </w:r>
          </w:p>
        </w:tc>
        <w:tc>
          <w:tcPr>
            <w:tcW w:w="700" w:type="pct"/>
            <w:tcBorders>
              <w:bottom w:val="single" w:sz="6" w:space="0" w:color="000000"/>
            </w:tcBorders>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b/>
                <w:bCs/>
                <w:sz w:val="20"/>
                <w:szCs w:val="20"/>
              </w:rPr>
              <w:t>158,398</w:t>
            </w:r>
          </w:p>
        </w:tc>
        <w:tc>
          <w:tcPr>
            <w:tcW w:w="50" w:type="pct"/>
            <w:shd w:val="clear" w:color="auto" w:fill="FFFFFF"/>
            <w:noWrap/>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single" w:sz="6" w:space="0" w:color="000000"/>
            </w:tcBorders>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b/>
                <w:bCs/>
                <w:sz w:val="20"/>
                <w:szCs w:val="20"/>
              </w:rPr>
              <w:t> </w:t>
            </w:r>
          </w:p>
        </w:tc>
        <w:tc>
          <w:tcPr>
            <w:tcW w:w="700" w:type="pct"/>
            <w:tcBorders>
              <w:bottom w:val="single" w:sz="6" w:space="0" w:color="000000"/>
            </w:tcBorders>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b/>
                <w:bCs/>
                <w:sz w:val="20"/>
                <w:szCs w:val="20"/>
              </w:rPr>
              <w:t>161,393</w:t>
            </w:r>
          </w:p>
        </w:tc>
        <w:tc>
          <w:tcPr>
            <w:tcW w:w="50" w:type="pct"/>
            <w:shd w:val="clear" w:color="auto" w:fill="FFFFFF"/>
            <w:noWrap/>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tblCellSpacing w:w="0" w:type="dxa"/>
        </w:trPr>
        <w:tc>
          <w:tcPr>
            <w:tcW w:w="0" w:type="auto"/>
            <w:shd w:val="clear" w:color="auto" w:fill="CCEEFF"/>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Transactional (income)/expense:</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tblCellSpacing w:w="0" w:type="dxa"/>
        </w:trPr>
        <w:tc>
          <w:tcPr>
            <w:tcW w:w="0" w:type="auto"/>
            <w:shd w:val="clear" w:color="auto" w:fill="FFFFFF"/>
            <w:vAlign w:val="bottom"/>
            <w:hideMark/>
          </w:tcPr>
          <w:p w:rsidR="00000000" w:rsidRDefault="008E203B">
            <w:pPr>
              <w:pStyle w:val="a3"/>
              <w:spacing w:before="0" w:beforeAutospacing="0" w:after="0" w:afterAutospacing="0"/>
              <w:ind w:left="180"/>
              <w:rPr>
                <w:rFonts w:ascii="Times New Roman" w:hAnsi="Times New Roman" w:cs="Times New Roman"/>
                <w:sz w:val="20"/>
                <w:szCs w:val="20"/>
              </w:rPr>
            </w:pPr>
            <w:r>
              <w:rPr>
                <w:rFonts w:ascii="Times New Roman" w:hAnsi="Times New Roman" w:cs="Times New Roman"/>
                <w:sz w:val="20"/>
                <w:szCs w:val="20"/>
              </w:rPr>
              <w:t>Severance costs</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70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70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693</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tblCellSpacing w:w="0" w:type="dxa"/>
        </w:trPr>
        <w:tc>
          <w:tcPr>
            <w:tcW w:w="0" w:type="auto"/>
            <w:shd w:val="clear" w:color="auto" w:fill="CCEEFF"/>
            <w:vAlign w:val="bottom"/>
            <w:hideMark/>
          </w:tcPr>
          <w:p w:rsidR="00000000" w:rsidRDefault="008E203B">
            <w:pPr>
              <w:pStyle w:val="a3"/>
              <w:spacing w:before="0" w:beforeAutospacing="0" w:after="0" w:afterAutospacing="0"/>
              <w:ind w:left="180"/>
              <w:rPr>
                <w:rFonts w:ascii="Times New Roman" w:hAnsi="Times New Roman" w:cs="Times New Roman"/>
                <w:sz w:val="20"/>
                <w:szCs w:val="20"/>
              </w:rPr>
            </w:pPr>
            <w:r>
              <w:rPr>
                <w:rFonts w:ascii="Times New Roman" w:hAnsi="Times New Roman" w:cs="Times New Roman"/>
                <w:sz w:val="20"/>
                <w:szCs w:val="20"/>
              </w:rPr>
              <w:t>Gain on forgiveness of debt</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70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70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(4,274</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r>
      <w:tr w:rsidR="00000000">
        <w:trPr>
          <w:tblCellSpacing w:w="0" w:type="dxa"/>
        </w:trPr>
        <w:tc>
          <w:tcPr>
            <w:tcW w:w="0" w:type="auto"/>
            <w:shd w:val="clear" w:color="auto" w:fill="FFFFFF"/>
            <w:vAlign w:val="bottom"/>
            <w:hideMark/>
          </w:tcPr>
          <w:p w:rsidR="00000000" w:rsidRDefault="008E203B">
            <w:pPr>
              <w:pStyle w:val="a3"/>
              <w:spacing w:before="0" w:beforeAutospacing="0" w:after="0" w:afterAutospacing="0"/>
              <w:ind w:left="180"/>
              <w:rPr>
                <w:rFonts w:ascii="Times New Roman" w:hAnsi="Times New Roman" w:cs="Times New Roman"/>
                <w:sz w:val="20"/>
                <w:szCs w:val="20"/>
              </w:rPr>
            </w:pPr>
            <w:r>
              <w:rPr>
                <w:rFonts w:ascii="Times New Roman" w:hAnsi="Times New Roman" w:cs="Times New Roman"/>
                <w:sz w:val="20"/>
                <w:szCs w:val="20"/>
              </w:rPr>
              <w:t>Other income, net</w:t>
            </w:r>
          </w:p>
        </w:tc>
        <w:tc>
          <w:tcPr>
            <w:tcW w:w="50" w:type="pct"/>
            <w:shd w:val="clear" w:color="auto" w:fill="FFFFFF"/>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single" w:sz="6" w:space="0" w:color="000000"/>
            </w:tcBorders>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700" w:type="pct"/>
            <w:tcBorders>
              <w:bottom w:val="single" w:sz="6" w:space="0" w:color="000000"/>
            </w:tcBorders>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(1,000</w:t>
            </w:r>
          </w:p>
        </w:tc>
        <w:tc>
          <w:tcPr>
            <w:tcW w:w="50" w:type="pct"/>
            <w:shd w:val="clear" w:color="auto" w:fill="FFFFFF"/>
            <w:noWrap/>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single" w:sz="6" w:space="0" w:color="000000"/>
            </w:tcBorders>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700" w:type="pct"/>
            <w:tcBorders>
              <w:bottom w:val="single" w:sz="6" w:space="0" w:color="000000"/>
            </w:tcBorders>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FFFFFF"/>
            <w:noWrap/>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tblCellSpacing w:w="0" w:type="dxa"/>
        </w:trPr>
        <w:tc>
          <w:tcPr>
            <w:tcW w:w="0" w:type="auto"/>
            <w:shd w:val="clear" w:color="auto" w:fill="CCEEFF"/>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Total transactional income, net</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single" w:sz="6" w:space="0" w:color="000000"/>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700" w:type="pct"/>
            <w:tcBorders>
              <w:bottom w:val="single" w:sz="6" w:space="0" w:color="000000"/>
            </w:tcBorders>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(1,000</w:t>
            </w:r>
          </w:p>
        </w:tc>
        <w:tc>
          <w:tcPr>
            <w:tcW w:w="50" w:type="pct"/>
            <w:shd w:val="clear" w:color="auto" w:fill="CCEEFF"/>
            <w:noWrap/>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single" w:sz="6" w:space="0" w:color="000000"/>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700" w:type="pct"/>
            <w:tcBorders>
              <w:bottom w:val="single" w:sz="6" w:space="0" w:color="000000"/>
            </w:tcBorders>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(3,581</w:t>
            </w:r>
          </w:p>
        </w:tc>
        <w:tc>
          <w:tcPr>
            <w:tcW w:w="50" w:type="pct"/>
            <w:shd w:val="clear" w:color="auto" w:fill="CCEEFF"/>
            <w:noWrap/>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r>
      <w:tr w:rsidR="00000000">
        <w:trPr>
          <w:tblCellSpacing w:w="0" w:type="dxa"/>
        </w:trPr>
        <w:tc>
          <w:tcPr>
            <w:tcW w:w="0" w:type="auto"/>
            <w:shd w:val="clear" w:color="auto" w:fill="FFFFFF"/>
            <w:vAlign w:val="bottom"/>
            <w:hideMark/>
          </w:tcPr>
          <w:p w:rsidR="00000000" w:rsidRDefault="008E203B">
            <w:pPr>
              <w:pStyle w:val="a3"/>
              <w:spacing w:before="0" w:beforeAutospacing="0" w:after="0" w:afterAutospacing="0"/>
              <w:ind w:left="322" w:hanging="161"/>
              <w:rPr>
                <w:rFonts w:ascii="Times New Roman" w:hAnsi="Times New Roman" w:cs="Times New Roman"/>
                <w:sz w:val="20"/>
                <w:szCs w:val="20"/>
              </w:rPr>
            </w:pPr>
            <w:r>
              <w:rPr>
                <w:rFonts w:ascii="Times New Roman" w:hAnsi="Times New Roman" w:cs="Times New Roman"/>
                <w:b/>
                <w:bCs/>
                <w:sz w:val="20"/>
                <w:szCs w:val="20"/>
              </w:rPr>
              <w:t>FFO available to the Company's common shareholders as adjusted</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double" w:sz="6" w:space="0" w:color="000000"/>
            </w:tcBorders>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b/>
                <w:bCs/>
                <w:sz w:val="20"/>
                <w:szCs w:val="20"/>
              </w:rPr>
              <w:t>$</w:t>
            </w:r>
          </w:p>
        </w:tc>
        <w:tc>
          <w:tcPr>
            <w:tcW w:w="700" w:type="pct"/>
            <w:tcBorders>
              <w:bottom w:val="double" w:sz="6" w:space="0" w:color="000000"/>
            </w:tcBorders>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b/>
                <w:bCs/>
                <w:sz w:val="20"/>
                <w:szCs w:val="20"/>
              </w:rPr>
              <w:t>157,398</w:t>
            </w:r>
          </w:p>
        </w:tc>
        <w:tc>
          <w:tcPr>
            <w:tcW w:w="50" w:type="pct"/>
            <w:shd w:val="clear" w:color="auto" w:fill="FFFFFF"/>
            <w:noWrap/>
            <w:tcMar>
              <w:top w:w="0" w:type="dxa"/>
              <w:left w:w="0" w:type="dxa"/>
              <w:bottom w:w="4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double" w:sz="6" w:space="0" w:color="000000"/>
            </w:tcBorders>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b/>
                <w:bCs/>
                <w:sz w:val="20"/>
                <w:szCs w:val="20"/>
              </w:rPr>
              <w:t>$</w:t>
            </w:r>
          </w:p>
        </w:tc>
        <w:tc>
          <w:tcPr>
            <w:tcW w:w="700" w:type="pct"/>
            <w:tcBorders>
              <w:bottom w:val="double" w:sz="6" w:space="0" w:color="000000"/>
            </w:tcBorders>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b/>
                <w:bCs/>
                <w:sz w:val="20"/>
                <w:szCs w:val="20"/>
              </w:rPr>
              <w:t>157,812</w:t>
            </w:r>
          </w:p>
        </w:tc>
        <w:tc>
          <w:tcPr>
            <w:tcW w:w="50" w:type="pct"/>
            <w:shd w:val="clear" w:color="auto" w:fill="FFFFFF"/>
            <w:noWrap/>
            <w:tcMar>
              <w:top w:w="0" w:type="dxa"/>
              <w:left w:w="0" w:type="dxa"/>
              <w:bottom w:w="4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tblCellSpacing w:w="0" w:type="dxa"/>
        </w:trPr>
        <w:tc>
          <w:tcPr>
            <w:tcW w:w="0" w:type="auto"/>
            <w:shd w:val="clear" w:color="auto" w:fill="CCEEFF"/>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Weighted average shares outstanding for FFO calculations:</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tblCellSpacing w:w="0" w:type="dxa"/>
        </w:trPr>
        <w:tc>
          <w:tcPr>
            <w:tcW w:w="0" w:type="auto"/>
            <w:shd w:val="clear" w:color="auto" w:fill="FFFFFF"/>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Basic</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70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419,464</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70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423,404</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tblCellSpacing w:w="0" w:type="dxa"/>
        </w:trPr>
        <w:tc>
          <w:tcPr>
            <w:tcW w:w="0" w:type="auto"/>
            <w:shd w:val="clear" w:color="auto" w:fill="CCEEFF"/>
            <w:vAlign w:val="bottom"/>
            <w:hideMark/>
          </w:tcPr>
          <w:p w:rsidR="00000000" w:rsidRDefault="008E203B">
            <w:pPr>
              <w:pStyle w:val="a3"/>
              <w:spacing w:before="0" w:beforeAutospacing="0" w:after="0" w:afterAutospacing="0"/>
              <w:ind w:left="180"/>
              <w:rPr>
                <w:rFonts w:ascii="Times New Roman" w:hAnsi="Times New Roman" w:cs="Times New Roman"/>
                <w:sz w:val="20"/>
                <w:szCs w:val="20"/>
              </w:rPr>
            </w:pPr>
            <w:r>
              <w:rPr>
                <w:rFonts w:ascii="Times New Roman" w:hAnsi="Times New Roman" w:cs="Times New Roman"/>
                <w:sz w:val="20"/>
                <w:szCs w:val="20"/>
              </w:rPr>
              <w:t>Units</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70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927</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70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933</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tblCellSpacing w:w="0" w:type="dxa"/>
        </w:trPr>
        <w:tc>
          <w:tcPr>
            <w:tcW w:w="0" w:type="auto"/>
            <w:shd w:val="clear" w:color="auto" w:fill="FFFFFF"/>
            <w:vAlign w:val="bottom"/>
            <w:hideMark/>
          </w:tcPr>
          <w:p w:rsidR="00000000" w:rsidRDefault="008E203B">
            <w:pPr>
              <w:pStyle w:val="a3"/>
              <w:spacing w:before="0" w:beforeAutospacing="0" w:after="0" w:afterAutospacing="0"/>
              <w:ind w:left="180"/>
              <w:rPr>
                <w:rFonts w:ascii="Times New Roman" w:hAnsi="Times New Roman" w:cs="Times New Roman"/>
                <w:sz w:val="20"/>
                <w:szCs w:val="20"/>
              </w:rPr>
            </w:pPr>
            <w:r>
              <w:rPr>
                <w:rFonts w:ascii="Times New Roman" w:hAnsi="Times New Roman" w:cs="Times New Roman"/>
                <w:sz w:val="20"/>
                <w:szCs w:val="20"/>
              </w:rPr>
              <w:t>Dilutive effect of equity awards</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single" w:sz="6" w:space="0" w:color="000000"/>
            </w:tcBorders>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700" w:type="pct"/>
            <w:tcBorders>
              <w:bottom w:val="single" w:sz="6" w:space="0" w:color="000000"/>
            </w:tcBorders>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1,182</w:t>
            </w:r>
          </w:p>
        </w:tc>
        <w:tc>
          <w:tcPr>
            <w:tcW w:w="50" w:type="pct"/>
            <w:shd w:val="clear" w:color="auto" w:fill="FFFFFF"/>
            <w:noWrap/>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single" w:sz="6" w:space="0" w:color="000000"/>
            </w:tcBorders>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700" w:type="pct"/>
            <w:tcBorders>
              <w:bottom w:val="single" w:sz="6" w:space="0" w:color="000000"/>
            </w:tcBorders>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287</w:t>
            </w:r>
          </w:p>
        </w:tc>
        <w:tc>
          <w:tcPr>
            <w:tcW w:w="50" w:type="pct"/>
            <w:shd w:val="clear" w:color="auto" w:fill="FFFFFF"/>
            <w:noWrap/>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tblCellSpacing w:w="0" w:type="dxa"/>
        </w:trPr>
        <w:tc>
          <w:tcPr>
            <w:tcW w:w="0" w:type="auto"/>
            <w:shd w:val="clear" w:color="auto" w:fill="CCEEFF"/>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Diluted (2)</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double" w:sz="6" w:space="0" w:color="000000"/>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700" w:type="pct"/>
            <w:tcBorders>
              <w:bottom w:val="double" w:sz="6" w:space="0" w:color="000000"/>
            </w:tcBorders>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421,573</w:t>
            </w:r>
          </w:p>
        </w:tc>
        <w:tc>
          <w:tcPr>
            <w:tcW w:w="50" w:type="pct"/>
            <w:shd w:val="clear" w:color="auto" w:fill="CCEEFF"/>
            <w:noWrap/>
            <w:tcMar>
              <w:top w:w="0" w:type="dxa"/>
              <w:left w:w="0" w:type="dxa"/>
              <w:bottom w:w="4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double" w:sz="6" w:space="0" w:color="000000"/>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700" w:type="pct"/>
            <w:tcBorders>
              <w:bottom w:val="double" w:sz="6" w:space="0" w:color="000000"/>
            </w:tcBorders>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424,624</w:t>
            </w:r>
          </w:p>
        </w:tc>
        <w:tc>
          <w:tcPr>
            <w:tcW w:w="50" w:type="pct"/>
            <w:shd w:val="clear" w:color="auto" w:fill="CCEEFF"/>
            <w:noWrap/>
            <w:tcMar>
              <w:top w:w="0" w:type="dxa"/>
              <w:left w:w="0" w:type="dxa"/>
              <w:bottom w:w="4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tblCellSpacing w:w="0" w:type="dxa"/>
        </w:trPr>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tblCellSpacing w:w="0" w:type="dxa"/>
        </w:trPr>
        <w:tc>
          <w:tcPr>
            <w:tcW w:w="0" w:type="auto"/>
            <w:shd w:val="clear" w:color="auto" w:fill="CCEEFF"/>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20"/>
                <w:szCs w:val="20"/>
              </w:rPr>
              <w:t>FFO per common share – basic</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double" w:sz="6" w:space="0" w:color="000000"/>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700" w:type="pct"/>
            <w:tcBorders>
              <w:bottom w:val="double" w:sz="6" w:space="0" w:color="000000"/>
            </w:tcBorders>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0.38</w:t>
            </w:r>
          </w:p>
        </w:tc>
        <w:tc>
          <w:tcPr>
            <w:tcW w:w="50" w:type="pct"/>
            <w:shd w:val="clear" w:color="auto" w:fill="CCEEFF"/>
            <w:noWrap/>
            <w:tcMar>
              <w:top w:w="0" w:type="dxa"/>
              <w:left w:w="0" w:type="dxa"/>
              <w:bottom w:w="4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double" w:sz="6" w:space="0" w:color="000000"/>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700" w:type="pct"/>
            <w:tcBorders>
              <w:bottom w:val="double" w:sz="6" w:space="0" w:color="000000"/>
            </w:tcBorders>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0.38</w:t>
            </w:r>
          </w:p>
        </w:tc>
        <w:tc>
          <w:tcPr>
            <w:tcW w:w="50" w:type="pct"/>
            <w:shd w:val="clear" w:color="auto" w:fill="CCEEFF"/>
            <w:noWrap/>
            <w:tcMar>
              <w:top w:w="0" w:type="dxa"/>
              <w:left w:w="0" w:type="dxa"/>
              <w:bottom w:w="4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tblCellSpacing w:w="0" w:type="dxa"/>
        </w:trPr>
        <w:tc>
          <w:tcPr>
            <w:tcW w:w="0" w:type="auto"/>
            <w:shd w:val="clear" w:color="auto" w:fill="FFFFFF"/>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20"/>
                <w:szCs w:val="20"/>
              </w:rPr>
              <w:t>FFO per common share – diluted</w:t>
            </w:r>
            <w:r>
              <w:rPr>
                <w:rFonts w:ascii="Times New Roman" w:hAnsi="Times New Roman" w:cs="Times New Roman"/>
                <w:sz w:val="20"/>
                <w:szCs w:val="20"/>
              </w:rPr>
              <w:t xml:space="preserve"> (2)</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double" w:sz="6" w:space="0" w:color="000000"/>
            </w:tcBorders>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700" w:type="pct"/>
            <w:tcBorders>
              <w:bottom w:val="double" w:sz="6" w:space="0" w:color="000000"/>
            </w:tcBorders>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0.38</w:t>
            </w:r>
          </w:p>
        </w:tc>
        <w:tc>
          <w:tcPr>
            <w:tcW w:w="50" w:type="pct"/>
            <w:shd w:val="clear" w:color="auto" w:fill="FFFFFF"/>
            <w:noWrap/>
            <w:tcMar>
              <w:top w:w="0" w:type="dxa"/>
              <w:left w:w="0" w:type="dxa"/>
              <w:bottom w:w="4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double" w:sz="6" w:space="0" w:color="000000"/>
            </w:tcBorders>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700" w:type="pct"/>
            <w:tcBorders>
              <w:bottom w:val="double" w:sz="6" w:space="0" w:color="000000"/>
            </w:tcBorders>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0.38</w:t>
            </w:r>
          </w:p>
        </w:tc>
        <w:tc>
          <w:tcPr>
            <w:tcW w:w="50" w:type="pct"/>
            <w:shd w:val="clear" w:color="auto" w:fill="FFFFFF"/>
            <w:noWrap/>
            <w:tcMar>
              <w:top w:w="0" w:type="dxa"/>
              <w:left w:w="0" w:type="dxa"/>
              <w:bottom w:w="4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tblCellSpacing w:w="0" w:type="dxa"/>
        </w:trPr>
        <w:tc>
          <w:tcPr>
            <w:tcW w:w="0" w:type="auto"/>
            <w:shd w:val="clear" w:color="auto" w:fill="CCEEFF"/>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20"/>
                <w:szCs w:val="20"/>
              </w:rPr>
              <w:t>FFO as adjusted per common share – basic</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double" w:sz="6" w:space="0" w:color="000000"/>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700" w:type="pct"/>
            <w:tcBorders>
              <w:bottom w:val="double" w:sz="6" w:space="0" w:color="000000"/>
            </w:tcBorders>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0.38</w:t>
            </w:r>
          </w:p>
        </w:tc>
        <w:tc>
          <w:tcPr>
            <w:tcW w:w="50" w:type="pct"/>
            <w:shd w:val="clear" w:color="auto" w:fill="CCEEFF"/>
            <w:noWrap/>
            <w:tcMar>
              <w:top w:w="0" w:type="dxa"/>
              <w:left w:w="0" w:type="dxa"/>
              <w:bottom w:w="4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double" w:sz="6" w:space="0" w:color="000000"/>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700" w:type="pct"/>
            <w:tcBorders>
              <w:bottom w:val="double" w:sz="6" w:space="0" w:color="000000"/>
            </w:tcBorders>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0.37</w:t>
            </w:r>
          </w:p>
        </w:tc>
        <w:tc>
          <w:tcPr>
            <w:tcW w:w="50" w:type="pct"/>
            <w:shd w:val="clear" w:color="auto" w:fill="CCEEFF"/>
            <w:noWrap/>
            <w:tcMar>
              <w:top w:w="0" w:type="dxa"/>
              <w:left w:w="0" w:type="dxa"/>
              <w:bottom w:w="4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tblCellSpacing w:w="0" w:type="dxa"/>
        </w:trPr>
        <w:tc>
          <w:tcPr>
            <w:tcW w:w="0" w:type="auto"/>
            <w:shd w:val="clear" w:color="auto" w:fill="FFFFFF"/>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20"/>
                <w:szCs w:val="20"/>
              </w:rPr>
              <w:t xml:space="preserve">FFO as adjusted per common share – diluted </w:t>
            </w:r>
            <w:r>
              <w:rPr>
                <w:rFonts w:ascii="Times New Roman" w:hAnsi="Times New Roman" w:cs="Times New Roman"/>
                <w:sz w:val="20"/>
                <w:szCs w:val="20"/>
              </w:rPr>
              <w:t>(2)</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double" w:sz="6" w:space="0" w:color="000000"/>
            </w:tcBorders>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700" w:type="pct"/>
            <w:tcBorders>
              <w:bottom w:val="double" w:sz="6" w:space="0" w:color="000000"/>
            </w:tcBorders>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0.37</w:t>
            </w:r>
          </w:p>
        </w:tc>
        <w:tc>
          <w:tcPr>
            <w:tcW w:w="50" w:type="pct"/>
            <w:shd w:val="clear" w:color="auto" w:fill="FFFFFF"/>
            <w:noWrap/>
            <w:tcMar>
              <w:top w:w="0" w:type="dxa"/>
              <w:left w:w="0" w:type="dxa"/>
              <w:bottom w:w="4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double" w:sz="6" w:space="0" w:color="000000"/>
            </w:tcBorders>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700" w:type="pct"/>
            <w:tcBorders>
              <w:bottom w:val="double" w:sz="6" w:space="0" w:color="000000"/>
            </w:tcBorders>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0.37</w:t>
            </w:r>
          </w:p>
        </w:tc>
        <w:tc>
          <w:tcPr>
            <w:tcW w:w="50" w:type="pct"/>
            <w:shd w:val="clear" w:color="auto" w:fill="FFFFFF"/>
            <w:noWrap/>
            <w:tcMar>
              <w:top w:w="0" w:type="dxa"/>
              <w:left w:w="0" w:type="dxa"/>
              <w:bottom w:w="4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bl>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360" w:type="dxa"/>
            <w:hideMark/>
          </w:tcPr>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(1)</w:t>
            </w:r>
          </w:p>
        </w:tc>
        <w:tc>
          <w:tcPr>
            <w:tcW w:w="0" w:type="auto"/>
            <w:hideMark/>
          </w:tcPr>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Related to gains, impairment and depreciation on properties, where applicable.</w:t>
            </w:r>
          </w:p>
        </w:tc>
      </w:tr>
    </w:tbl>
    <w:p w:rsidR="00000000" w:rsidRDefault="008E203B">
      <w:pPr>
        <w:rPr>
          <w:rFonts w:ascii="Times New Roman" w:hAnsi="Times New Roman" w:cs="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360" w:type="dxa"/>
            <w:hideMark/>
          </w:tcPr>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(2)</w:t>
            </w:r>
          </w:p>
        </w:tc>
        <w:tc>
          <w:tcPr>
            <w:tcW w:w="0" w:type="auto"/>
            <w:hideMark/>
          </w:tcPr>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Reflects the potential impact if certain units were converted to common stock at the beginning of the period, which would have a dilutive effect on FFO available to the Company’s common shareholders. FFO available to the Company’s common shareholders would</w:t>
            </w:r>
            <w:r>
              <w:rPr>
                <w:rFonts w:ascii="Times New Roman" w:hAnsi="Times New Roman" w:cs="Times New Roman"/>
                <w:sz w:val="20"/>
                <w:szCs w:val="20"/>
              </w:rPr>
              <w:t xml:space="preserve"> be increased by $261 and $264 for the three months ended March 31, 2019 and 2018, respectively. The effect of other certain convertible units would have an anti-dilutive effect upon the calculation of Net income available to the Company’s common sharehold</w:t>
            </w:r>
            <w:r>
              <w:rPr>
                <w:rFonts w:ascii="Times New Roman" w:hAnsi="Times New Roman" w:cs="Times New Roman"/>
                <w:sz w:val="20"/>
                <w:szCs w:val="20"/>
              </w:rPr>
              <w:t>ers per share. Accordingly, the impact of such conversion has not been included in the determination of diluted earnings per share calculations.</w:t>
            </w:r>
          </w:p>
        </w:tc>
      </w:tr>
    </w:tbl>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 </w:t>
      </w:r>
    </w:p>
    <w:p w:rsidR="00000000" w:rsidRDefault="008E203B">
      <w:pPr>
        <w:jc w:val="center"/>
        <w:divId w:val="1965232417"/>
        <w:rPr>
          <w:rFonts w:ascii="Times New Roman" w:hAnsi="Times New Roman" w:cs="Times New Roman"/>
          <w:sz w:val="20"/>
          <w:szCs w:val="20"/>
        </w:rPr>
      </w:pPr>
      <w:r>
        <w:rPr>
          <w:rFonts w:ascii="Times New Roman" w:hAnsi="Times New Roman" w:cs="Times New Roman"/>
          <w:sz w:val="20"/>
          <w:szCs w:val="20"/>
        </w:rPr>
        <w:t>29</w:t>
      </w:r>
    </w:p>
    <w:p w:rsidR="00000000" w:rsidRDefault="008E203B">
      <w:pPr>
        <w:divId w:val="1965232417"/>
        <w:rPr>
          <w:rFonts w:ascii="Times New Roman" w:hAnsi="Times New Roman" w:cs="Times New Roman"/>
          <w:sz w:val="20"/>
          <w:szCs w:val="20"/>
        </w:rPr>
      </w:pPr>
      <w:r>
        <w:rPr>
          <w:rFonts w:ascii="Times New Roman" w:hAnsi="Times New Roman" w:cs="Times New Roman"/>
          <w:sz w:val="20"/>
          <w:szCs w:val="20"/>
        </w:rPr>
        <w:pict>
          <v:rect id="_x0000_i1057" style="width:415.3pt;height:1.5pt" o:hralign="center" o:hrstd="t" o:hrnoshade="t" o:hr="t" fillcolor="black" stroked="f"/>
        </w:pict>
      </w:r>
    </w:p>
    <w:p w:rsidR="00000000" w:rsidRDefault="008E203B">
      <w:pPr>
        <w:divId w:val="1965232417"/>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u w:val="single"/>
        </w:rPr>
        <w:t>Same Property Net Operating Income (“Same property NOI”)</w:t>
      </w:r>
    </w:p>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ind w:firstLine="360"/>
        <w:jc w:val="both"/>
        <w:rPr>
          <w:rFonts w:ascii="Times New Roman" w:hAnsi="Times New Roman" w:cs="Times New Roman"/>
          <w:sz w:val="20"/>
          <w:szCs w:val="20"/>
        </w:rPr>
      </w:pPr>
      <w:r>
        <w:rPr>
          <w:rFonts w:ascii="Times New Roman" w:hAnsi="Times New Roman" w:cs="Times New Roman"/>
          <w:sz w:val="20"/>
          <w:szCs w:val="20"/>
        </w:rPr>
        <w:t>Same property NOI is a supplemental non-GAAP financial measure of real estate companies’ operating performance and should not be considered an alternative to net income in accordance with GAAP or cash flows from operations as a measure of liquidity. The Co</w:t>
      </w:r>
      <w:r>
        <w:rPr>
          <w:rFonts w:ascii="Times New Roman" w:hAnsi="Times New Roman" w:cs="Times New Roman"/>
          <w:sz w:val="20"/>
          <w:szCs w:val="20"/>
        </w:rPr>
        <w:t>mpany considers Same property NOI as an important operating performance measure because it is frequently used by securities analysts and investors to measure only the net operating income of properties that have been owned by the Company for the entire cur</w:t>
      </w:r>
      <w:r>
        <w:rPr>
          <w:rFonts w:ascii="Times New Roman" w:hAnsi="Times New Roman" w:cs="Times New Roman"/>
          <w:sz w:val="20"/>
          <w:szCs w:val="20"/>
        </w:rPr>
        <w:t>rent and prior year reporting periods. It excludes properties under redevelopment, development and pending stabilization; properties are deemed stabilized at the earlier of (i) reaching 90% leased or (ii) one year following a project’s inclusion in operati</w:t>
      </w:r>
      <w:r>
        <w:rPr>
          <w:rFonts w:ascii="Times New Roman" w:hAnsi="Times New Roman" w:cs="Times New Roman"/>
          <w:sz w:val="20"/>
          <w:szCs w:val="20"/>
        </w:rPr>
        <w:t>ng real estate. Same property NOI assists in eliminating disparities in net income due to the development, acquisition or disposition of properties during the particular period presented, and thus provides a more consistent performance measure for the comp</w:t>
      </w:r>
      <w:r>
        <w:rPr>
          <w:rFonts w:ascii="Times New Roman" w:hAnsi="Times New Roman" w:cs="Times New Roman"/>
          <w:sz w:val="20"/>
          <w:szCs w:val="20"/>
        </w:rPr>
        <w:t>arison of the Company's properties.</w:t>
      </w:r>
    </w:p>
    <w:p w:rsidR="00000000" w:rsidRDefault="008E203B">
      <w:pPr>
        <w:pStyle w:val="a3"/>
        <w:spacing w:before="0" w:beforeAutospacing="0" w:after="0" w:afterAutospacing="0"/>
        <w:ind w:firstLine="360"/>
        <w:jc w:val="both"/>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ind w:firstLine="360"/>
        <w:jc w:val="both"/>
        <w:rPr>
          <w:rFonts w:ascii="Times New Roman" w:hAnsi="Times New Roman" w:cs="Times New Roman"/>
          <w:sz w:val="20"/>
          <w:szCs w:val="20"/>
        </w:rPr>
      </w:pPr>
      <w:r>
        <w:rPr>
          <w:rFonts w:ascii="Times New Roman" w:hAnsi="Times New Roman" w:cs="Times New Roman"/>
          <w:sz w:val="20"/>
          <w:szCs w:val="20"/>
        </w:rPr>
        <w:t>Same property NOI is calculated using revenues from rental properties (excluding straight-line rent adjustments, lease termination fees, TIFs and amortization of above/below market rents) less charges for bad debt, ope</w:t>
      </w:r>
      <w:r>
        <w:rPr>
          <w:rFonts w:ascii="Times New Roman" w:hAnsi="Times New Roman" w:cs="Times New Roman"/>
          <w:sz w:val="20"/>
          <w:szCs w:val="20"/>
        </w:rPr>
        <w:t>rating and maintenance expense, real estate taxes and rent expense plus the Company’s proportionate share of Same property NOI from unconsolidated real estate joint ventures, calculated on the same basis. The Company’s method of calculating Same property N</w:t>
      </w:r>
      <w:r>
        <w:rPr>
          <w:rFonts w:ascii="Times New Roman" w:hAnsi="Times New Roman" w:cs="Times New Roman"/>
          <w:sz w:val="20"/>
          <w:szCs w:val="20"/>
        </w:rPr>
        <w:t>OI available to the Company’s common shareholders may differ from methods used by other REITs and, accordingly, may not be comparable to such other REITs.</w:t>
      </w:r>
    </w:p>
    <w:p w:rsidR="00000000" w:rsidRDefault="008E203B">
      <w:pPr>
        <w:pStyle w:val="a3"/>
        <w:spacing w:before="0" w:beforeAutospacing="0" w:after="0" w:afterAutospacing="0"/>
        <w:ind w:firstLine="720"/>
        <w:jc w:val="both"/>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ind w:firstLine="360"/>
        <w:jc w:val="both"/>
        <w:rPr>
          <w:rFonts w:ascii="Times New Roman" w:hAnsi="Times New Roman" w:cs="Times New Roman"/>
          <w:sz w:val="20"/>
          <w:szCs w:val="20"/>
        </w:rPr>
      </w:pPr>
      <w:r>
        <w:rPr>
          <w:rFonts w:ascii="Times New Roman" w:hAnsi="Times New Roman" w:cs="Times New Roman"/>
          <w:sz w:val="20"/>
          <w:szCs w:val="20"/>
        </w:rPr>
        <w:t>The following is a reconciliation of Net income available to the Company’s common shareholders to S</w:t>
      </w:r>
      <w:r>
        <w:rPr>
          <w:rFonts w:ascii="Times New Roman" w:hAnsi="Times New Roman" w:cs="Times New Roman"/>
          <w:sz w:val="20"/>
          <w:szCs w:val="20"/>
        </w:rPr>
        <w:t>ame property NOI (in thousands):</w:t>
      </w:r>
    </w:p>
    <w:p w:rsidR="00000000" w:rsidRDefault="008E203B">
      <w:pPr>
        <w:pStyle w:val="a3"/>
        <w:spacing w:before="0" w:beforeAutospacing="0" w:after="0" w:afterAutospacing="0"/>
        <w:ind w:firstLine="360"/>
        <w:jc w:val="both"/>
        <w:rPr>
          <w:rFonts w:ascii="Times New Roman" w:hAnsi="Times New Roman" w:cs="Times New Roman"/>
          <w:sz w:val="20"/>
          <w:szCs w:val="20"/>
        </w:rPr>
      </w:pPr>
      <w:r>
        <w:rPr>
          <w:rFonts w:ascii="Times New Roman" w:hAnsi="Times New Roman" w:cs="Times New Roman"/>
          <w:sz w:val="20"/>
          <w:szCs w:val="20"/>
        </w:rPr>
        <w:t> </w:t>
      </w:r>
    </w:p>
    <w:tbl>
      <w:tblPr>
        <w:tblW w:w="4250" w:type="pct"/>
        <w:tblCellSpacing w:w="0" w:type="dxa"/>
        <w:tblInd w:w="7" w:type="dxa"/>
        <w:tblCellMar>
          <w:left w:w="0" w:type="dxa"/>
          <w:right w:w="0" w:type="dxa"/>
        </w:tblCellMar>
        <w:tblLook w:val="04A0" w:firstRow="1" w:lastRow="0" w:firstColumn="1" w:lastColumn="0" w:noHBand="0" w:noVBand="1"/>
      </w:tblPr>
      <w:tblGrid>
        <w:gridCol w:w="4508"/>
        <w:gridCol w:w="61"/>
        <w:gridCol w:w="100"/>
        <w:gridCol w:w="1049"/>
        <w:gridCol w:w="67"/>
        <w:gridCol w:w="57"/>
        <w:gridCol w:w="100"/>
        <w:gridCol w:w="1051"/>
        <w:gridCol w:w="67"/>
      </w:tblGrid>
      <w:tr w:rsidR="00000000">
        <w:trPr>
          <w:tblCellSpacing w:w="0" w:type="dxa"/>
        </w:trPr>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gridSpan w:val="6"/>
            <w:tcBorders>
              <w:bottom w:val="single" w:sz="6" w:space="0" w:color="000000"/>
            </w:tcBorders>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Three Months Ended March 31,</w:t>
            </w:r>
          </w:p>
        </w:tc>
        <w:tc>
          <w:tcPr>
            <w:tcW w:w="0" w:type="auto"/>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tblCellSpacing w:w="0" w:type="dxa"/>
        </w:trPr>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gridSpan w:val="2"/>
            <w:tcBorders>
              <w:bottom w:val="single" w:sz="6" w:space="0" w:color="000000"/>
            </w:tcBorders>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2019</w:t>
            </w:r>
          </w:p>
        </w:tc>
        <w:tc>
          <w:tcPr>
            <w:tcW w:w="0" w:type="auto"/>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gridSpan w:val="2"/>
            <w:tcBorders>
              <w:bottom w:val="single" w:sz="6" w:space="0" w:color="000000"/>
            </w:tcBorders>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2018</w:t>
            </w:r>
          </w:p>
        </w:tc>
        <w:tc>
          <w:tcPr>
            <w:tcW w:w="0" w:type="auto"/>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tblCellSpacing w:w="0" w:type="dxa"/>
        </w:trPr>
        <w:tc>
          <w:tcPr>
            <w:tcW w:w="3200" w:type="pct"/>
            <w:shd w:val="clear" w:color="auto" w:fill="CCEEFF"/>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20"/>
                <w:szCs w:val="20"/>
              </w:rPr>
              <w:t>Net income available to the Company’s common shareholders</w:t>
            </w:r>
          </w:p>
        </w:tc>
        <w:tc>
          <w:tcPr>
            <w:tcW w:w="50" w:type="pct"/>
            <w:tcBorders>
              <w:bottom w:val="nil"/>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nil"/>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b/>
                <w:bCs/>
                <w:sz w:val="20"/>
                <w:szCs w:val="20"/>
              </w:rPr>
              <w:t>$</w:t>
            </w:r>
          </w:p>
        </w:tc>
        <w:tc>
          <w:tcPr>
            <w:tcW w:w="750" w:type="pct"/>
            <w:tcBorders>
              <w:bottom w:val="nil"/>
            </w:tcBorders>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b/>
                <w:bCs/>
                <w:sz w:val="20"/>
                <w:szCs w:val="20"/>
              </w:rPr>
              <w:t>101,635</w:t>
            </w:r>
          </w:p>
        </w:tc>
        <w:tc>
          <w:tcPr>
            <w:tcW w:w="50" w:type="pct"/>
            <w:tcBorders>
              <w:bottom w:val="nil"/>
            </w:tcBorders>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nil"/>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nil"/>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b/>
                <w:bCs/>
                <w:sz w:val="20"/>
                <w:szCs w:val="20"/>
              </w:rPr>
              <w:t>$</w:t>
            </w:r>
          </w:p>
        </w:tc>
        <w:tc>
          <w:tcPr>
            <w:tcW w:w="750" w:type="pct"/>
            <w:tcBorders>
              <w:bottom w:val="nil"/>
            </w:tcBorders>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b/>
                <w:bCs/>
                <w:sz w:val="20"/>
                <w:szCs w:val="20"/>
              </w:rPr>
              <w:t>129,501</w:t>
            </w:r>
          </w:p>
        </w:tc>
        <w:tc>
          <w:tcPr>
            <w:tcW w:w="50" w:type="pct"/>
            <w:tcBorders>
              <w:bottom w:val="nil"/>
            </w:tcBorders>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tblCellSpacing w:w="0" w:type="dxa"/>
        </w:trPr>
        <w:tc>
          <w:tcPr>
            <w:tcW w:w="0" w:type="auto"/>
            <w:shd w:val="clear" w:color="auto" w:fill="FFFFFF"/>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Adjustments:</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tblCellSpacing w:w="0" w:type="dxa"/>
        </w:trPr>
        <w:tc>
          <w:tcPr>
            <w:tcW w:w="0" w:type="auto"/>
            <w:shd w:val="clear" w:color="auto" w:fill="CCEEFF"/>
            <w:vAlign w:val="bottom"/>
            <w:hideMark/>
          </w:tcPr>
          <w:p w:rsidR="00000000" w:rsidRDefault="008E203B">
            <w:pPr>
              <w:pStyle w:val="a3"/>
              <w:spacing w:before="0" w:beforeAutospacing="0" w:after="0" w:afterAutospacing="0"/>
              <w:ind w:left="180"/>
              <w:rPr>
                <w:rFonts w:ascii="Times New Roman" w:hAnsi="Times New Roman" w:cs="Times New Roman"/>
                <w:sz w:val="20"/>
                <w:szCs w:val="20"/>
              </w:rPr>
            </w:pPr>
            <w:r>
              <w:rPr>
                <w:rFonts w:ascii="Times New Roman" w:hAnsi="Times New Roman" w:cs="Times New Roman"/>
                <w:sz w:val="20"/>
                <w:szCs w:val="20"/>
              </w:rPr>
              <w:t>Management and other fee income</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75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(4,376</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75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(4,361</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r>
      <w:tr w:rsidR="00000000">
        <w:trPr>
          <w:tblCellSpacing w:w="0" w:type="dxa"/>
        </w:trPr>
        <w:tc>
          <w:tcPr>
            <w:tcW w:w="0" w:type="auto"/>
            <w:shd w:val="clear" w:color="auto" w:fill="FFFFFF"/>
            <w:vAlign w:val="bottom"/>
            <w:hideMark/>
          </w:tcPr>
          <w:p w:rsidR="00000000" w:rsidRDefault="008E203B">
            <w:pPr>
              <w:pStyle w:val="a3"/>
              <w:spacing w:before="0" w:beforeAutospacing="0" w:after="0" w:afterAutospacing="0"/>
              <w:ind w:left="180"/>
              <w:rPr>
                <w:rFonts w:ascii="Times New Roman" w:hAnsi="Times New Roman" w:cs="Times New Roman"/>
                <w:sz w:val="20"/>
                <w:szCs w:val="20"/>
              </w:rPr>
            </w:pPr>
            <w:r>
              <w:rPr>
                <w:rFonts w:ascii="Times New Roman" w:hAnsi="Times New Roman" w:cs="Times New Roman"/>
                <w:sz w:val="20"/>
                <w:szCs w:val="20"/>
              </w:rPr>
              <w:t>General and administrative</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75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25,831</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75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22,398</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tblCellSpacing w:w="0" w:type="dxa"/>
        </w:trPr>
        <w:tc>
          <w:tcPr>
            <w:tcW w:w="0" w:type="auto"/>
            <w:shd w:val="clear" w:color="auto" w:fill="CCEEFF"/>
            <w:vAlign w:val="bottom"/>
            <w:hideMark/>
          </w:tcPr>
          <w:p w:rsidR="00000000" w:rsidRDefault="008E203B">
            <w:pPr>
              <w:pStyle w:val="a3"/>
              <w:spacing w:before="0" w:beforeAutospacing="0" w:after="0" w:afterAutospacing="0"/>
              <w:ind w:left="180"/>
              <w:rPr>
                <w:rFonts w:ascii="Times New Roman" w:hAnsi="Times New Roman" w:cs="Times New Roman"/>
                <w:sz w:val="20"/>
                <w:szCs w:val="20"/>
              </w:rPr>
            </w:pPr>
            <w:r>
              <w:rPr>
                <w:rFonts w:ascii="Times New Roman" w:hAnsi="Times New Roman" w:cs="Times New Roman"/>
                <w:sz w:val="20"/>
                <w:szCs w:val="20"/>
              </w:rPr>
              <w:t>Impairment charges</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75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4,175</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75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7,646</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tblCellSpacing w:w="0" w:type="dxa"/>
        </w:trPr>
        <w:tc>
          <w:tcPr>
            <w:tcW w:w="0" w:type="auto"/>
            <w:shd w:val="clear" w:color="auto" w:fill="FFFFFF"/>
            <w:vAlign w:val="bottom"/>
            <w:hideMark/>
          </w:tcPr>
          <w:p w:rsidR="00000000" w:rsidRDefault="008E203B">
            <w:pPr>
              <w:pStyle w:val="a3"/>
              <w:spacing w:before="0" w:beforeAutospacing="0" w:after="0" w:afterAutospacing="0"/>
              <w:ind w:left="180"/>
              <w:rPr>
                <w:rFonts w:ascii="Times New Roman" w:hAnsi="Times New Roman" w:cs="Times New Roman"/>
                <w:sz w:val="20"/>
                <w:szCs w:val="20"/>
              </w:rPr>
            </w:pPr>
            <w:r>
              <w:rPr>
                <w:rFonts w:ascii="Times New Roman" w:hAnsi="Times New Roman" w:cs="Times New Roman"/>
                <w:sz w:val="20"/>
                <w:szCs w:val="20"/>
              </w:rPr>
              <w:t>Depreciation and amortization</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75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71,561</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75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81,382</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tblCellSpacing w:w="0" w:type="dxa"/>
        </w:trPr>
        <w:tc>
          <w:tcPr>
            <w:tcW w:w="0" w:type="auto"/>
            <w:shd w:val="clear" w:color="auto" w:fill="CCEEFF"/>
            <w:vAlign w:val="bottom"/>
            <w:hideMark/>
          </w:tcPr>
          <w:p w:rsidR="00000000" w:rsidRDefault="008E203B">
            <w:pPr>
              <w:pStyle w:val="a3"/>
              <w:spacing w:before="0" w:beforeAutospacing="0" w:after="0" w:afterAutospacing="0"/>
              <w:ind w:left="180"/>
              <w:rPr>
                <w:rFonts w:ascii="Times New Roman" w:hAnsi="Times New Roman" w:cs="Times New Roman"/>
                <w:sz w:val="20"/>
                <w:szCs w:val="20"/>
              </w:rPr>
            </w:pPr>
            <w:r>
              <w:rPr>
                <w:rFonts w:ascii="Times New Roman" w:hAnsi="Times New Roman" w:cs="Times New Roman"/>
                <w:sz w:val="20"/>
                <w:szCs w:val="20"/>
              </w:rPr>
              <w:t>Gain on sale of properties/change in control of interests</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75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(23,595</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75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(56,971</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r>
      <w:tr w:rsidR="00000000">
        <w:trPr>
          <w:tblCellSpacing w:w="0" w:type="dxa"/>
        </w:trPr>
        <w:tc>
          <w:tcPr>
            <w:tcW w:w="0" w:type="auto"/>
            <w:shd w:val="clear" w:color="auto" w:fill="FFFFFF"/>
            <w:vAlign w:val="bottom"/>
            <w:hideMark/>
          </w:tcPr>
          <w:p w:rsidR="00000000" w:rsidRDefault="008E203B">
            <w:pPr>
              <w:pStyle w:val="a3"/>
              <w:spacing w:before="0" w:beforeAutospacing="0" w:after="0" w:afterAutospacing="0"/>
              <w:ind w:left="180"/>
              <w:rPr>
                <w:rFonts w:ascii="Times New Roman" w:hAnsi="Times New Roman" w:cs="Times New Roman"/>
                <w:sz w:val="20"/>
                <w:szCs w:val="20"/>
              </w:rPr>
            </w:pPr>
            <w:r>
              <w:rPr>
                <w:rFonts w:ascii="Times New Roman" w:hAnsi="Times New Roman" w:cs="Times New Roman"/>
                <w:sz w:val="20"/>
                <w:szCs w:val="20"/>
              </w:rPr>
              <w:t>Interest and other expense, net</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75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41,773</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75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43,764</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tblCellSpacing w:w="0" w:type="dxa"/>
        </w:trPr>
        <w:tc>
          <w:tcPr>
            <w:tcW w:w="0" w:type="auto"/>
            <w:shd w:val="clear" w:color="auto" w:fill="CCEEFF"/>
            <w:vAlign w:val="bottom"/>
            <w:hideMark/>
          </w:tcPr>
          <w:p w:rsidR="00000000" w:rsidRDefault="008E203B">
            <w:pPr>
              <w:pStyle w:val="a3"/>
              <w:spacing w:before="0" w:beforeAutospacing="0" w:after="0" w:afterAutospacing="0"/>
              <w:ind w:left="180"/>
              <w:rPr>
                <w:rFonts w:ascii="Times New Roman" w:hAnsi="Times New Roman" w:cs="Times New Roman"/>
                <w:sz w:val="20"/>
                <w:szCs w:val="20"/>
              </w:rPr>
            </w:pPr>
            <w:r>
              <w:rPr>
                <w:rFonts w:ascii="Times New Roman" w:hAnsi="Times New Roman" w:cs="Times New Roman"/>
                <w:sz w:val="20"/>
                <w:szCs w:val="20"/>
              </w:rPr>
              <w:t>Provision for income taxes, net</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75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630</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75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52</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tblCellSpacing w:w="0" w:type="dxa"/>
        </w:trPr>
        <w:tc>
          <w:tcPr>
            <w:tcW w:w="0" w:type="auto"/>
            <w:shd w:val="clear" w:color="auto" w:fill="FFFFFF"/>
            <w:vAlign w:val="bottom"/>
            <w:hideMark/>
          </w:tcPr>
          <w:p w:rsidR="00000000" w:rsidRDefault="008E203B">
            <w:pPr>
              <w:pStyle w:val="a3"/>
              <w:spacing w:before="0" w:beforeAutospacing="0" w:after="0" w:afterAutospacing="0"/>
              <w:ind w:left="180"/>
              <w:rPr>
                <w:rFonts w:ascii="Times New Roman" w:hAnsi="Times New Roman" w:cs="Times New Roman"/>
                <w:sz w:val="20"/>
                <w:szCs w:val="20"/>
              </w:rPr>
            </w:pPr>
            <w:r>
              <w:rPr>
                <w:rFonts w:ascii="Times New Roman" w:hAnsi="Times New Roman" w:cs="Times New Roman"/>
                <w:sz w:val="20"/>
                <w:szCs w:val="20"/>
              </w:rPr>
              <w:t>Equity in income of other real estate investments, net</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75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(6,224</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75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(9,976</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r>
      <w:tr w:rsidR="00000000">
        <w:trPr>
          <w:tblCellSpacing w:w="0" w:type="dxa"/>
        </w:trPr>
        <w:tc>
          <w:tcPr>
            <w:tcW w:w="0" w:type="auto"/>
            <w:shd w:val="clear" w:color="auto" w:fill="CCEEFF"/>
            <w:vAlign w:val="bottom"/>
            <w:hideMark/>
          </w:tcPr>
          <w:p w:rsidR="00000000" w:rsidRDefault="008E203B">
            <w:pPr>
              <w:pStyle w:val="a3"/>
              <w:spacing w:before="0" w:beforeAutospacing="0" w:after="0" w:afterAutospacing="0"/>
              <w:ind w:left="180"/>
              <w:rPr>
                <w:rFonts w:ascii="Times New Roman" w:hAnsi="Times New Roman" w:cs="Times New Roman"/>
                <w:sz w:val="20"/>
                <w:szCs w:val="20"/>
              </w:rPr>
            </w:pPr>
            <w:r>
              <w:rPr>
                <w:rFonts w:ascii="Times New Roman" w:hAnsi="Times New Roman" w:cs="Times New Roman"/>
                <w:sz w:val="20"/>
                <w:szCs w:val="20"/>
              </w:rPr>
              <w:t>Net income/(loss) attributable to noncontrolling interests</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75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509</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75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(108</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r>
      <w:tr w:rsidR="00000000">
        <w:trPr>
          <w:tblCellSpacing w:w="0" w:type="dxa"/>
        </w:trPr>
        <w:tc>
          <w:tcPr>
            <w:tcW w:w="0" w:type="auto"/>
            <w:shd w:val="clear" w:color="auto" w:fill="FFFFFF"/>
            <w:vAlign w:val="bottom"/>
            <w:hideMark/>
          </w:tcPr>
          <w:p w:rsidR="00000000" w:rsidRDefault="008E203B">
            <w:pPr>
              <w:pStyle w:val="a3"/>
              <w:spacing w:before="0" w:beforeAutospacing="0" w:after="0" w:afterAutospacing="0"/>
              <w:ind w:left="180"/>
              <w:rPr>
                <w:rFonts w:ascii="Times New Roman" w:hAnsi="Times New Roman" w:cs="Times New Roman"/>
                <w:sz w:val="20"/>
                <w:szCs w:val="20"/>
              </w:rPr>
            </w:pPr>
            <w:r>
              <w:rPr>
                <w:rFonts w:ascii="Times New Roman" w:hAnsi="Times New Roman" w:cs="Times New Roman"/>
                <w:sz w:val="20"/>
                <w:szCs w:val="20"/>
              </w:rPr>
              <w:t>Preferred dividends</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75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14,534</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75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14,589</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tblCellSpacing w:w="0" w:type="dxa"/>
        </w:trPr>
        <w:tc>
          <w:tcPr>
            <w:tcW w:w="0" w:type="auto"/>
            <w:shd w:val="clear" w:color="auto" w:fill="CCEEFF"/>
            <w:vAlign w:val="bottom"/>
            <w:hideMark/>
          </w:tcPr>
          <w:p w:rsidR="00000000" w:rsidRDefault="008E203B">
            <w:pPr>
              <w:pStyle w:val="a3"/>
              <w:spacing w:before="0" w:beforeAutospacing="0" w:after="0" w:afterAutospacing="0"/>
              <w:ind w:left="180"/>
              <w:rPr>
                <w:rFonts w:ascii="Times New Roman" w:hAnsi="Times New Roman" w:cs="Times New Roman"/>
                <w:sz w:val="20"/>
                <w:szCs w:val="20"/>
              </w:rPr>
            </w:pPr>
            <w:r>
              <w:rPr>
                <w:rFonts w:ascii="Times New Roman" w:hAnsi="Times New Roman" w:cs="Times New Roman"/>
                <w:sz w:val="20"/>
                <w:szCs w:val="20"/>
              </w:rPr>
              <w:t>Non same property net operating income</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75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(26,258</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75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(34,995</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r>
      <w:tr w:rsidR="00000000">
        <w:trPr>
          <w:tblCellSpacing w:w="0" w:type="dxa"/>
        </w:trPr>
        <w:tc>
          <w:tcPr>
            <w:tcW w:w="0" w:type="auto"/>
            <w:shd w:val="clear" w:color="auto" w:fill="FFFFFF"/>
            <w:vAlign w:val="bottom"/>
            <w:hideMark/>
          </w:tcPr>
          <w:p w:rsidR="00000000" w:rsidRDefault="008E203B">
            <w:pPr>
              <w:pStyle w:val="a3"/>
              <w:spacing w:before="0" w:beforeAutospacing="0" w:after="0" w:afterAutospacing="0"/>
              <w:ind w:left="180"/>
              <w:rPr>
                <w:rFonts w:ascii="Times New Roman" w:hAnsi="Times New Roman" w:cs="Times New Roman"/>
                <w:sz w:val="20"/>
                <w:szCs w:val="20"/>
              </w:rPr>
            </w:pPr>
            <w:r>
              <w:rPr>
                <w:rFonts w:ascii="Times New Roman" w:hAnsi="Times New Roman" w:cs="Times New Roman"/>
                <w:sz w:val="20"/>
                <w:szCs w:val="20"/>
              </w:rPr>
              <w:t>Non-operational expense from joint ventures, net</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single" w:sz="6" w:space="0" w:color="000000"/>
            </w:tcBorders>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750" w:type="pct"/>
            <w:tcBorders>
              <w:bottom w:val="single" w:sz="6" w:space="0" w:color="000000"/>
            </w:tcBorders>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14,793</w:t>
            </w:r>
          </w:p>
        </w:tc>
        <w:tc>
          <w:tcPr>
            <w:tcW w:w="50" w:type="pct"/>
            <w:shd w:val="clear" w:color="auto" w:fill="FFFFFF"/>
            <w:noWrap/>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single" w:sz="6" w:space="0" w:color="000000"/>
            </w:tcBorders>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750" w:type="pct"/>
            <w:tcBorders>
              <w:bottom w:val="single" w:sz="6" w:space="0" w:color="000000"/>
            </w:tcBorders>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14,372</w:t>
            </w:r>
          </w:p>
        </w:tc>
        <w:tc>
          <w:tcPr>
            <w:tcW w:w="50" w:type="pct"/>
            <w:shd w:val="clear" w:color="auto" w:fill="FFFFFF"/>
            <w:noWrap/>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tblCellSpacing w:w="0" w:type="dxa"/>
        </w:trPr>
        <w:tc>
          <w:tcPr>
            <w:tcW w:w="0" w:type="auto"/>
            <w:shd w:val="clear" w:color="auto" w:fill="CCEEFF"/>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20"/>
                <w:szCs w:val="20"/>
              </w:rPr>
              <w:t>Same property NOI</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double" w:sz="6" w:space="0" w:color="000000"/>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b/>
                <w:bCs/>
                <w:sz w:val="20"/>
                <w:szCs w:val="20"/>
              </w:rPr>
              <w:t>$</w:t>
            </w:r>
          </w:p>
        </w:tc>
        <w:tc>
          <w:tcPr>
            <w:tcW w:w="750" w:type="pct"/>
            <w:tcBorders>
              <w:bottom w:val="double" w:sz="6" w:space="0" w:color="000000"/>
            </w:tcBorders>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b/>
                <w:bCs/>
                <w:sz w:val="20"/>
                <w:szCs w:val="20"/>
              </w:rPr>
              <w:t>214,988</w:t>
            </w:r>
          </w:p>
        </w:tc>
        <w:tc>
          <w:tcPr>
            <w:tcW w:w="50" w:type="pct"/>
            <w:shd w:val="clear" w:color="auto" w:fill="CCEEFF"/>
            <w:noWrap/>
            <w:tcMar>
              <w:top w:w="0" w:type="dxa"/>
              <w:left w:w="0" w:type="dxa"/>
              <w:bottom w:w="4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double" w:sz="6" w:space="0" w:color="000000"/>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b/>
                <w:bCs/>
                <w:sz w:val="20"/>
                <w:szCs w:val="20"/>
              </w:rPr>
              <w:t>$</w:t>
            </w:r>
          </w:p>
        </w:tc>
        <w:tc>
          <w:tcPr>
            <w:tcW w:w="750" w:type="pct"/>
            <w:tcBorders>
              <w:bottom w:val="double" w:sz="6" w:space="0" w:color="000000"/>
            </w:tcBorders>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b/>
                <w:bCs/>
                <w:sz w:val="20"/>
                <w:szCs w:val="20"/>
              </w:rPr>
              <w:t>207,293</w:t>
            </w:r>
          </w:p>
        </w:tc>
        <w:tc>
          <w:tcPr>
            <w:tcW w:w="50" w:type="pct"/>
            <w:shd w:val="clear" w:color="auto" w:fill="CCEEFF"/>
            <w:noWrap/>
            <w:tcMar>
              <w:top w:w="0" w:type="dxa"/>
              <w:left w:w="0" w:type="dxa"/>
              <w:bottom w:w="4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bl>
    <w:p w:rsidR="00000000" w:rsidRDefault="008E203B">
      <w:pPr>
        <w:pStyle w:val="a3"/>
        <w:spacing w:before="0" w:beforeAutospacing="0" w:after="0" w:afterAutospacing="0"/>
        <w:ind w:firstLine="360"/>
        <w:jc w:val="both"/>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ind w:firstLine="360"/>
        <w:jc w:val="both"/>
        <w:rPr>
          <w:rFonts w:ascii="Times New Roman" w:hAnsi="Times New Roman" w:cs="Times New Roman"/>
          <w:sz w:val="20"/>
          <w:szCs w:val="20"/>
        </w:rPr>
      </w:pPr>
      <w:r>
        <w:rPr>
          <w:rFonts w:ascii="Times New Roman" w:hAnsi="Times New Roman" w:cs="Times New Roman"/>
          <w:sz w:val="20"/>
          <w:szCs w:val="20"/>
        </w:rPr>
        <w:t>Same property NOI increased by $7.7 million or 3.7% for the three months ended March 31, 2019, as compared to the corresponding period in 2018. This increase is primarily the result of (i) an increase of $6.7 million related to lease-up and rent commenceme</w:t>
      </w:r>
      <w:r>
        <w:rPr>
          <w:rFonts w:ascii="Times New Roman" w:hAnsi="Times New Roman" w:cs="Times New Roman"/>
          <w:sz w:val="20"/>
          <w:szCs w:val="20"/>
        </w:rPr>
        <w:t>nts in the portfolio and (ii) an increase in other property income of $1.0 million.</w:t>
      </w:r>
    </w:p>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u w:val="single"/>
        </w:rPr>
        <w:t>Leasing Activity</w:t>
      </w:r>
    </w:p>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ind w:firstLine="360"/>
        <w:jc w:val="both"/>
        <w:rPr>
          <w:rFonts w:ascii="Times New Roman" w:hAnsi="Times New Roman" w:cs="Times New Roman"/>
          <w:sz w:val="20"/>
          <w:szCs w:val="20"/>
        </w:rPr>
      </w:pPr>
      <w:r>
        <w:rPr>
          <w:rFonts w:ascii="Times New Roman" w:hAnsi="Times New Roman" w:cs="Times New Roman"/>
          <w:sz w:val="20"/>
          <w:szCs w:val="20"/>
        </w:rPr>
        <w:t>During the three months ended March 31, 2019, the Company executed 252 leases totaling over 2.6 million square feet in the Company’s consolidated opera</w:t>
      </w:r>
      <w:r>
        <w:rPr>
          <w:rFonts w:ascii="Times New Roman" w:hAnsi="Times New Roman" w:cs="Times New Roman"/>
          <w:sz w:val="20"/>
          <w:szCs w:val="20"/>
        </w:rPr>
        <w:t>ting portfolio comprised of 77 new leases and 175 renewals and options. The leasing costs associated with new leases are estimated to aggregate $23.8 million or $51.26 per square foot. These costs include $19.5 million of tenant improvements and $4.3 milli</w:t>
      </w:r>
      <w:r>
        <w:rPr>
          <w:rFonts w:ascii="Times New Roman" w:hAnsi="Times New Roman" w:cs="Times New Roman"/>
          <w:sz w:val="20"/>
          <w:szCs w:val="20"/>
        </w:rPr>
        <w:t>on of external leasing commissions. The average rent per square foot on new leases was $23.06 and on renewals and options was $13.89.</w:t>
      </w:r>
    </w:p>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 </w:t>
      </w:r>
    </w:p>
    <w:p w:rsidR="00000000" w:rsidRDefault="008E203B">
      <w:pPr>
        <w:jc w:val="center"/>
        <w:divId w:val="1890531221"/>
        <w:rPr>
          <w:rFonts w:ascii="Times New Roman" w:hAnsi="Times New Roman" w:cs="Times New Roman"/>
          <w:sz w:val="20"/>
          <w:szCs w:val="20"/>
        </w:rPr>
      </w:pPr>
      <w:r>
        <w:rPr>
          <w:rFonts w:ascii="Times New Roman" w:hAnsi="Times New Roman" w:cs="Times New Roman"/>
          <w:sz w:val="20"/>
          <w:szCs w:val="20"/>
        </w:rPr>
        <w:t>30</w:t>
      </w:r>
    </w:p>
    <w:p w:rsidR="00000000" w:rsidRDefault="008E203B">
      <w:pPr>
        <w:divId w:val="1890531221"/>
        <w:rPr>
          <w:rFonts w:ascii="Times New Roman" w:hAnsi="Times New Roman" w:cs="Times New Roman"/>
          <w:sz w:val="20"/>
          <w:szCs w:val="20"/>
        </w:rPr>
      </w:pPr>
      <w:r>
        <w:rPr>
          <w:rFonts w:ascii="Times New Roman" w:hAnsi="Times New Roman" w:cs="Times New Roman"/>
          <w:sz w:val="20"/>
          <w:szCs w:val="20"/>
        </w:rPr>
        <w:pict>
          <v:rect id="_x0000_i1058" style="width:415.3pt;height:1.5pt" o:hralign="center" o:hrstd="t" o:hrnoshade="t" o:hr="t" fillcolor="black" stroked="f"/>
        </w:pict>
      </w:r>
    </w:p>
    <w:p w:rsidR="00000000" w:rsidRDefault="008E203B">
      <w:pPr>
        <w:divId w:val="1890531221"/>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u w:val="single"/>
        </w:rPr>
        <w:t>Tenant Lease Expirations</w:t>
      </w:r>
    </w:p>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ind w:firstLine="360"/>
        <w:jc w:val="both"/>
        <w:rPr>
          <w:rFonts w:ascii="Times New Roman" w:hAnsi="Times New Roman" w:cs="Times New Roman"/>
          <w:sz w:val="20"/>
          <w:szCs w:val="20"/>
        </w:rPr>
      </w:pPr>
      <w:r>
        <w:rPr>
          <w:rFonts w:ascii="Times New Roman" w:hAnsi="Times New Roman" w:cs="Times New Roman"/>
          <w:sz w:val="20"/>
          <w:szCs w:val="20"/>
        </w:rPr>
        <w:t xml:space="preserve">At March 31, 2019, the Company has a total of 5,573 leases in the U.S. consolidated operating portfolio. The following table sets forth the aggregate lease expirations for each of the next ten years, assuming no renewal options are exercised. For purposes </w:t>
      </w:r>
      <w:r>
        <w:rPr>
          <w:rFonts w:ascii="Times New Roman" w:hAnsi="Times New Roman" w:cs="Times New Roman"/>
          <w:sz w:val="20"/>
          <w:szCs w:val="20"/>
        </w:rPr>
        <w:t>of the table, the Total Annual Base Rent Expiring represents annualized rental revenue, excluding the impact of straight-line rent, for each lease that expires during the respective year. Amounts in thousands except for number of lease data:</w:t>
      </w:r>
    </w:p>
    <w:p w:rsidR="00000000" w:rsidRDefault="008E203B">
      <w:pPr>
        <w:pStyle w:val="a3"/>
        <w:spacing w:before="0" w:beforeAutospacing="0" w:after="0" w:afterAutospacing="0"/>
        <w:ind w:firstLine="720"/>
        <w:jc w:val="both"/>
        <w:rPr>
          <w:rFonts w:ascii="Times New Roman" w:hAnsi="Times New Roman" w:cs="Times New Roman"/>
          <w:sz w:val="20"/>
          <w:szCs w:val="20"/>
        </w:rPr>
      </w:pPr>
      <w:r>
        <w:rPr>
          <w:rFonts w:ascii="Times New Roman" w:hAnsi="Times New Roman" w:cs="Times New Roman"/>
          <w:sz w:val="20"/>
          <w:szCs w:val="20"/>
        </w:rPr>
        <w:t> </w:t>
      </w:r>
    </w:p>
    <w:tbl>
      <w:tblPr>
        <w:tblW w:w="4500" w:type="pct"/>
        <w:tblCellSpacing w:w="0" w:type="dxa"/>
        <w:tblInd w:w="5" w:type="dxa"/>
        <w:tblCellMar>
          <w:left w:w="0" w:type="dxa"/>
          <w:right w:w="0" w:type="dxa"/>
        </w:tblCellMar>
        <w:tblLook w:val="04A0" w:firstRow="1" w:lastRow="0" w:firstColumn="1" w:lastColumn="0" w:noHBand="0" w:noVBand="1"/>
      </w:tblPr>
      <w:tblGrid>
        <w:gridCol w:w="2671"/>
        <w:gridCol w:w="55"/>
        <w:gridCol w:w="55"/>
        <w:gridCol w:w="952"/>
        <w:gridCol w:w="55"/>
        <w:gridCol w:w="55"/>
        <w:gridCol w:w="67"/>
        <w:gridCol w:w="940"/>
        <w:gridCol w:w="55"/>
        <w:gridCol w:w="55"/>
        <w:gridCol w:w="277"/>
        <w:gridCol w:w="952"/>
        <w:gridCol w:w="55"/>
        <w:gridCol w:w="55"/>
        <w:gridCol w:w="56"/>
        <w:gridCol w:w="953"/>
        <w:gridCol w:w="167"/>
      </w:tblGrid>
      <w:tr w:rsidR="00000000">
        <w:trPr>
          <w:tblCellSpacing w:w="0" w:type="dxa"/>
        </w:trPr>
        <w:tc>
          <w:tcPr>
            <w:tcW w:w="1800" w:type="pct"/>
            <w:tcBorders>
              <w:bottom w:val="single" w:sz="6" w:space="0" w:color="000000"/>
            </w:tcBorders>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Year Ending</w:t>
            </w:r>
          </w:p>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December 31,</w:t>
            </w:r>
          </w:p>
        </w:tc>
        <w:tc>
          <w:tcPr>
            <w:tcW w:w="50" w:type="pct"/>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gridSpan w:val="2"/>
            <w:tcBorders>
              <w:bottom w:val="single" w:sz="6" w:space="0" w:color="000000"/>
            </w:tcBorders>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Number of Leases</w:t>
            </w:r>
          </w:p>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Expiring</w:t>
            </w:r>
          </w:p>
        </w:tc>
        <w:tc>
          <w:tcPr>
            <w:tcW w:w="50" w:type="pct"/>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gridSpan w:val="2"/>
            <w:tcBorders>
              <w:bottom w:val="single" w:sz="6" w:space="0" w:color="000000"/>
            </w:tcBorders>
            <w:vAlign w:val="bottom"/>
            <w:hideMark/>
          </w:tcPr>
          <w:p w:rsidR="00000000" w:rsidRDefault="008E203B">
            <w:pPr>
              <w:pStyle w:val="a3"/>
              <w:spacing w:before="0" w:beforeAutospacing="0" w:after="0" w:afterAutospacing="0"/>
              <w:ind w:left="176"/>
              <w:jc w:val="center"/>
              <w:rPr>
                <w:rFonts w:ascii="Times New Roman" w:hAnsi="Times New Roman" w:cs="Times New Roman"/>
                <w:sz w:val="20"/>
                <w:szCs w:val="20"/>
              </w:rPr>
            </w:pPr>
            <w:r>
              <w:rPr>
                <w:rFonts w:ascii="Times New Roman" w:hAnsi="Times New Roman" w:cs="Times New Roman"/>
                <w:b/>
                <w:bCs/>
                <w:sz w:val="20"/>
                <w:szCs w:val="20"/>
              </w:rPr>
              <w:t xml:space="preserve">Square Feet </w:t>
            </w:r>
          </w:p>
          <w:p w:rsidR="00000000" w:rsidRDefault="008E203B">
            <w:pPr>
              <w:pStyle w:val="a3"/>
              <w:spacing w:before="0" w:beforeAutospacing="0" w:after="0" w:afterAutospacing="0"/>
              <w:ind w:left="176"/>
              <w:jc w:val="center"/>
              <w:rPr>
                <w:rFonts w:ascii="Times New Roman" w:hAnsi="Times New Roman" w:cs="Times New Roman"/>
                <w:sz w:val="20"/>
                <w:szCs w:val="20"/>
              </w:rPr>
            </w:pPr>
            <w:r>
              <w:rPr>
                <w:rFonts w:ascii="Times New Roman" w:hAnsi="Times New Roman" w:cs="Times New Roman"/>
                <w:b/>
                <w:bCs/>
                <w:sz w:val="20"/>
                <w:szCs w:val="20"/>
              </w:rPr>
              <w:t>Expiring</w:t>
            </w:r>
          </w:p>
        </w:tc>
        <w:tc>
          <w:tcPr>
            <w:tcW w:w="50" w:type="pct"/>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gridSpan w:val="2"/>
            <w:tcBorders>
              <w:bottom w:val="single" w:sz="6" w:space="0" w:color="000000"/>
            </w:tcBorders>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Total Annual Base</w:t>
            </w:r>
          </w:p>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Rent Expiring</w:t>
            </w:r>
          </w:p>
        </w:tc>
        <w:tc>
          <w:tcPr>
            <w:tcW w:w="50" w:type="pct"/>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gridSpan w:val="2"/>
            <w:tcBorders>
              <w:bottom w:val="single" w:sz="6" w:space="0" w:color="000000"/>
            </w:tcBorders>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 xml:space="preserve">% of Gross </w:t>
            </w:r>
          </w:p>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Annual Rent</w:t>
            </w:r>
          </w:p>
        </w:tc>
        <w:tc>
          <w:tcPr>
            <w:tcW w:w="50" w:type="pct"/>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tblCellSpacing w:w="0" w:type="dxa"/>
        </w:trPr>
        <w:tc>
          <w:tcPr>
            <w:tcW w:w="1800" w:type="pct"/>
            <w:shd w:val="clear" w:color="auto" w:fill="CCEEFF"/>
            <w:vAlign w:val="bottom"/>
            <w:hideMark/>
          </w:tcPr>
          <w:p w:rsidR="00000000" w:rsidRDefault="008E203B">
            <w:pPr>
              <w:pStyle w:val="a3"/>
              <w:spacing w:before="0" w:beforeAutospacing="0" w:after="0" w:afterAutospacing="0"/>
              <w:ind w:left="352" w:hanging="176"/>
              <w:jc w:val="center"/>
              <w:rPr>
                <w:rFonts w:ascii="Times New Roman" w:hAnsi="Times New Roman" w:cs="Times New Roman"/>
                <w:sz w:val="20"/>
                <w:szCs w:val="20"/>
              </w:rPr>
            </w:pPr>
            <w:r>
              <w:rPr>
                <w:rFonts w:ascii="Times New Roman" w:hAnsi="Times New Roman" w:cs="Times New Roman"/>
                <w:sz w:val="20"/>
                <w:szCs w:val="20"/>
              </w:rPr>
              <w:t>(1)</w:t>
            </w:r>
          </w:p>
        </w:tc>
        <w:tc>
          <w:tcPr>
            <w:tcW w:w="50" w:type="pct"/>
            <w:tcBorders>
              <w:bottom w:val="nil"/>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nil"/>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50" w:type="pct"/>
            <w:tcBorders>
              <w:bottom w:val="nil"/>
            </w:tcBorders>
            <w:shd w:val="clear" w:color="auto" w:fill="CCEEFF"/>
            <w:vAlign w:val="bottom"/>
            <w:hideMark/>
          </w:tcPr>
          <w:p w:rsidR="00000000" w:rsidRDefault="008E203B">
            <w:pPr>
              <w:ind w:left="176"/>
              <w:jc w:val="center"/>
              <w:rPr>
                <w:rFonts w:ascii="Times New Roman" w:hAnsi="Times New Roman" w:cs="Times New Roman"/>
                <w:sz w:val="20"/>
                <w:szCs w:val="20"/>
              </w:rPr>
            </w:pPr>
            <w:r>
              <w:rPr>
                <w:rFonts w:ascii="Times New Roman" w:hAnsi="Times New Roman" w:cs="Times New Roman"/>
                <w:sz w:val="20"/>
                <w:szCs w:val="20"/>
              </w:rPr>
              <w:t>166</w:t>
            </w:r>
          </w:p>
        </w:tc>
        <w:tc>
          <w:tcPr>
            <w:tcW w:w="50" w:type="pct"/>
            <w:tcBorders>
              <w:bottom w:val="nil"/>
            </w:tcBorders>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nil"/>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nil"/>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50" w:type="pct"/>
            <w:tcBorders>
              <w:bottom w:val="nil"/>
            </w:tcBorders>
            <w:shd w:val="clear" w:color="auto" w:fill="CCEEFF"/>
            <w:vAlign w:val="bottom"/>
            <w:hideMark/>
          </w:tcPr>
          <w:p w:rsidR="00000000" w:rsidRDefault="008E203B">
            <w:pPr>
              <w:ind w:left="176"/>
              <w:jc w:val="center"/>
              <w:rPr>
                <w:rFonts w:ascii="Times New Roman" w:hAnsi="Times New Roman" w:cs="Times New Roman"/>
                <w:sz w:val="20"/>
                <w:szCs w:val="20"/>
              </w:rPr>
            </w:pPr>
            <w:r>
              <w:rPr>
                <w:rFonts w:ascii="Times New Roman" w:hAnsi="Times New Roman" w:cs="Times New Roman"/>
                <w:sz w:val="20"/>
                <w:szCs w:val="20"/>
              </w:rPr>
              <w:t>554</w:t>
            </w:r>
          </w:p>
        </w:tc>
        <w:tc>
          <w:tcPr>
            <w:tcW w:w="50" w:type="pct"/>
            <w:tcBorders>
              <w:bottom w:val="nil"/>
            </w:tcBorders>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nil"/>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nil"/>
            </w:tcBorders>
            <w:shd w:val="clear" w:color="auto" w:fill="CCEEFF"/>
            <w:vAlign w:val="bottom"/>
            <w:hideMark/>
          </w:tcPr>
          <w:p w:rsidR="00000000" w:rsidRDefault="008E203B">
            <w:pPr>
              <w:ind w:left="176"/>
              <w:rPr>
                <w:rFonts w:ascii="Times New Roman" w:hAnsi="Times New Roman" w:cs="Times New Roman"/>
                <w:sz w:val="20"/>
                <w:szCs w:val="20"/>
              </w:rPr>
            </w:pPr>
            <w:r>
              <w:rPr>
                <w:rFonts w:ascii="Times New Roman" w:hAnsi="Times New Roman" w:cs="Times New Roman"/>
                <w:sz w:val="20"/>
                <w:szCs w:val="20"/>
              </w:rPr>
              <w:t>$</w:t>
            </w:r>
          </w:p>
        </w:tc>
        <w:tc>
          <w:tcPr>
            <w:tcW w:w="650" w:type="pct"/>
            <w:tcBorders>
              <w:bottom w:val="nil"/>
            </w:tcBorders>
            <w:shd w:val="clear" w:color="auto" w:fill="CCEEFF"/>
            <w:vAlign w:val="bottom"/>
            <w:hideMark/>
          </w:tcPr>
          <w:p w:rsidR="00000000" w:rsidRDefault="008E203B">
            <w:pPr>
              <w:ind w:left="176"/>
              <w:jc w:val="right"/>
              <w:rPr>
                <w:rFonts w:ascii="Times New Roman" w:hAnsi="Times New Roman" w:cs="Times New Roman"/>
                <w:sz w:val="20"/>
                <w:szCs w:val="20"/>
              </w:rPr>
            </w:pPr>
            <w:r>
              <w:rPr>
                <w:rFonts w:ascii="Times New Roman" w:hAnsi="Times New Roman" w:cs="Times New Roman"/>
                <w:sz w:val="20"/>
                <w:szCs w:val="20"/>
              </w:rPr>
              <w:t>11,477</w:t>
            </w:r>
          </w:p>
        </w:tc>
        <w:tc>
          <w:tcPr>
            <w:tcW w:w="50" w:type="pct"/>
            <w:tcBorders>
              <w:bottom w:val="nil"/>
            </w:tcBorders>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nil"/>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nil"/>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50" w:type="pct"/>
            <w:tcBorders>
              <w:bottom w:val="nil"/>
            </w:tcBorders>
            <w:shd w:val="clear" w:color="auto" w:fill="CCEEFF"/>
            <w:vAlign w:val="bottom"/>
            <w:hideMark/>
          </w:tcPr>
          <w:p w:rsidR="00000000" w:rsidRDefault="008E203B">
            <w:pPr>
              <w:ind w:left="176"/>
              <w:jc w:val="right"/>
              <w:rPr>
                <w:rFonts w:ascii="Times New Roman" w:hAnsi="Times New Roman" w:cs="Times New Roman"/>
                <w:sz w:val="20"/>
                <w:szCs w:val="20"/>
              </w:rPr>
            </w:pPr>
            <w:r>
              <w:rPr>
                <w:rFonts w:ascii="Times New Roman" w:hAnsi="Times New Roman" w:cs="Times New Roman"/>
                <w:sz w:val="20"/>
                <w:szCs w:val="20"/>
              </w:rPr>
              <w:t>1.4</w:t>
            </w:r>
          </w:p>
        </w:tc>
        <w:tc>
          <w:tcPr>
            <w:tcW w:w="50" w:type="pct"/>
            <w:tcBorders>
              <w:bottom w:val="nil"/>
            </w:tcBorders>
            <w:shd w:val="clear" w:color="auto" w:fill="CCEEFF"/>
            <w:noWrap/>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tblCellSpacing w:w="0" w:type="dxa"/>
        </w:trPr>
        <w:tc>
          <w:tcPr>
            <w:tcW w:w="1800" w:type="pct"/>
            <w:shd w:val="clear" w:color="auto" w:fill="FFFFFF"/>
            <w:vAlign w:val="bottom"/>
            <w:hideMark/>
          </w:tcPr>
          <w:p w:rsidR="00000000" w:rsidRDefault="008E203B">
            <w:pPr>
              <w:pStyle w:val="a3"/>
              <w:spacing w:before="0" w:beforeAutospacing="0" w:after="0" w:afterAutospacing="0"/>
              <w:ind w:left="352" w:hanging="176"/>
              <w:jc w:val="center"/>
              <w:rPr>
                <w:rFonts w:ascii="Times New Roman" w:hAnsi="Times New Roman" w:cs="Times New Roman"/>
                <w:sz w:val="20"/>
                <w:szCs w:val="20"/>
              </w:rPr>
            </w:pPr>
            <w:r>
              <w:rPr>
                <w:rFonts w:ascii="Times New Roman" w:hAnsi="Times New Roman" w:cs="Times New Roman"/>
                <w:sz w:val="20"/>
                <w:szCs w:val="20"/>
              </w:rPr>
              <w:t>2019</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50" w:type="pct"/>
            <w:shd w:val="clear" w:color="auto" w:fill="FFFFFF"/>
            <w:vAlign w:val="bottom"/>
            <w:hideMark/>
          </w:tcPr>
          <w:p w:rsidR="00000000" w:rsidRDefault="008E203B">
            <w:pPr>
              <w:ind w:left="176"/>
              <w:jc w:val="center"/>
              <w:rPr>
                <w:rFonts w:ascii="Times New Roman" w:hAnsi="Times New Roman" w:cs="Times New Roman"/>
                <w:sz w:val="20"/>
                <w:szCs w:val="20"/>
              </w:rPr>
            </w:pPr>
            <w:r>
              <w:rPr>
                <w:rFonts w:ascii="Times New Roman" w:hAnsi="Times New Roman" w:cs="Times New Roman"/>
                <w:sz w:val="20"/>
                <w:szCs w:val="20"/>
              </w:rPr>
              <w:t>391</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50" w:type="pct"/>
            <w:shd w:val="clear" w:color="auto" w:fill="FFFFFF"/>
            <w:vAlign w:val="bottom"/>
            <w:hideMark/>
          </w:tcPr>
          <w:p w:rsidR="00000000" w:rsidRDefault="008E203B">
            <w:pPr>
              <w:ind w:left="176"/>
              <w:jc w:val="center"/>
              <w:rPr>
                <w:rFonts w:ascii="Times New Roman" w:hAnsi="Times New Roman" w:cs="Times New Roman"/>
                <w:sz w:val="20"/>
                <w:szCs w:val="20"/>
              </w:rPr>
            </w:pPr>
            <w:r>
              <w:rPr>
                <w:rFonts w:ascii="Times New Roman" w:hAnsi="Times New Roman" w:cs="Times New Roman"/>
                <w:sz w:val="20"/>
                <w:szCs w:val="20"/>
              </w:rPr>
              <w:t>1,834</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ind w:left="176"/>
              <w:rPr>
                <w:rFonts w:ascii="Times New Roman" w:hAnsi="Times New Roman" w:cs="Times New Roman"/>
                <w:sz w:val="20"/>
                <w:szCs w:val="20"/>
              </w:rPr>
            </w:pPr>
            <w:r>
              <w:rPr>
                <w:rFonts w:ascii="Times New Roman" w:hAnsi="Times New Roman" w:cs="Times New Roman"/>
                <w:sz w:val="20"/>
                <w:szCs w:val="20"/>
              </w:rPr>
              <w:t>$</w:t>
            </w:r>
          </w:p>
        </w:tc>
        <w:tc>
          <w:tcPr>
            <w:tcW w:w="650" w:type="pct"/>
            <w:shd w:val="clear" w:color="auto" w:fill="FFFFFF"/>
            <w:vAlign w:val="bottom"/>
            <w:hideMark/>
          </w:tcPr>
          <w:p w:rsidR="00000000" w:rsidRDefault="008E203B">
            <w:pPr>
              <w:ind w:left="176"/>
              <w:jc w:val="right"/>
              <w:rPr>
                <w:rFonts w:ascii="Times New Roman" w:hAnsi="Times New Roman" w:cs="Times New Roman"/>
                <w:sz w:val="20"/>
                <w:szCs w:val="20"/>
              </w:rPr>
            </w:pPr>
            <w:r>
              <w:rPr>
                <w:rFonts w:ascii="Times New Roman" w:hAnsi="Times New Roman" w:cs="Times New Roman"/>
                <w:sz w:val="20"/>
                <w:szCs w:val="20"/>
              </w:rPr>
              <w:t>35,109</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50" w:type="pct"/>
            <w:shd w:val="clear" w:color="auto" w:fill="FFFFFF"/>
            <w:vAlign w:val="bottom"/>
            <w:hideMark/>
          </w:tcPr>
          <w:p w:rsidR="00000000" w:rsidRDefault="008E203B">
            <w:pPr>
              <w:ind w:left="176"/>
              <w:jc w:val="right"/>
              <w:rPr>
                <w:rFonts w:ascii="Times New Roman" w:hAnsi="Times New Roman" w:cs="Times New Roman"/>
                <w:sz w:val="20"/>
                <w:szCs w:val="20"/>
              </w:rPr>
            </w:pPr>
            <w:r>
              <w:rPr>
                <w:rFonts w:ascii="Times New Roman" w:hAnsi="Times New Roman" w:cs="Times New Roman"/>
                <w:sz w:val="20"/>
                <w:szCs w:val="20"/>
              </w:rPr>
              <w:t>4.3</w:t>
            </w:r>
          </w:p>
        </w:tc>
        <w:tc>
          <w:tcPr>
            <w:tcW w:w="50" w:type="pct"/>
            <w:shd w:val="clear" w:color="auto" w:fill="FFFFFF"/>
            <w:noWrap/>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tblCellSpacing w:w="0" w:type="dxa"/>
        </w:trPr>
        <w:tc>
          <w:tcPr>
            <w:tcW w:w="1800" w:type="pct"/>
            <w:shd w:val="clear" w:color="auto" w:fill="CCEEFF"/>
            <w:vAlign w:val="bottom"/>
            <w:hideMark/>
          </w:tcPr>
          <w:p w:rsidR="00000000" w:rsidRDefault="008E203B">
            <w:pPr>
              <w:pStyle w:val="a3"/>
              <w:spacing w:before="0" w:beforeAutospacing="0" w:after="0" w:afterAutospacing="0"/>
              <w:ind w:left="352" w:hanging="176"/>
              <w:jc w:val="center"/>
              <w:rPr>
                <w:rFonts w:ascii="Times New Roman" w:hAnsi="Times New Roman" w:cs="Times New Roman"/>
                <w:sz w:val="20"/>
                <w:szCs w:val="20"/>
              </w:rPr>
            </w:pPr>
            <w:r>
              <w:rPr>
                <w:rFonts w:ascii="Times New Roman" w:hAnsi="Times New Roman" w:cs="Times New Roman"/>
                <w:sz w:val="20"/>
                <w:szCs w:val="20"/>
              </w:rPr>
              <w:t>2020</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50" w:type="pct"/>
            <w:shd w:val="clear" w:color="auto" w:fill="CCEEFF"/>
            <w:vAlign w:val="bottom"/>
            <w:hideMark/>
          </w:tcPr>
          <w:p w:rsidR="00000000" w:rsidRDefault="008E203B">
            <w:pPr>
              <w:ind w:left="176"/>
              <w:jc w:val="center"/>
              <w:rPr>
                <w:rFonts w:ascii="Times New Roman" w:hAnsi="Times New Roman" w:cs="Times New Roman"/>
                <w:sz w:val="20"/>
                <w:szCs w:val="20"/>
              </w:rPr>
            </w:pPr>
            <w:r>
              <w:rPr>
                <w:rFonts w:ascii="Times New Roman" w:hAnsi="Times New Roman" w:cs="Times New Roman"/>
                <w:sz w:val="20"/>
                <w:szCs w:val="20"/>
              </w:rPr>
              <w:t>755</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50" w:type="pct"/>
            <w:shd w:val="clear" w:color="auto" w:fill="CCEEFF"/>
            <w:vAlign w:val="bottom"/>
            <w:hideMark/>
          </w:tcPr>
          <w:p w:rsidR="00000000" w:rsidRDefault="008E203B">
            <w:pPr>
              <w:ind w:left="176"/>
              <w:jc w:val="center"/>
              <w:rPr>
                <w:rFonts w:ascii="Times New Roman" w:hAnsi="Times New Roman" w:cs="Times New Roman"/>
                <w:sz w:val="20"/>
                <w:szCs w:val="20"/>
              </w:rPr>
            </w:pPr>
            <w:r>
              <w:rPr>
                <w:rFonts w:ascii="Times New Roman" w:hAnsi="Times New Roman" w:cs="Times New Roman"/>
                <w:sz w:val="20"/>
                <w:szCs w:val="20"/>
              </w:rPr>
              <w:t>5,139</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ind w:left="176"/>
              <w:rPr>
                <w:rFonts w:ascii="Times New Roman" w:hAnsi="Times New Roman" w:cs="Times New Roman"/>
                <w:sz w:val="20"/>
                <w:szCs w:val="20"/>
              </w:rPr>
            </w:pPr>
            <w:r>
              <w:rPr>
                <w:rFonts w:ascii="Times New Roman" w:hAnsi="Times New Roman" w:cs="Times New Roman"/>
                <w:sz w:val="20"/>
                <w:szCs w:val="20"/>
              </w:rPr>
              <w:t>$</w:t>
            </w:r>
          </w:p>
        </w:tc>
        <w:tc>
          <w:tcPr>
            <w:tcW w:w="650" w:type="pct"/>
            <w:shd w:val="clear" w:color="auto" w:fill="CCEEFF"/>
            <w:vAlign w:val="bottom"/>
            <w:hideMark/>
          </w:tcPr>
          <w:p w:rsidR="00000000" w:rsidRDefault="008E203B">
            <w:pPr>
              <w:ind w:left="176"/>
              <w:jc w:val="right"/>
              <w:rPr>
                <w:rFonts w:ascii="Times New Roman" w:hAnsi="Times New Roman" w:cs="Times New Roman"/>
                <w:sz w:val="20"/>
                <w:szCs w:val="20"/>
              </w:rPr>
            </w:pPr>
            <w:r>
              <w:rPr>
                <w:rFonts w:ascii="Times New Roman" w:hAnsi="Times New Roman" w:cs="Times New Roman"/>
                <w:sz w:val="20"/>
                <w:szCs w:val="20"/>
              </w:rPr>
              <w:t>85,525</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50" w:type="pct"/>
            <w:shd w:val="clear" w:color="auto" w:fill="CCEEFF"/>
            <w:vAlign w:val="bottom"/>
            <w:hideMark/>
          </w:tcPr>
          <w:p w:rsidR="00000000" w:rsidRDefault="008E203B">
            <w:pPr>
              <w:ind w:left="176"/>
              <w:jc w:val="right"/>
              <w:rPr>
                <w:rFonts w:ascii="Times New Roman" w:hAnsi="Times New Roman" w:cs="Times New Roman"/>
                <w:sz w:val="20"/>
                <w:szCs w:val="20"/>
              </w:rPr>
            </w:pPr>
            <w:r>
              <w:rPr>
                <w:rFonts w:ascii="Times New Roman" w:hAnsi="Times New Roman" w:cs="Times New Roman"/>
                <w:sz w:val="20"/>
                <w:szCs w:val="20"/>
              </w:rPr>
              <w:t>10.4</w:t>
            </w:r>
          </w:p>
        </w:tc>
        <w:tc>
          <w:tcPr>
            <w:tcW w:w="50" w:type="pct"/>
            <w:shd w:val="clear" w:color="auto" w:fill="CCEEFF"/>
            <w:noWrap/>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tblCellSpacing w:w="0" w:type="dxa"/>
        </w:trPr>
        <w:tc>
          <w:tcPr>
            <w:tcW w:w="1800" w:type="pct"/>
            <w:shd w:val="clear" w:color="auto" w:fill="FFFFFF"/>
            <w:vAlign w:val="bottom"/>
            <w:hideMark/>
          </w:tcPr>
          <w:p w:rsidR="00000000" w:rsidRDefault="008E203B">
            <w:pPr>
              <w:pStyle w:val="a3"/>
              <w:spacing w:before="0" w:beforeAutospacing="0" w:after="0" w:afterAutospacing="0"/>
              <w:ind w:left="352" w:hanging="176"/>
              <w:jc w:val="center"/>
              <w:rPr>
                <w:rFonts w:ascii="Times New Roman" w:hAnsi="Times New Roman" w:cs="Times New Roman"/>
                <w:sz w:val="20"/>
                <w:szCs w:val="20"/>
              </w:rPr>
            </w:pPr>
            <w:r>
              <w:rPr>
                <w:rFonts w:ascii="Times New Roman" w:hAnsi="Times New Roman" w:cs="Times New Roman"/>
                <w:sz w:val="20"/>
                <w:szCs w:val="20"/>
              </w:rPr>
              <w:t>2021</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50" w:type="pct"/>
            <w:shd w:val="clear" w:color="auto" w:fill="FFFFFF"/>
            <w:vAlign w:val="bottom"/>
            <w:hideMark/>
          </w:tcPr>
          <w:p w:rsidR="00000000" w:rsidRDefault="008E203B">
            <w:pPr>
              <w:ind w:left="176"/>
              <w:jc w:val="center"/>
              <w:rPr>
                <w:rFonts w:ascii="Times New Roman" w:hAnsi="Times New Roman" w:cs="Times New Roman"/>
                <w:sz w:val="20"/>
                <w:szCs w:val="20"/>
              </w:rPr>
            </w:pPr>
            <w:r>
              <w:rPr>
                <w:rFonts w:ascii="Times New Roman" w:hAnsi="Times New Roman" w:cs="Times New Roman"/>
                <w:sz w:val="20"/>
                <w:szCs w:val="20"/>
              </w:rPr>
              <w:t>775</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50" w:type="pct"/>
            <w:shd w:val="clear" w:color="auto" w:fill="FFFFFF"/>
            <w:vAlign w:val="bottom"/>
            <w:hideMark/>
          </w:tcPr>
          <w:p w:rsidR="00000000" w:rsidRDefault="008E203B">
            <w:pPr>
              <w:ind w:left="176"/>
              <w:jc w:val="center"/>
              <w:rPr>
                <w:rFonts w:ascii="Times New Roman" w:hAnsi="Times New Roman" w:cs="Times New Roman"/>
                <w:sz w:val="20"/>
                <w:szCs w:val="20"/>
              </w:rPr>
            </w:pPr>
            <w:r>
              <w:rPr>
                <w:rFonts w:ascii="Times New Roman" w:hAnsi="Times New Roman" w:cs="Times New Roman"/>
                <w:sz w:val="20"/>
                <w:szCs w:val="20"/>
              </w:rPr>
              <w:t>6,037</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ind w:left="176"/>
              <w:rPr>
                <w:rFonts w:ascii="Times New Roman" w:hAnsi="Times New Roman" w:cs="Times New Roman"/>
                <w:sz w:val="20"/>
                <w:szCs w:val="20"/>
              </w:rPr>
            </w:pPr>
            <w:r>
              <w:rPr>
                <w:rFonts w:ascii="Times New Roman" w:hAnsi="Times New Roman" w:cs="Times New Roman"/>
                <w:sz w:val="20"/>
                <w:szCs w:val="20"/>
              </w:rPr>
              <w:t>$</w:t>
            </w:r>
          </w:p>
        </w:tc>
        <w:tc>
          <w:tcPr>
            <w:tcW w:w="650" w:type="pct"/>
            <w:shd w:val="clear" w:color="auto" w:fill="FFFFFF"/>
            <w:vAlign w:val="bottom"/>
            <w:hideMark/>
          </w:tcPr>
          <w:p w:rsidR="00000000" w:rsidRDefault="008E203B">
            <w:pPr>
              <w:ind w:left="176"/>
              <w:jc w:val="right"/>
              <w:rPr>
                <w:rFonts w:ascii="Times New Roman" w:hAnsi="Times New Roman" w:cs="Times New Roman"/>
                <w:sz w:val="20"/>
                <w:szCs w:val="20"/>
              </w:rPr>
            </w:pPr>
            <w:r>
              <w:rPr>
                <w:rFonts w:ascii="Times New Roman" w:hAnsi="Times New Roman" w:cs="Times New Roman"/>
                <w:sz w:val="20"/>
                <w:szCs w:val="20"/>
              </w:rPr>
              <w:t>91,617</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50" w:type="pct"/>
            <w:shd w:val="clear" w:color="auto" w:fill="FFFFFF"/>
            <w:vAlign w:val="bottom"/>
            <w:hideMark/>
          </w:tcPr>
          <w:p w:rsidR="00000000" w:rsidRDefault="008E203B">
            <w:pPr>
              <w:ind w:left="176"/>
              <w:jc w:val="right"/>
              <w:rPr>
                <w:rFonts w:ascii="Times New Roman" w:hAnsi="Times New Roman" w:cs="Times New Roman"/>
                <w:sz w:val="20"/>
                <w:szCs w:val="20"/>
              </w:rPr>
            </w:pPr>
            <w:r>
              <w:rPr>
                <w:rFonts w:ascii="Times New Roman" w:hAnsi="Times New Roman" w:cs="Times New Roman"/>
                <w:sz w:val="20"/>
                <w:szCs w:val="20"/>
              </w:rPr>
              <w:t>11.1</w:t>
            </w:r>
          </w:p>
        </w:tc>
        <w:tc>
          <w:tcPr>
            <w:tcW w:w="50" w:type="pct"/>
            <w:shd w:val="clear" w:color="auto" w:fill="FFFFFF"/>
            <w:noWrap/>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tblCellSpacing w:w="0" w:type="dxa"/>
        </w:trPr>
        <w:tc>
          <w:tcPr>
            <w:tcW w:w="1800" w:type="pct"/>
            <w:shd w:val="clear" w:color="auto" w:fill="CCEEFF"/>
            <w:vAlign w:val="bottom"/>
            <w:hideMark/>
          </w:tcPr>
          <w:p w:rsidR="00000000" w:rsidRDefault="008E203B">
            <w:pPr>
              <w:pStyle w:val="a3"/>
              <w:spacing w:before="0" w:beforeAutospacing="0" w:after="0" w:afterAutospacing="0"/>
              <w:ind w:left="352" w:hanging="176"/>
              <w:jc w:val="center"/>
              <w:rPr>
                <w:rFonts w:ascii="Times New Roman" w:hAnsi="Times New Roman" w:cs="Times New Roman"/>
                <w:sz w:val="20"/>
                <w:szCs w:val="20"/>
              </w:rPr>
            </w:pPr>
            <w:r>
              <w:rPr>
                <w:rFonts w:ascii="Times New Roman" w:hAnsi="Times New Roman" w:cs="Times New Roman"/>
                <w:sz w:val="20"/>
                <w:szCs w:val="20"/>
              </w:rPr>
              <w:t>2022</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50" w:type="pct"/>
            <w:shd w:val="clear" w:color="auto" w:fill="CCEEFF"/>
            <w:vAlign w:val="bottom"/>
            <w:hideMark/>
          </w:tcPr>
          <w:p w:rsidR="00000000" w:rsidRDefault="008E203B">
            <w:pPr>
              <w:ind w:left="176"/>
              <w:jc w:val="center"/>
              <w:rPr>
                <w:rFonts w:ascii="Times New Roman" w:hAnsi="Times New Roman" w:cs="Times New Roman"/>
                <w:sz w:val="20"/>
                <w:szCs w:val="20"/>
              </w:rPr>
            </w:pPr>
            <w:r>
              <w:rPr>
                <w:rFonts w:ascii="Times New Roman" w:hAnsi="Times New Roman" w:cs="Times New Roman"/>
                <w:sz w:val="20"/>
                <w:szCs w:val="20"/>
              </w:rPr>
              <w:t>800</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50" w:type="pct"/>
            <w:shd w:val="clear" w:color="auto" w:fill="CCEEFF"/>
            <w:vAlign w:val="bottom"/>
            <w:hideMark/>
          </w:tcPr>
          <w:p w:rsidR="00000000" w:rsidRDefault="008E203B">
            <w:pPr>
              <w:ind w:left="176"/>
              <w:jc w:val="center"/>
              <w:rPr>
                <w:rFonts w:ascii="Times New Roman" w:hAnsi="Times New Roman" w:cs="Times New Roman"/>
                <w:sz w:val="20"/>
                <w:szCs w:val="20"/>
              </w:rPr>
            </w:pPr>
            <w:r>
              <w:rPr>
                <w:rFonts w:ascii="Times New Roman" w:hAnsi="Times New Roman" w:cs="Times New Roman"/>
                <w:sz w:val="20"/>
                <w:szCs w:val="20"/>
              </w:rPr>
              <w:t>6,104</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ind w:left="176"/>
              <w:rPr>
                <w:rFonts w:ascii="Times New Roman" w:hAnsi="Times New Roman" w:cs="Times New Roman"/>
                <w:sz w:val="20"/>
                <w:szCs w:val="20"/>
              </w:rPr>
            </w:pPr>
            <w:r>
              <w:rPr>
                <w:rFonts w:ascii="Times New Roman" w:hAnsi="Times New Roman" w:cs="Times New Roman"/>
                <w:sz w:val="20"/>
                <w:szCs w:val="20"/>
              </w:rPr>
              <w:t>$</w:t>
            </w:r>
          </w:p>
        </w:tc>
        <w:tc>
          <w:tcPr>
            <w:tcW w:w="650" w:type="pct"/>
            <w:shd w:val="clear" w:color="auto" w:fill="CCEEFF"/>
            <w:vAlign w:val="bottom"/>
            <w:hideMark/>
          </w:tcPr>
          <w:p w:rsidR="00000000" w:rsidRDefault="008E203B">
            <w:pPr>
              <w:ind w:left="176"/>
              <w:jc w:val="right"/>
              <w:rPr>
                <w:rFonts w:ascii="Times New Roman" w:hAnsi="Times New Roman" w:cs="Times New Roman"/>
                <w:sz w:val="20"/>
                <w:szCs w:val="20"/>
              </w:rPr>
            </w:pPr>
            <w:r>
              <w:rPr>
                <w:rFonts w:ascii="Times New Roman" w:hAnsi="Times New Roman" w:cs="Times New Roman"/>
                <w:sz w:val="20"/>
                <w:szCs w:val="20"/>
              </w:rPr>
              <w:t>103,191</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50" w:type="pct"/>
            <w:shd w:val="clear" w:color="auto" w:fill="CCEEFF"/>
            <w:vAlign w:val="bottom"/>
            <w:hideMark/>
          </w:tcPr>
          <w:p w:rsidR="00000000" w:rsidRDefault="008E203B">
            <w:pPr>
              <w:ind w:left="176"/>
              <w:jc w:val="right"/>
              <w:rPr>
                <w:rFonts w:ascii="Times New Roman" w:hAnsi="Times New Roman" w:cs="Times New Roman"/>
                <w:sz w:val="20"/>
                <w:szCs w:val="20"/>
              </w:rPr>
            </w:pPr>
            <w:r>
              <w:rPr>
                <w:rFonts w:ascii="Times New Roman" w:hAnsi="Times New Roman" w:cs="Times New Roman"/>
                <w:sz w:val="20"/>
                <w:szCs w:val="20"/>
              </w:rPr>
              <w:t>12.5</w:t>
            </w:r>
          </w:p>
        </w:tc>
        <w:tc>
          <w:tcPr>
            <w:tcW w:w="50" w:type="pct"/>
            <w:shd w:val="clear" w:color="auto" w:fill="CCEEFF"/>
            <w:noWrap/>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tblCellSpacing w:w="0" w:type="dxa"/>
        </w:trPr>
        <w:tc>
          <w:tcPr>
            <w:tcW w:w="1800" w:type="pct"/>
            <w:shd w:val="clear" w:color="auto" w:fill="FFFFFF"/>
            <w:vAlign w:val="bottom"/>
            <w:hideMark/>
          </w:tcPr>
          <w:p w:rsidR="00000000" w:rsidRDefault="008E203B">
            <w:pPr>
              <w:pStyle w:val="a3"/>
              <w:spacing w:before="0" w:beforeAutospacing="0" w:after="0" w:afterAutospacing="0"/>
              <w:ind w:left="352" w:hanging="176"/>
              <w:jc w:val="center"/>
              <w:rPr>
                <w:rFonts w:ascii="Times New Roman" w:hAnsi="Times New Roman" w:cs="Times New Roman"/>
                <w:sz w:val="20"/>
                <w:szCs w:val="20"/>
              </w:rPr>
            </w:pPr>
            <w:r>
              <w:rPr>
                <w:rFonts w:ascii="Times New Roman" w:hAnsi="Times New Roman" w:cs="Times New Roman"/>
                <w:sz w:val="20"/>
                <w:szCs w:val="20"/>
              </w:rPr>
              <w:t>2023</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50" w:type="pct"/>
            <w:shd w:val="clear" w:color="auto" w:fill="FFFFFF"/>
            <w:vAlign w:val="bottom"/>
            <w:hideMark/>
          </w:tcPr>
          <w:p w:rsidR="00000000" w:rsidRDefault="008E203B">
            <w:pPr>
              <w:ind w:left="176"/>
              <w:jc w:val="center"/>
              <w:rPr>
                <w:rFonts w:ascii="Times New Roman" w:hAnsi="Times New Roman" w:cs="Times New Roman"/>
                <w:sz w:val="20"/>
                <w:szCs w:val="20"/>
              </w:rPr>
            </w:pPr>
            <w:r>
              <w:rPr>
                <w:rFonts w:ascii="Times New Roman" w:hAnsi="Times New Roman" w:cs="Times New Roman"/>
                <w:sz w:val="20"/>
                <w:szCs w:val="20"/>
              </w:rPr>
              <w:t>731</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50" w:type="pct"/>
            <w:shd w:val="clear" w:color="auto" w:fill="FFFFFF"/>
            <w:vAlign w:val="bottom"/>
            <w:hideMark/>
          </w:tcPr>
          <w:p w:rsidR="00000000" w:rsidRDefault="008E203B">
            <w:pPr>
              <w:ind w:left="176"/>
              <w:jc w:val="center"/>
              <w:rPr>
                <w:rFonts w:ascii="Times New Roman" w:hAnsi="Times New Roman" w:cs="Times New Roman"/>
                <w:sz w:val="20"/>
                <w:szCs w:val="20"/>
              </w:rPr>
            </w:pPr>
            <w:r>
              <w:rPr>
                <w:rFonts w:ascii="Times New Roman" w:hAnsi="Times New Roman" w:cs="Times New Roman"/>
                <w:sz w:val="20"/>
                <w:szCs w:val="20"/>
              </w:rPr>
              <w:t>6,031</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ind w:left="176"/>
              <w:rPr>
                <w:rFonts w:ascii="Times New Roman" w:hAnsi="Times New Roman" w:cs="Times New Roman"/>
                <w:sz w:val="20"/>
                <w:szCs w:val="20"/>
              </w:rPr>
            </w:pPr>
            <w:r>
              <w:rPr>
                <w:rFonts w:ascii="Times New Roman" w:hAnsi="Times New Roman" w:cs="Times New Roman"/>
                <w:sz w:val="20"/>
                <w:szCs w:val="20"/>
              </w:rPr>
              <w:t>$</w:t>
            </w:r>
          </w:p>
        </w:tc>
        <w:tc>
          <w:tcPr>
            <w:tcW w:w="650" w:type="pct"/>
            <w:shd w:val="clear" w:color="auto" w:fill="FFFFFF"/>
            <w:vAlign w:val="bottom"/>
            <w:hideMark/>
          </w:tcPr>
          <w:p w:rsidR="00000000" w:rsidRDefault="008E203B">
            <w:pPr>
              <w:ind w:left="176"/>
              <w:jc w:val="right"/>
              <w:rPr>
                <w:rFonts w:ascii="Times New Roman" w:hAnsi="Times New Roman" w:cs="Times New Roman"/>
                <w:sz w:val="20"/>
                <w:szCs w:val="20"/>
              </w:rPr>
            </w:pPr>
            <w:r>
              <w:rPr>
                <w:rFonts w:ascii="Times New Roman" w:hAnsi="Times New Roman" w:cs="Times New Roman"/>
                <w:sz w:val="20"/>
                <w:szCs w:val="20"/>
              </w:rPr>
              <w:t>100,887</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50" w:type="pct"/>
            <w:shd w:val="clear" w:color="auto" w:fill="FFFFFF"/>
            <w:vAlign w:val="bottom"/>
            <w:hideMark/>
          </w:tcPr>
          <w:p w:rsidR="00000000" w:rsidRDefault="008E203B">
            <w:pPr>
              <w:ind w:left="176"/>
              <w:jc w:val="right"/>
              <w:rPr>
                <w:rFonts w:ascii="Times New Roman" w:hAnsi="Times New Roman" w:cs="Times New Roman"/>
                <w:sz w:val="20"/>
                <w:szCs w:val="20"/>
              </w:rPr>
            </w:pPr>
            <w:r>
              <w:rPr>
                <w:rFonts w:ascii="Times New Roman" w:hAnsi="Times New Roman" w:cs="Times New Roman"/>
                <w:sz w:val="20"/>
                <w:szCs w:val="20"/>
              </w:rPr>
              <w:t>12.2</w:t>
            </w:r>
          </w:p>
        </w:tc>
        <w:tc>
          <w:tcPr>
            <w:tcW w:w="50" w:type="pct"/>
            <w:shd w:val="clear" w:color="auto" w:fill="FFFFFF"/>
            <w:noWrap/>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tblCellSpacing w:w="0" w:type="dxa"/>
        </w:trPr>
        <w:tc>
          <w:tcPr>
            <w:tcW w:w="1800" w:type="pct"/>
            <w:shd w:val="clear" w:color="auto" w:fill="CCEEFF"/>
            <w:vAlign w:val="bottom"/>
            <w:hideMark/>
          </w:tcPr>
          <w:p w:rsidR="00000000" w:rsidRDefault="008E203B">
            <w:pPr>
              <w:pStyle w:val="a3"/>
              <w:spacing w:before="0" w:beforeAutospacing="0" w:after="0" w:afterAutospacing="0"/>
              <w:ind w:left="352" w:hanging="176"/>
              <w:jc w:val="center"/>
              <w:rPr>
                <w:rFonts w:ascii="Times New Roman" w:hAnsi="Times New Roman" w:cs="Times New Roman"/>
                <w:sz w:val="20"/>
                <w:szCs w:val="20"/>
              </w:rPr>
            </w:pPr>
            <w:r>
              <w:rPr>
                <w:rFonts w:ascii="Times New Roman" w:hAnsi="Times New Roman" w:cs="Times New Roman"/>
                <w:sz w:val="20"/>
                <w:szCs w:val="20"/>
              </w:rPr>
              <w:t>2024</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50" w:type="pct"/>
            <w:shd w:val="clear" w:color="auto" w:fill="CCEEFF"/>
            <w:vAlign w:val="bottom"/>
            <w:hideMark/>
          </w:tcPr>
          <w:p w:rsidR="00000000" w:rsidRDefault="008E203B">
            <w:pPr>
              <w:ind w:left="176"/>
              <w:jc w:val="center"/>
              <w:rPr>
                <w:rFonts w:ascii="Times New Roman" w:hAnsi="Times New Roman" w:cs="Times New Roman"/>
                <w:sz w:val="20"/>
                <w:szCs w:val="20"/>
              </w:rPr>
            </w:pPr>
            <w:r>
              <w:rPr>
                <w:rFonts w:ascii="Times New Roman" w:hAnsi="Times New Roman" w:cs="Times New Roman"/>
                <w:sz w:val="20"/>
                <w:szCs w:val="20"/>
              </w:rPr>
              <w:t>516</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50" w:type="pct"/>
            <w:shd w:val="clear" w:color="auto" w:fill="CCEEFF"/>
            <w:vAlign w:val="bottom"/>
            <w:hideMark/>
          </w:tcPr>
          <w:p w:rsidR="00000000" w:rsidRDefault="008E203B">
            <w:pPr>
              <w:ind w:left="176"/>
              <w:jc w:val="center"/>
              <w:rPr>
                <w:rFonts w:ascii="Times New Roman" w:hAnsi="Times New Roman" w:cs="Times New Roman"/>
                <w:sz w:val="20"/>
                <w:szCs w:val="20"/>
              </w:rPr>
            </w:pPr>
            <w:r>
              <w:rPr>
                <w:rFonts w:ascii="Times New Roman" w:hAnsi="Times New Roman" w:cs="Times New Roman"/>
                <w:sz w:val="20"/>
                <w:szCs w:val="20"/>
              </w:rPr>
              <w:t>4,966</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ind w:left="176"/>
              <w:rPr>
                <w:rFonts w:ascii="Times New Roman" w:hAnsi="Times New Roman" w:cs="Times New Roman"/>
                <w:sz w:val="20"/>
                <w:szCs w:val="20"/>
              </w:rPr>
            </w:pPr>
            <w:r>
              <w:rPr>
                <w:rFonts w:ascii="Times New Roman" w:hAnsi="Times New Roman" w:cs="Times New Roman"/>
                <w:sz w:val="20"/>
                <w:szCs w:val="20"/>
              </w:rPr>
              <w:t>$</w:t>
            </w:r>
          </w:p>
        </w:tc>
        <w:tc>
          <w:tcPr>
            <w:tcW w:w="650" w:type="pct"/>
            <w:shd w:val="clear" w:color="auto" w:fill="CCEEFF"/>
            <w:vAlign w:val="bottom"/>
            <w:hideMark/>
          </w:tcPr>
          <w:p w:rsidR="00000000" w:rsidRDefault="008E203B">
            <w:pPr>
              <w:ind w:left="176"/>
              <w:jc w:val="right"/>
              <w:rPr>
                <w:rFonts w:ascii="Times New Roman" w:hAnsi="Times New Roman" w:cs="Times New Roman"/>
                <w:sz w:val="20"/>
                <w:szCs w:val="20"/>
              </w:rPr>
            </w:pPr>
            <w:r>
              <w:rPr>
                <w:rFonts w:ascii="Times New Roman" w:hAnsi="Times New Roman" w:cs="Times New Roman"/>
                <w:sz w:val="20"/>
                <w:szCs w:val="20"/>
              </w:rPr>
              <w:t>80,101</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50" w:type="pct"/>
            <w:shd w:val="clear" w:color="auto" w:fill="CCEEFF"/>
            <w:vAlign w:val="bottom"/>
            <w:hideMark/>
          </w:tcPr>
          <w:p w:rsidR="00000000" w:rsidRDefault="008E203B">
            <w:pPr>
              <w:ind w:left="176"/>
              <w:jc w:val="right"/>
              <w:rPr>
                <w:rFonts w:ascii="Times New Roman" w:hAnsi="Times New Roman" w:cs="Times New Roman"/>
                <w:sz w:val="20"/>
                <w:szCs w:val="20"/>
              </w:rPr>
            </w:pPr>
            <w:r>
              <w:rPr>
                <w:rFonts w:ascii="Times New Roman" w:hAnsi="Times New Roman" w:cs="Times New Roman"/>
                <w:sz w:val="20"/>
                <w:szCs w:val="20"/>
              </w:rPr>
              <w:t>9.7</w:t>
            </w:r>
          </w:p>
        </w:tc>
        <w:tc>
          <w:tcPr>
            <w:tcW w:w="50" w:type="pct"/>
            <w:shd w:val="clear" w:color="auto" w:fill="CCEEFF"/>
            <w:noWrap/>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tblCellSpacing w:w="0" w:type="dxa"/>
        </w:trPr>
        <w:tc>
          <w:tcPr>
            <w:tcW w:w="1800" w:type="pct"/>
            <w:shd w:val="clear" w:color="auto" w:fill="FFFFFF"/>
            <w:vAlign w:val="bottom"/>
            <w:hideMark/>
          </w:tcPr>
          <w:p w:rsidR="00000000" w:rsidRDefault="008E203B">
            <w:pPr>
              <w:pStyle w:val="a3"/>
              <w:spacing w:before="0" w:beforeAutospacing="0" w:after="0" w:afterAutospacing="0"/>
              <w:ind w:left="352" w:hanging="176"/>
              <w:jc w:val="center"/>
              <w:rPr>
                <w:rFonts w:ascii="Times New Roman" w:hAnsi="Times New Roman" w:cs="Times New Roman"/>
                <w:sz w:val="20"/>
                <w:szCs w:val="20"/>
              </w:rPr>
            </w:pPr>
            <w:r>
              <w:rPr>
                <w:rFonts w:ascii="Times New Roman" w:hAnsi="Times New Roman" w:cs="Times New Roman"/>
                <w:sz w:val="20"/>
                <w:szCs w:val="20"/>
              </w:rPr>
              <w:t>2025</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50" w:type="pct"/>
            <w:shd w:val="clear" w:color="auto" w:fill="FFFFFF"/>
            <w:vAlign w:val="bottom"/>
            <w:hideMark/>
          </w:tcPr>
          <w:p w:rsidR="00000000" w:rsidRDefault="008E203B">
            <w:pPr>
              <w:ind w:left="176"/>
              <w:jc w:val="center"/>
              <w:rPr>
                <w:rFonts w:ascii="Times New Roman" w:hAnsi="Times New Roman" w:cs="Times New Roman"/>
                <w:sz w:val="20"/>
                <w:szCs w:val="20"/>
              </w:rPr>
            </w:pPr>
            <w:r>
              <w:rPr>
                <w:rFonts w:ascii="Times New Roman" w:hAnsi="Times New Roman" w:cs="Times New Roman"/>
                <w:sz w:val="20"/>
                <w:szCs w:val="20"/>
              </w:rPr>
              <w:t>245</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50" w:type="pct"/>
            <w:shd w:val="clear" w:color="auto" w:fill="FFFFFF"/>
            <w:vAlign w:val="bottom"/>
            <w:hideMark/>
          </w:tcPr>
          <w:p w:rsidR="00000000" w:rsidRDefault="008E203B">
            <w:pPr>
              <w:ind w:left="176"/>
              <w:jc w:val="center"/>
              <w:rPr>
                <w:rFonts w:ascii="Times New Roman" w:hAnsi="Times New Roman" w:cs="Times New Roman"/>
                <w:sz w:val="20"/>
                <w:szCs w:val="20"/>
              </w:rPr>
            </w:pPr>
            <w:r>
              <w:rPr>
                <w:rFonts w:ascii="Times New Roman" w:hAnsi="Times New Roman" w:cs="Times New Roman"/>
                <w:sz w:val="20"/>
                <w:szCs w:val="20"/>
              </w:rPr>
              <w:t>2,093</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ind w:left="176"/>
              <w:rPr>
                <w:rFonts w:ascii="Times New Roman" w:hAnsi="Times New Roman" w:cs="Times New Roman"/>
                <w:sz w:val="20"/>
                <w:szCs w:val="20"/>
              </w:rPr>
            </w:pPr>
            <w:r>
              <w:rPr>
                <w:rFonts w:ascii="Times New Roman" w:hAnsi="Times New Roman" w:cs="Times New Roman"/>
                <w:sz w:val="20"/>
                <w:szCs w:val="20"/>
              </w:rPr>
              <w:t>$</w:t>
            </w:r>
          </w:p>
        </w:tc>
        <w:tc>
          <w:tcPr>
            <w:tcW w:w="650" w:type="pct"/>
            <w:shd w:val="clear" w:color="auto" w:fill="FFFFFF"/>
            <w:vAlign w:val="bottom"/>
            <w:hideMark/>
          </w:tcPr>
          <w:p w:rsidR="00000000" w:rsidRDefault="008E203B">
            <w:pPr>
              <w:ind w:left="176"/>
              <w:jc w:val="right"/>
              <w:rPr>
                <w:rFonts w:ascii="Times New Roman" w:hAnsi="Times New Roman" w:cs="Times New Roman"/>
                <w:sz w:val="20"/>
                <w:szCs w:val="20"/>
              </w:rPr>
            </w:pPr>
            <w:r>
              <w:rPr>
                <w:rFonts w:ascii="Times New Roman" w:hAnsi="Times New Roman" w:cs="Times New Roman"/>
                <w:sz w:val="20"/>
                <w:szCs w:val="20"/>
              </w:rPr>
              <w:t>38,660</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50" w:type="pct"/>
            <w:shd w:val="clear" w:color="auto" w:fill="FFFFFF"/>
            <w:vAlign w:val="bottom"/>
            <w:hideMark/>
          </w:tcPr>
          <w:p w:rsidR="00000000" w:rsidRDefault="008E203B">
            <w:pPr>
              <w:ind w:left="176"/>
              <w:jc w:val="right"/>
              <w:rPr>
                <w:rFonts w:ascii="Times New Roman" w:hAnsi="Times New Roman" w:cs="Times New Roman"/>
                <w:sz w:val="20"/>
                <w:szCs w:val="20"/>
              </w:rPr>
            </w:pPr>
            <w:r>
              <w:rPr>
                <w:rFonts w:ascii="Times New Roman" w:hAnsi="Times New Roman" w:cs="Times New Roman"/>
                <w:sz w:val="20"/>
                <w:szCs w:val="20"/>
              </w:rPr>
              <w:t>4.7</w:t>
            </w:r>
          </w:p>
        </w:tc>
        <w:tc>
          <w:tcPr>
            <w:tcW w:w="50" w:type="pct"/>
            <w:shd w:val="clear" w:color="auto" w:fill="FFFFFF"/>
            <w:noWrap/>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tblCellSpacing w:w="0" w:type="dxa"/>
        </w:trPr>
        <w:tc>
          <w:tcPr>
            <w:tcW w:w="1800" w:type="pct"/>
            <w:shd w:val="clear" w:color="auto" w:fill="CCEEFF"/>
            <w:vAlign w:val="bottom"/>
            <w:hideMark/>
          </w:tcPr>
          <w:p w:rsidR="00000000" w:rsidRDefault="008E203B">
            <w:pPr>
              <w:pStyle w:val="a3"/>
              <w:spacing w:before="0" w:beforeAutospacing="0" w:after="0" w:afterAutospacing="0"/>
              <w:ind w:left="352" w:hanging="176"/>
              <w:jc w:val="center"/>
              <w:rPr>
                <w:rFonts w:ascii="Times New Roman" w:hAnsi="Times New Roman" w:cs="Times New Roman"/>
                <w:sz w:val="20"/>
                <w:szCs w:val="20"/>
              </w:rPr>
            </w:pPr>
            <w:r>
              <w:rPr>
                <w:rFonts w:ascii="Times New Roman" w:hAnsi="Times New Roman" w:cs="Times New Roman"/>
                <w:sz w:val="20"/>
                <w:szCs w:val="20"/>
              </w:rPr>
              <w:t>2026</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50" w:type="pct"/>
            <w:shd w:val="clear" w:color="auto" w:fill="CCEEFF"/>
            <w:vAlign w:val="bottom"/>
            <w:hideMark/>
          </w:tcPr>
          <w:p w:rsidR="00000000" w:rsidRDefault="008E203B">
            <w:pPr>
              <w:ind w:left="176"/>
              <w:jc w:val="center"/>
              <w:rPr>
                <w:rFonts w:ascii="Times New Roman" w:hAnsi="Times New Roman" w:cs="Times New Roman"/>
                <w:sz w:val="20"/>
                <w:szCs w:val="20"/>
              </w:rPr>
            </w:pPr>
            <w:r>
              <w:rPr>
                <w:rFonts w:ascii="Times New Roman" w:hAnsi="Times New Roman" w:cs="Times New Roman"/>
                <w:sz w:val="20"/>
                <w:szCs w:val="20"/>
              </w:rPr>
              <w:t>237</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50" w:type="pct"/>
            <w:shd w:val="clear" w:color="auto" w:fill="CCEEFF"/>
            <w:vAlign w:val="bottom"/>
            <w:hideMark/>
          </w:tcPr>
          <w:p w:rsidR="00000000" w:rsidRDefault="008E203B">
            <w:pPr>
              <w:ind w:left="176"/>
              <w:jc w:val="center"/>
              <w:rPr>
                <w:rFonts w:ascii="Times New Roman" w:hAnsi="Times New Roman" w:cs="Times New Roman"/>
                <w:sz w:val="20"/>
                <w:szCs w:val="20"/>
              </w:rPr>
            </w:pPr>
            <w:r>
              <w:rPr>
                <w:rFonts w:ascii="Times New Roman" w:hAnsi="Times New Roman" w:cs="Times New Roman"/>
                <w:sz w:val="20"/>
                <w:szCs w:val="20"/>
              </w:rPr>
              <w:t>3,609</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ind w:left="176"/>
              <w:rPr>
                <w:rFonts w:ascii="Times New Roman" w:hAnsi="Times New Roman" w:cs="Times New Roman"/>
                <w:sz w:val="20"/>
                <w:szCs w:val="20"/>
              </w:rPr>
            </w:pPr>
            <w:r>
              <w:rPr>
                <w:rFonts w:ascii="Times New Roman" w:hAnsi="Times New Roman" w:cs="Times New Roman"/>
                <w:sz w:val="20"/>
                <w:szCs w:val="20"/>
              </w:rPr>
              <w:t>$</w:t>
            </w:r>
          </w:p>
        </w:tc>
        <w:tc>
          <w:tcPr>
            <w:tcW w:w="650" w:type="pct"/>
            <w:shd w:val="clear" w:color="auto" w:fill="CCEEFF"/>
            <w:vAlign w:val="bottom"/>
            <w:hideMark/>
          </w:tcPr>
          <w:p w:rsidR="00000000" w:rsidRDefault="008E203B">
            <w:pPr>
              <w:ind w:left="176"/>
              <w:jc w:val="right"/>
              <w:rPr>
                <w:rFonts w:ascii="Times New Roman" w:hAnsi="Times New Roman" w:cs="Times New Roman"/>
                <w:sz w:val="20"/>
                <w:szCs w:val="20"/>
              </w:rPr>
            </w:pPr>
            <w:r>
              <w:rPr>
                <w:rFonts w:ascii="Times New Roman" w:hAnsi="Times New Roman" w:cs="Times New Roman"/>
                <w:sz w:val="20"/>
                <w:szCs w:val="20"/>
              </w:rPr>
              <w:t>51,890</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50" w:type="pct"/>
            <w:shd w:val="clear" w:color="auto" w:fill="CCEEFF"/>
            <w:vAlign w:val="bottom"/>
            <w:hideMark/>
          </w:tcPr>
          <w:p w:rsidR="00000000" w:rsidRDefault="008E203B">
            <w:pPr>
              <w:ind w:left="176"/>
              <w:jc w:val="right"/>
              <w:rPr>
                <w:rFonts w:ascii="Times New Roman" w:hAnsi="Times New Roman" w:cs="Times New Roman"/>
                <w:sz w:val="20"/>
                <w:szCs w:val="20"/>
              </w:rPr>
            </w:pPr>
            <w:r>
              <w:rPr>
                <w:rFonts w:ascii="Times New Roman" w:hAnsi="Times New Roman" w:cs="Times New Roman"/>
                <w:sz w:val="20"/>
                <w:szCs w:val="20"/>
              </w:rPr>
              <w:t>6.3</w:t>
            </w:r>
          </w:p>
        </w:tc>
        <w:tc>
          <w:tcPr>
            <w:tcW w:w="50" w:type="pct"/>
            <w:shd w:val="clear" w:color="auto" w:fill="CCEEFF"/>
            <w:noWrap/>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tblCellSpacing w:w="0" w:type="dxa"/>
        </w:trPr>
        <w:tc>
          <w:tcPr>
            <w:tcW w:w="1800" w:type="pct"/>
            <w:shd w:val="clear" w:color="auto" w:fill="FFFFFF"/>
            <w:vAlign w:val="bottom"/>
            <w:hideMark/>
          </w:tcPr>
          <w:p w:rsidR="00000000" w:rsidRDefault="008E203B">
            <w:pPr>
              <w:pStyle w:val="a3"/>
              <w:spacing w:before="0" w:beforeAutospacing="0" w:after="0" w:afterAutospacing="0"/>
              <w:ind w:left="352" w:hanging="176"/>
              <w:jc w:val="center"/>
              <w:rPr>
                <w:rFonts w:ascii="Times New Roman" w:hAnsi="Times New Roman" w:cs="Times New Roman"/>
                <w:sz w:val="20"/>
                <w:szCs w:val="20"/>
              </w:rPr>
            </w:pPr>
            <w:r>
              <w:rPr>
                <w:rFonts w:ascii="Times New Roman" w:hAnsi="Times New Roman" w:cs="Times New Roman"/>
                <w:sz w:val="20"/>
                <w:szCs w:val="20"/>
              </w:rPr>
              <w:t>2027</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50" w:type="pct"/>
            <w:shd w:val="clear" w:color="auto" w:fill="FFFFFF"/>
            <w:vAlign w:val="bottom"/>
            <w:hideMark/>
          </w:tcPr>
          <w:p w:rsidR="00000000" w:rsidRDefault="008E203B">
            <w:pPr>
              <w:ind w:left="176"/>
              <w:jc w:val="center"/>
              <w:rPr>
                <w:rFonts w:ascii="Times New Roman" w:hAnsi="Times New Roman" w:cs="Times New Roman"/>
                <w:sz w:val="20"/>
                <w:szCs w:val="20"/>
              </w:rPr>
            </w:pPr>
            <w:r>
              <w:rPr>
                <w:rFonts w:ascii="Times New Roman" w:hAnsi="Times New Roman" w:cs="Times New Roman"/>
                <w:sz w:val="20"/>
                <w:szCs w:val="20"/>
              </w:rPr>
              <w:t>250</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50" w:type="pct"/>
            <w:shd w:val="clear" w:color="auto" w:fill="FFFFFF"/>
            <w:vAlign w:val="bottom"/>
            <w:hideMark/>
          </w:tcPr>
          <w:p w:rsidR="00000000" w:rsidRDefault="008E203B">
            <w:pPr>
              <w:ind w:left="176"/>
              <w:jc w:val="center"/>
              <w:rPr>
                <w:rFonts w:ascii="Times New Roman" w:hAnsi="Times New Roman" w:cs="Times New Roman"/>
                <w:sz w:val="20"/>
                <w:szCs w:val="20"/>
              </w:rPr>
            </w:pPr>
            <w:r>
              <w:rPr>
                <w:rFonts w:ascii="Times New Roman" w:hAnsi="Times New Roman" w:cs="Times New Roman"/>
                <w:sz w:val="20"/>
                <w:szCs w:val="20"/>
              </w:rPr>
              <w:t>3,284</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ind w:left="176"/>
              <w:rPr>
                <w:rFonts w:ascii="Times New Roman" w:hAnsi="Times New Roman" w:cs="Times New Roman"/>
                <w:sz w:val="20"/>
                <w:szCs w:val="20"/>
              </w:rPr>
            </w:pPr>
            <w:r>
              <w:rPr>
                <w:rFonts w:ascii="Times New Roman" w:hAnsi="Times New Roman" w:cs="Times New Roman"/>
                <w:sz w:val="20"/>
                <w:szCs w:val="20"/>
              </w:rPr>
              <w:t>$</w:t>
            </w:r>
          </w:p>
        </w:tc>
        <w:tc>
          <w:tcPr>
            <w:tcW w:w="650" w:type="pct"/>
            <w:shd w:val="clear" w:color="auto" w:fill="FFFFFF"/>
            <w:vAlign w:val="bottom"/>
            <w:hideMark/>
          </w:tcPr>
          <w:p w:rsidR="00000000" w:rsidRDefault="008E203B">
            <w:pPr>
              <w:ind w:left="176"/>
              <w:jc w:val="right"/>
              <w:rPr>
                <w:rFonts w:ascii="Times New Roman" w:hAnsi="Times New Roman" w:cs="Times New Roman"/>
                <w:sz w:val="20"/>
                <w:szCs w:val="20"/>
              </w:rPr>
            </w:pPr>
            <w:r>
              <w:rPr>
                <w:rFonts w:ascii="Times New Roman" w:hAnsi="Times New Roman" w:cs="Times New Roman"/>
                <w:sz w:val="20"/>
                <w:szCs w:val="20"/>
              </w:rPr>
              <w:t>50,105</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50" w:type="pct"/>
            <w:shd w:val="clear" w:color="auto" w:fill="FFFFFF"/>
            <w:vAlign w:val="bottom"/>
            <w:hideMark/>
          </w:tcPr>
          <w:p w:rsidR="00000000" w:rsidRDefault="008E203B">
            <w:pPr>
              <w:ind w:left="176"/>
              <w:jc w:val="right"/>
              <w:rPr>
                <w:rFonts w:ascii="Times New Roman" w:hAnsi="Times New Roman" w:cs="Times New Roman"/>
                <w:sz w:val="20"/>
                <w:szCs w:val="20"/>
              </w:rPr>
            </w:pPr>
            <w:r>
              <w:rPr>
                <w:rFonts w:ascii="Times New Roman" w:hAnsi="Times New Roman" w:cs="Times New Roman"/>
                <w:sz w:val="20"/>
                <w:szCs w:val="20"/>
              </w:rPr>
              <w:t>6.1</w:t>
            </w:r>
          </w:p>
        </w:tc>
        <w:tc>
          <w:tcPr>
            <w:tcW w:w="50" w:type="pct"/>
            <w:shd w:val="clear" w:color="auto" w:fill="FFFFFF"/>
            <w:noWrap/>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tblCellSpacing w:w="0" w:type="dxa"/>
        </w:trPr>
        <w:tc>
          <w:tcPr>
            <w:tcW w:w="1800" w:type="pct"/>
            <w:shd w:val="clear" w:color="auto" w:fill="CCEEFF"/>
            <w:vAlign w:val="bottom"/>
            <w:hideMark/>
          </w:tcPr>
          <w:p w:rsidR="00000000" w:rsidRDefault="008E203B">
            <w:pPr>
              <w:pStyle w:val="a3"/>
              <w:spacing w:before="0" w:beforeAutospacing="0" w:after="0" w:afterAutospacing="0"/>
              <w:ind w:left="352" w:hanging="176"/>
              <w:jc w:val="center"/>
              <w:rPr>
                <w:rFonts w:ascii="Times New Roman" w:hAnsi="Times New Roman" w:cs="Times New Roman"/>
                <w:sz w:val="20"/>
                <w:szCs w:val="20"/>
              </w:rPr>
            </w:pPr>
            <w:r>
              <w:rPr>
                <w:rFonts w:ascii="Times New Roman" w:hAnsi="Times New Roman" w:cs="Times New Roman"/>
                <w:sz w:val="20"/>
                <w:szCs w:val="20"/>
              </w:rPr>
              <w:t>2028</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50" w:type="pct"/>
            <w:shd w:val="clear" w:color="auto" w:fill="CCEEFF"/>
            <w:vAlign w:val="bottom"/>
            <w:hideMark/>
          </w:tcPr>
          <w:p w:rsidR="00000000" w:rsidRDefault="008E203B">
            <w:pPr>
              <w:ind w:left="176"/>
              <w:jc w:val="center"/>
              <w:rPr>
                <w:rFonts w:ascii="Times New Roman" w:hAnsi="Times New Roman" w:cs="Times New Roman"/>
                <w:sz w:val="20"/>
                <w:szCs w:val="20"/>
              </w:rPr>
            </w:pPr>
            <w:r>
              <w:rPr>
                <w:rFonts w:ascii="Times New Roman" w:hAnsi="Times New Roman" w:cs="Times New Roman"/>
                <w:sz w:val="20"/>
                <w:szCs w:val="20"/>
              </w:rPr>
              <w:t>327</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50" w:type="pct"/>
            <w:shd w:val="clear" w:color="auto" w:fill="CCEEFF"/>
            <w:vAlign w:val="bottom"/>
            <w:hideMark/>
          </w:tcPr>
          <w:p w:rsidR="00000000" w:rsidRDefault="008E203B">
            <w:pPr>
              <w:ind w:left="176"/>
              <w:jc w:val="center"/>
              <w:rPr>
                <w:rFonts w:ascii="Times New Roman" w:hAnsi="Times New Roman" w:cs="Times New Roman"/>
                <w:sz w:val="20"/>
                <w:szCs w:val="20"/>
              </w:rPr>
            </w:pPr>
            <w:r>
              <w:rPr>
                <w:rFonts w:ascii="Times New Roman" w:hAnsi="Times New Roman" w:cs="Times New Roman"/>
                <w:sz w:val="20"/>
                <w:szCs w:val="20"/>
              </w:rPr>
              <w:t>3,399</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ind w:left="176"/>
              <w:rPr>
                <w:rFonts w:ascii="Times New Roman" w:hAnsi="Times New Roman" w:cs="Times New Roman"/>
                <w:sz w:val="20"/>
                <w:szCs w:val="20"/>
              </w:rPr>
            </w:pPr>
            <w:r>
              <w:rPr>
                <w:rFonts w:ascii="Times New Roman" w:hAnsi="Times New Roman" w:cs="Times New Roman"/>
                <w:sz w:val="20"/>
                <w:szCs w:val="20"/>
              </w:rPr>
              <w:t>$</w:t>
            </w:r>
          </w:p>
        </w:tc>
        <w:tc>
          <w:tcPr>
            <w:tcW w:w="650" w:type="pct"/>
            <w:shd w:val="clear" w:color="auto" w:fill="CCEEFF"/>
            <w:vAlign w:val="bottom"/>
            <w:hideMark/>
          </w:tcPr>
          <w:p w:rsidR="00000000" w:rsidRDefault="008E203B">
            <w:pPr>
              <w:ind w:left="176"/>
              <w:jc w:val="right"/>
              <w:rPr>
                <w:rFonts w:ascii="Times New Roman" w:hAnsi="Times New Roman" w:cs="Times New Roman"/>
                <w:sz w:val="20"/>
                <w:szCs w:val="20"/>
              </w:rPr>
            </w:pPr>
            <w:r>
              <w:rPr>
                <w:rFonts w:ascii="Times New Roman" w:hAnsi="Times New Roman" w:cs="Times New Roman"/>
                <w:sz w:val="20"/>
                <w:szCs w:val="20"/>
              </w:rPr>
              <w:t>62,910</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50" w:type="pct"/>
            <w:shd w:val="clear" w:color="auto" w:fill="CCEEFF"/>
            <w:vAlign w:val="bottom"/>
            <w:hideMark/>
          </w:tcPr>
          <w:p w:rsidR="00000000" w:rsidRDefault="008E203B">
            <w:pPr>
              <w:ind w:left="176"/>
              <w:jc w:val="right"/>
              <w:rPr>
                <w:rFonts w:ascii="Times New Roman" w:hAnsi="Times New Roman" w:cs="Times New Roman"/>
                <w:sz w:val="20"/>
                <w:szCs w:val="20"/>
              </w:rPr>
            </w:pPr>
            <w:r>
              <w:rPr>
                <w:rFonts w:ascii="Times New Roman" w:hAnsi="Times New Roman" w:cs="Times New Roman"/>
                <w:sz w:val="20"/>
                <w:szCs w:val="20"/>
              </w:rPr>
              <w:t>7.6</w:t>
            </w:r>
          </w:p>
        </w:tc>
        <w:tc>
          <w:tcPr>
            <w:tcW w:w="50" w:type="pct"/>
            <w:shd w:val="clear" w:color="auto" w:fill="CCEEFF"/>
            <w:noWrap/>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tblCellSpacing w:w="0" w:type="dxa"/>
        </w:trPr>
        <w:tc>
          <w:tcPr>
            <w:tcW w:w="1800" w:type="pct"/>
            <w:shd w:val="clear" w:color="auto" w:fill="FFFFFF"/>
            <w:vAlign w:val="bottom"/>
            <w:hideMark/>
          </w:tcPr>
          <w:p w:rsidR="00000000" w:rsidRDefault="008E203B">
            <w:pPr>
              <w:pStyle w:val="a3"/>
              <w:spacing w:before="0" w:beforeAutospacing="0" w:after="0" w:afterAutospacing="0"/>
              <w:ind w:left="352" w:hanging="176"/>
              <w:jc w:val="center"/>
              <w:rPr>
                <w:rFonts w:ascii="Times New Roman" w:hAnsi="Times New Roman" w:cs="Times New Roman"/>
                <w:sz w:val="20"/>
                <w:szCs w:val="20"/>
              </w:rPr>
            </w:pPr>
            <w:r>
              <w:rPr>
                <w:rFonts w:ascii="Times New Roman" w:hAnsi="Times New Roman" w:cs="Times New Roman"/>
                <w:sz w:val="20"/>
                <w:szCs w:val="20"/>
              </w:rPr>
              <w:t>2029</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50" w:type="pct"/>
            <w:shd w:val="clear" w:color="auto" w:fill="FFFFFF"/>
            <w:vAlign w:val="bottom"/>
            <w:hideMark/>
          </w:tcPr>
          <w:p w:rsidR="00000000" w:rsidRDefault="008E203B">
            <w:pPr>
              <w:ind w:left="176"/>
              <w:jc w:val="center"/>
              <w:rPr>
                <w:rFonts w:ascii="Times New Roman" w:hAnsi="Times New Roman" w:cs="Times New Roman"/>
                <w:sz w:val="20"/>
                <w:szCs w:val="20"/>
              </w:rPr>
            </w:pPr>
            <w:r>
              <w:rPr>
                <w:rFonts w:ascii="Times New Roman" w:hAnsi="Times New Roman" w:cs="Times New Roman"/>
                <w:sz w:val="20"/>
                <w:szCs w:val="20"/>
              </w:rPr>
              <w:t>200</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50" w:type="pct"/>
            <w:shd w:val="clear" w:color="auto" w:fill="FFFFFF"/>
            <w:vAlign w:val="bottom"/>
            <w:hideMark/>
          </w:tcPr>
          <w:p w:rsidR="00000000" w:rsidRDefault="008E203B">
            <w:pPr>
              <w:ind w:left="176"/>
              <w:jc w:val="center"/>
              <w:rPr>
                <w:rFonts w:ascii="Times New Roman" w:hAnsi="Times New Roman" w:cs="Times New Roman"/>
                <w:sz w:val="20"/>
                <w:szCs w:val="20"/>
              </w:rPr>
            </w:pPr>
            <w:r>
              <w:rPr>
                <w:rFonts w:ascii="Times New Roman" w:hAnsi="Times New Roman" w:cs="Times New Roman"/>
                <w:sz w:val="20"/>
                <w:szCs w:val="20"/>
              </w:rPr>
              <w:t>2,546</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ind w:left="176"/>
              <w:rPr>
                <w:rFonts w:ascii="Times New Roman" w:hAnsi="Times New Roman" w:cs="Times New Roman"/>
                <w:sz w:val="20"/>
                <w:szCs w:val="20"/>
              </w:rPr>
            </w:pPr>
            <w:r>
              <w:rPr>
                <w:rFonts w:ascii="Times New Roman" w:hAnsi="Times New Roman" w:cs="Times New Roman"/>
                <w:sz w:val="20"/>
                <w:szCs w:val="20"/>
              </w:rPr>
              <w:t>$</w:t>
            </w:r>
          </w:p>
        </w:tc>
        <w:tc>
          <w:tcPr>
            <w:tcW w:w="650" w:type="pct"/>
            <w:shd w:val="clear" w:color="auto" w:fill="FFFFFF"/>
            <w:vAlign w:val="bottom"/>
            <w:hideMark/>
          </w:tcPr>
          <w:p w:rsidR="00000000" w:rsidRDefault="008E203B">
            <w:pPr>
              <w:ind w:left="176"/>
              <w:jc w:val="right"/>
              <w:rPr>
                <w:rFonts w:ascii="Times New Roman" w:hAnsi="Times New Roman" w:cs="Times New Roman"/>
                <w:sz w:val="20"/>
                <w:szCs w:val="20"/>
              </w:rPr>
            </w:pPr>
            <w:r>
              <w:rPr>
                <w:rFonts w:ascii="Times New Roman" w:hAnsi="Times New Roman" w:cs="Times New Roman"/>
                <w:sz w:val="20"/>
                <w:szCs w:val="20"/>
              </w:rPr>
              <w:t>39,987</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50" w:type="pct"/>
            <w:shd w:val="clear" w:color="auto" w:fill="FFFFFF"/>
            <w:vAlign w:val="bottom"/>
            <w:hideMark/>
          </w:tcPr>
          <w:p w:rsidR="00000000" w:rsidRDefault="008E203B">
            <w:pPr>
              <w:ind w:left="176"/>
              <w:jc w:val="right"/>
              <w:rPr>
                <w:rFonts w:ascii="Times New Roman" w:hAnsi="Times New Roman" w:cs="Times New Roman"/>
                <w:sz w:val="20"/>
                <w:szCs w:val="20"/>
              </w:rPr>
            </w:pPr>
            <w:r>
              <w:rPr>
                <w:rFonts w:ascii="Times New Roman" w:hAnsi="Times New Roman" w:cs="Times New Roman"/>
                <w:sz w:val="20"/>
                <w:szCs w:val="20"/>
              </w:rPr>
              <w:t>4.9</w:t>
            </w:r>
          </w:p>
        </w:tc>
        <w:tc>
          <w:tcPr>
            <w:tcW w:w="50" w:type="pct"/>
            <w:shd w:val="clear" w:color="auto" w:fill="FFFFFF"/>
            <w:noWrap/>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bl>
    <w:p w:rsidR="00000000" w:rsidRDefault="008E203B">
      <w:pPr>
        <w:pStyle w:val="a3"/>
        <w:spacing w:before="0" w:beforeAutospacing="0" w:after="0" w:afterAutospacing="0"/>
        <w:ind w:firstLine="720"/>
        <w:jc w:val="both"/>
        <w:rPr>
          <w:rFonts w:ascii="Times New Roman" w:hAnsi="Times New Roman" w:cs="Times New Roman"/>
          <w:sz w:val="20"/>
          <w:szCs w:val="20"/>
        </w:rPr>
      </w:pPr>
      <w:r>
        <w:rPr>
          <w:rFonts w:ascii="Times New Roman" w:hAnsi="Times New Roman" w:cs="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360" w:type="dxa"/>
            <w:hideMark/>
          </w:tcPr>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(1)</w:t>
            </w:r>
          </w:p>
        </w:tc>
        <w:tc>
          <w:tcPr>
            <w:tcW w:w="0" w:type="auto"/>
            <w:hideMark/>
          </w:tcPr>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Leases currently under month to month lease or in process of renewal.</w:t>
            </w:r>
          </w:p>
        </w:tc>
      </w:tr>
    </w:tbl>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rPr>
          <w:rFonts w:ascii="Times New Roman" w:hAnsi="Times New Roman" w:cs="Times New Roman"/>
          <w:sz w:val="20"/>
          <w:szCs w:val="20"/>
        </w:rPr>
      </w:pPr>
      <w:bookmarkStart w:id="8" w:name="1item3"/>
      <w:bookmarkEnd w:id="8"/>
      <w:r>
        <w:rPr>
          <w:rFonts w:ascii="Times New Roman" w:hAnsi="Times New Roman" w:cs="Times New Roman"/>
          <w:b/>
          <w:bCs/>
          <w:sz w:val="20"/>
          <w:szCs w:val="20"/>
        </w:rPr>
        <w:t>Item 3. Quantitative and Qualitative Disclosures About Market Risk.</w:t>
      </w:r>
    </w:p>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ind w:firstLine="360"/>
        <w:jc w:val="both"/>
        <w:rPr>
          <w:rFonts w:ascii="Times New Roman" w:hAnsi="Times New Roman" w:cs="Times New Roman"/>
          <w:sz w:val="20"/>
          <w:szCs w:val="20"/>
        </w:rPr>
      </w:pPr>
      <w:r>
        <w:rPr>
          <w:rFonts w:ascii="Times New Roman" w:hAnsi="Times New Roman" w:cs="Times New Roman"/>
          <w:sz w:val="20"/>
          <w:szCs w:val="20"/>
        </w:rPr>
        <w:t>The Company’</w:t>
      </w:r>
      <w:r>
        <w:rPr>
          <w:rFonts w:ascii="Times New Roman" w:hAnsi="Times New Roman" w:cs="Times New Roman"/>
          <w:sz w:val="20"/>
          <w:szCs w:val="20"/>
        </w:rPr>
        <w:t xml:space="preserve">s primary market risk exposure is interest rate risk. The Company periodically evaluates its exposure to short-term interest rates and will, from time-to-time, enter into interest rate protection agreements which mitigate, but do not eliminate, the effect </w:t>
      </w:r>
      <w:r>
        <w:rPr>
          <w:rFonts w:ascii="Times New Roman" w:hAnsi="Times New Roman" w:cs="Times New Roman"/>
          <w:sz w:val="20"/>
          <w:szCs w:val="20"/>
        </w:rPr>
        <w:t>of changes in interest rates on its floating-rate debt. The Company has not, and does not plan to, enter into any derivative financial instruments for trading or speculative purposes. The following table presents the Company’s aggregate fixed rate and vari</w:t>
      </w:r>
      <w:r>
        <w:rPr>
          <w:rFonts w:ascii="Times New Roman" w:hAnsi="Times New Roman" w:cs="Times New Roman"/>
          <w:sz w:val="20"/>
          <w:szCs w:val="20"/>
        </w:rPr>
        <w:t>able rate debt obligations outstanding, including fair market value adjustments and unamortized deferred financing costs, as of March 31, 2019, with corresponding weighted average interest rates sorted by maturity date. The table does not include extension</w:t>
      </w:r>
      <w:r>
        <w:rPr>
          <w:rFonts w:ascii="Times New Roman" w:hAnsi="Times New Roman" w:cs="Times New Roman"/>
          <w:sz w:val="20"/>
          <w:szCs w:val="20"/>
        </w:rPr>
        <w:t xml:space="preserve"> options where available (amounts in millions).</w:t>
      </w:r>
    </w:p>
    <w:p w:rsidR="00000000" w:rsidRDefault="008E203B">
      <w:pPr>
        <w:pStyle w:val="a3"/>
        <w:spacing w:before="0" w:beforeAutospacing="0" w:after="0" w:afterAutospacing="0"/>
        <w:ind w:firstLine="360"/>
        <w:jc w:val="both"/>
        <w:rPr>
          <w:rFonts w:ascii="Times New Roman" w:hAnsi="Times New Roman" w:cs="Times New Roman"/>
          <w:sz w:val="20"/>
          <w:szCs w:val="20"/>
        </w:rPr>
      </w:pPr>
      <w:r>
        <w:rPr>
          <w:rFonts w:ascii="Times New Roman" w:hAnsi="Times New Roman" w:cs="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541"/>
        <w:gridCol w:w="50"/>
        <w:gridCol w:w="100"/>
        <w:gridCol w:w="424"/>
        <w:gridCol w:w="50"/>
        <w:gridCol w:w="50"/>
        <w:gridCol w:w="100"/>
        <w:gridCol w:w="450"/>
        <w:gridCol w:w="167"/>
        <w:gridCol w:w="50"/>
        <w:gridCol w:w="100"/>
        <w:gridCol w:w="450"/>
        <w:gridCol w:w="167"/>
        <w:gridCol w:w="50"/>
        <w:gridCol w:w="100"/>
        <w:gridCol w:w="450"/>
        <w:gridCol w:w="167"/>
        <w:gridCol w:w="50"/>
        <w:gridCol w:w="100"/>
        <w:gridCol w:w="450"/>
        <w:gridCol w:w="167"/>
        <w:gridCol w:w="50"/>
        <w:gridCol w:w="116"/>
        <w:gridCol w:w="806"/>
        <w:gridCol w:w="167"/>
        <w:gridCol w:w="50"/>
        <w:gridCol w:w="100"/>
        <w:gridCol w:w="600"/>
        <w:gridCol w:w="167"/>
        <w:gridCol w:w="50"/>
        <w:gridCol w:w="115"/>
        <w:gridCol w:w="802"/>
        <w:gridCol w:w="50"/>
      </w:tblGrid>
      <w:tr w:rsidR="00000000">
        <w:trPr>
          <w:tblCellSpacing w:w="0" w:type="dxa"/>
        </w:trPr>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gridSpan w:val="2"/>
            <w:tcBorders>
              <w:bottom w:val="single" w:sz="6" w:space="0" w:color="000000"/>
            </w:tcBorders>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2019</w:t>
            </w:r>
          </w:p>
        </w:tc>
        <w:tc>
          <w:tcPr>
            <w:tcW w:w="0" w:type="auto"/>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gridSpan w:val="2"/>
            <w:tcBorders>
              <w:bottom w:val="single" w:sz="6" w:space="0" w:color="000000"/>
            </w:tcBorders>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2020</w:t>
            </w:r>
          </w:p>
        </w:tc>
        <w:tc>
          <w:tcPr>
            <w:tcW w:w="0" w:type="auto"/>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gridSpan w:val="2"/>
            <w:tcBorders>
              <w:bottom w:val="single" w:sz="6" w:space="0" w:color="000000"/>
            </w:tcBorders>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2021</w:t>
            </w:r>
          </w:p>
        </w:tc>
        <w:tc>
          <w:tcPr>
            <w:tcW w:w="0" w:type="auto"/>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gridSpan w:val="2"/>
            <w:tcBorders>
              <w:bottom w:val="single" w:sz="6" w:space="0" w:color="000000"/>
            </w:tcBorders>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2022</w:t>
            </w:r>
          </w:p>
        </w:tc>
        <w:tc>
          <w:tcPr>
            <w:tcW w:w="0" w:type="auto"/>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gridSpan w:val="2"/>
            <w:tcBorders>
              <w:bottom w:val="single" w:sz="6" w:space="0" w:color="000000"/>
            </w:tcBorders>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2023</w:t>
            </w:r>
          </w:p>
        </w:tc>
        <w:tc>
          <w:tcPr>
            <w:tcW w:w="0" w:type="auto"/>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gridSpan w:val="2"/>
            <w:tcBorders>
              <w:bottom w:val="single" w:sz="6" w:space="0" w:color="000000"/>
            </w:tcBorders>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Thereafter</w:t>
            </w:r>
          </w:p>
        </w:tc>
        <w:tc>
          <w:tcPr>
            <w:tcW w:w="0" w:type="auto"/>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gridSpan w:val="2"/>
            <w:tcBorders>
              <w:bottom w:val="single" w:sz="6" w:space="0" w:color="000000"/>
            </w:tcBorders>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Total</w:t>
            </w:r>
          </w:p>
        </w:tc>
        <w:tc>
          <w:tcPr>
            <w:tcW w:w="0" w:type="auto"/>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pct"/>
            <w:gridSpan w:val="2"/>
            <w:tcBorders>
              <w:bottom w:val="single" w:sz="6" w:space="0" w:color="000000"/>
            </w:tcBorders>
            <w:noWrap/>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Fair Value</w:t>
            </w:r>
          </w:p>
        </w:tc>
        <w:tc>
          <w:tcPr>
            <w:tcW w:w="0" w:type="auto"/>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8E203B">
        <w:trPr>
          <w:tblCellSpacing w:w="0" w:type="dxa"/>
        </w:trPr>
        <w:tc>
          <w:tcPr>
            <w:tcW w:w="1000" w:type="pct"/>
            <w:shd w:val="clear" w:color="auto" w:fill="CCEEFF"/>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20"/>
                <w:szCs w:val="20"/>
                <w:u w:val="single"/>
              </w:rPr>
              <w:t>Secured Debt</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b/>
                <w:bCs/>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b/>
                <w:bCs/>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b/>
                <w:bCs/>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b/>
                <w:bCs/>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b/>
                <w:bCs/>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b/>
                <w:bCs/>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b/>
                <w:bCs/>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b/>
                <w:bCs/>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b/>
                <w:bCs/>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b/>
                <w:bCs/>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b/>
                <w:bCs/>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b/>
                <w:bCs/>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b/>
                <w:bCs/>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b/>
                <w:bCs/>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b/>
                <w:bCs/>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b/>
                <w:bCs/>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b/>
                <w:bCs/>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b/>
                <w:bCs/>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b/>
                <w:bCs/>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b/>
                <w:bCs/>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b/>
                <w:bCs/>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b/>
                <w:bCs/>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b/>
                <w:bCs/>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b/>
                <w:bCs/>
                <w:sz w:val="20"/>
                <w:szCs w:val="20"/>
              </w:rPr>
              <w:t> </w:t>
            </w:r>
          </w:p>
        </w:tc>
      </w:tr>
      <w:tr w:rsidR="008E203B">
        <w:trPr>
          <w:tblCellSpacing w:w="0" w:type="dxa"/>
        </w:trPr>
        <w:tc>
          <w:tcPr>
            <w:tcW w:w="0" w:type="auto"/>
            <w:shd w:val="clear" w:color="auto" w:fill="FFFFFF"/>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Fixed Rate</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35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35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103.4</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35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149.3</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35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150.1</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35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11.9</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35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17.2</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35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431.9</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35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428.6</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8E203B">
        <w:trPr>
          <w:tblCellSpacing w:w="0" w:type="dxa"/>
        </w:trPr>
        <w:tc>
          <w:tcPr>
            <w:tcW w:w="0" w:type="auto"/>
            <w:shd w:val="clear" w:color="auto" w:fill="CCEEFF"/>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Average Interest Rate</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35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35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5.46</w:t>
            </w:r>
          </w:p>
        </w:tc>
        <w:tc>
          <w:tcPr>
            <w:tcW w:w="50" w:type="pct"/>
            <w:shd w:val="clear" w:color="auto" w:fill="CCEEFF"/>
            <w:noWrap/>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35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5.39</w:t>
            </w:r>
          </w:p>
        </w:tc>
        <w:tc>
          <w:tcPr>
            <w:tcW w:w="50" w:type="pct"/>
            <w:shd w:val="clear" w:color="auto" w:fill="CCEEFF"/>
            <w:noWrap/>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35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4.05</w:t>
            </w:r>
          </w:p>
        </w:tc>
        <w:tc>
          <w:tcPr>
            <w:tcW w:w="50" w:type="pct"/>
            <w:shd w:val="clear" w:color="auto" w:fill="CCEEFF"/>
            <w:noWrap/>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35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3.23</w:t>
            </w:r>
          </w:p>
        </w:tc>
        <w:tc>
          <w:tcPr>
            <w:tcW w:w="50" w:type="pct"/>
            <w:shd w:val="clear" w:color="auto" w:fill="CCEEFF"/>
            <w:noWrap/>
            <w:vAlign w:val="bottom"/>
            <w:hideMark/>
          </w:tcPr>
          <w:p w:rsidR="00000000" w:rsidRDefault="008E203B">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35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6.83</w:t>
            </w:r>
          </w:p>
        </w:tc>
        <w:tc>
          <w:tcPr>
            <w:tcW w:w="50" w:type="pct"/>
            <w:shd w:val="clear" w:color="auto" w:fill="CCEEFF"/>
            <w:noWrap/>
            <w:vAlign w:val="bottom"/>
            <w:hideMark/>
          </w:tcPr>
          <w:p w:rsidR="00000000" w:rsidRDefault="008E203B">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35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4.94</w:t>
            </w:r>
          </w:p>
        </w:tc>
        <w:tc>
          <w:tcPr>
            <w:tcW w:w="50" w:type="pct"/>
            <w:shd w:val="clear" w:color="auto" w:fill="CCEEFF"/>
            <w:noWrap/>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8E203B">
        <w:trPr>
          <w:tblCellSpacing w:w="0" w:type="dxa"/>
        </w:trPr>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8E203B">
        <w:trPr>
          <w:tblCellSpacing w:w="0" w:type="dxa"/>
        </w:trPr>
        <w:tc>
          <w:tcPr>
            <w:tcW w:w="0" w:type="auto"/>
            <w:shd w:val="clear" w:color="auto" w:fill="CCEEFF"/>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Floating Rate</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35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35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53.4</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35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35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35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35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35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53.4</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35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54.8</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8E203B">
        <w:trPr>
          <w:tblCellSpacing w:w="0" w:type="dxa"/>
        </w:trPr>
        <w:tc>
          <w:tcPr>
            <w:tcW w:w="0" w:type="auto"/>
            <w:shd w:val="clear" w:color="auto" w:fill="FFFFFF"/>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Average Interest Rate</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35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35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4.29</w:t>
            </w:r>
          </w:p>
        </w:tc>
        <w:tc>
          <w:tcPr>
            <w:tcW w:w="50" w:type="pct"/>
            <w:shd w:val="clear" w:color="auto" w:fill="FFFFFF"/>
            <w:noWrap/>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35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35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35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35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35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4.29</w:t>
            </w:r>
          </w:p>
        </w:tc>
        <w:tc>
          <w:tcPr>
            <w:tcW w:w="50" w:type="pct"/>
            <w:shd w:val="clear" w:color="auto" w:fill="FFFFFF"/>
            <w:noWrap/>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8E203B">
        <w:trPr>
          <w:tblCellSpacing w:w="0" w:type="dxa"/>
        </w:trPr>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8E203B">
        <w:trPr>
          <w:tblCellSpacing w:w="0" w:type="dxa"/>
        </w:trPr>
        <w:tc>
          <w:tcPr>
            <w:tcW w:w="0" w:type="auto"/>
            <w:shd w:val="clear" w:color="auto" w:fill="FFFFFF"/>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20"/>
                <w:szCs w:val="20"/>
                <w:u w:val="single"/>
              </w:rPr>
              <w:t>Unsecured Debt</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b/>
                <w:bCs/>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b/>
                <w:bCs/>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b/>
                <w:bCs/>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b/>
                <w:bCs/>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b/>
                <w:bCs/>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b/>
                <w:bCs/>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b/>
                <w:bCs/>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b/>
                <w:bCs/>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b/>
                <w:bCs/>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b/>
                <w:bCs/>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b/>
                <w:bCs/>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b/>
                <w:bCs/>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b/>
                <w:bCs/>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b/>
                <w:bCs/>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b/>
                <w:bCs/>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b/>
                <w:bCs/>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b/>
                <w:bCs/>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b/>
                <w:bCs/>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b/>
                <w:bCs/>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b/>
                <w:bCs/>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b/>
                <w:bCs/>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b/>
                <w:bCs/>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b/>
                <w:bCs/>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b/>
                <w:bCs/>
                <w:sz w:val="20"/>
                <w:szCs w:val="20"/>
              </w:rPr>
              <w:t> </w:t>
            </w:r>
          </w:p>
        </w:tc>
      </w:tr>
      <w:tr w:rsidR="008E203B">
        <w:trPr>
          <w:tblCellSpacing w:w="0" w:type="dxa"/>
        </w:trPr>
        <w:tc>
          <w:tcPr>
            <w:tcW w:w="0" w:type="auto"/>
            <w:shd w:val="clear" w:color="auto" w:fill="CCEEFF"/>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Fixed Rate</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35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35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35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483.4</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35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496.2</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35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347.8</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35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2,959.8</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35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4,287.2</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35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4,204.3</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8E203B">
        <w:trPr>
          <w:tblCellSpacing w:w="0" w:type="dxa"/>
        </w:trPr>
        <w:tc>
          <w:tcPr>
            <w:tcW w:w="0" w:type="auto"/>
            <w:shd w:val="clear" w:color="auto" w:fill="FFFFFF"/>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Average Interest Rate</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35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35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35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3.20</w:t>
            </w:r>
          </w:p>
        </w:tc>
        <w:tc>
          <w:tcPr>
            <w:tcW w:w="50" w:type="pct"/>
            <w:shd w:val="clear" w:color="auto" w:fill="FFFFFF"/>
            <w:noWrap/>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35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3.40</w:t>
            </w:r>
          </w:p>
        </w:tc>
        <w:tc>
          <w:tcPr>
            <w:tcW w:w="50" w:type="pct"/>
            <w:shd w:val="clear" w:color="auto" w:fill="FFFFFF"/>
            <w:noWrap/>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35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3.13</w:t>
            </w:r>
          </w:p>
        </w:tc>
        <w:tc>
          <w:tcPr>
            <w:tcW w:w="50" w:type="pct"/>
            <w:shd w:val="clear" w:color="auto" w:fill="FFFFFF"/>
            <w:noWrap/>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35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3.59</w:t>
            </w:r>
          </w:p>
        </w:tc>
        <w:tc>
          <w:tcPr>
            <w:tcW w:w="50" w:type="pct"/>
            <w:shd w:val="clear" w:color="auto" w:fill="FFFFFF"/>
            <w:noWrap/>
            <w:vAlign w:val="bottom"/>
            <w:hideMark/>
          </w:tcPr>
          <w:p w:rsidR="00000000" w:rsidRDefault="008E203B">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35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3.49</w:t>
            </w:r>
          </w:p>
        </w:tc>
        <w:tc>
          <w:tcPr>
            <w:tcW w:w="50" w:type="pct"/>
            <w:shd w:val="clear" w:color="auto" w:fill="FFFFFF"/>
            <w:noWrap/>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8E203B">
        <w:trPr>
          <w:tblCellSpacing w:w="0" w:type="dxa"/>
        </w:trPr>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8E203B">
        <w:trPr>
          <w:tblCellSpacing w:w="0" w:type="dxa"/>
        </w:trPr>
        <w:tc>
          <w:tcPr>
            <w:tcW w:w="0" w:type="auto"/>
            <w:shd w:val="clear" w:color="auto" w:fill="FFFFFF"/>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Floating Rate</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35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35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35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96.2</w:t>
            </w:r>
          </w:p>
        </w:tc>
        <w:tc>
          <w:tcPr>
            <w:tcW w:w="50" w:type="pct"/>
            <w:shd w:val="clear" w:color="auto" w:fill="FFFFFF"/>
            <w:noWrap/>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35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35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35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35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96.2</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35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97.9</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8E203B">
        <w:trPr>
          <w:tblCellSpacing w:w="0" w:type="dxa"/>
        </w:trPr>
        <w:tc>
          <w:tcPr>
            <w:tcW w:w="0" w:type="auto"/>
            <w:shd w:val="clear" w:color="auto" w:fill="CCEEFF"/>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Average Interest Rate</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35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35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35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3.37</w:t>
            </w:r>
          </w:p>
        </w:tc>
        <w:tc>
          <w:tcPr>
            <w:tcW w:w="50" w:type="pct"/>
            <w:shd w:val="clear" w:color="auto" w:fill="CCEEFF"/>
            <w:noWrap/>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35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35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35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35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3.37</w:t>
            </w:r>
          </w:p>
        </w:tc>
        <w:tc>
          <w:tcPr>
            <w:tcW w:w="50" w:type="pct"/>
            <w:shd w:val="clear" w:color="auto" w:fill="CCEEFF"/>
            <w:noWrap/>
            <w:vAlign w:val="bottom"/>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bl>
    <w:p w:rsidR="00000000" w:rsidRDefault="008E203B">
      <w:pPr>
        <w:pStyle w:val="a3"/>
        <w:spacing w:before="0" w:beforeAutospacing="0" w:after="0" w:afterAutospacing="0"/>
        <w:ind w:firstLine="360"/>
        <w:jc w:val="both"/>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ind w:firstLine="360"/>
        <w:jc w:val="both"/>
        <w:rPr>
          <w:rFonts w:ascii="Times New Roman" w:hAnsi="Times New Roman" w:cs="Times New Roman"/>
          <w:sz w:val="20"/>
          <w:szCs w:val="20"/>
        </w:rPr>
      </w:pPr>
      <w:r>
        <w:rPr>
          <w:rFonts w:ascii="Times New Roman" w:hAnsi="Times New Roman" w:cs="Times New Roman"/>
          <w:sz w:val="20"/>
          <w:szCs w:val="20"/>
        </w:rPr>
        <w:t>Based on the Company’</w:t>
      </w:r>
      <w:r>
        <w:rPr>
          <w:rFonts w:ascii="Times New Roman" w:hAnsi="Times New Roman" w:cs="Times New Roman"/>
          <w:sz w:val="20"/>
          <w:szCs w:val="20"/>
        </w:rPr>
        <w:t>s variable-rate debt balances, interest expense would have increased by $0.4 million for the three months ended March 31, 2019 if short-term interest rates were 1.0% higher.</w:t>
      </w:r>
    </w:p>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rPr>
          <w:rFonts w:ascii="Times New Roman" w:hAnsi="Times New Roman" w:cs="Times New Roman"/>
          <w:sz w:val="20"/>
          <w:szCs w:val="20"/>
        </w:rPr>
      </w:pPr>
      <w:bookmarkStart w:id="9" w:name="1item4"/>
      <w:bookmarkEnd w:id="9"/>
      <w:r>
        <w:rPr>
          <w:rFonts w:ascii="Times New Roman" w:hAnsi="Times New Roman" w:cs="Times New Roman"/>
          <w:b/>
          <w:bCs/>
          <w:sz w:val="20"/>
          <w:szCs w:val="20"/>
        </w:rPr>
        <w:t>Item 4.  Controls and Procedures.</w:t>
      </w:r>
    </w:p>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ind w:firstLine="360"/>
        <w:jc w:val="both"/>
        <w:rPr>
          <w:rFonts w:ascii="Times New Roman" w:hAnsi="Times New Roman" w:cs="Times New Roman"/>
          <w:sz w:val="20"/>
          <w:szCs w:val="20"/>
        </w:rPr>
      </w:pPr>
      <w:r>
        <w:rPr>
          <w:rFonts w:ascii="Times New Roman" w:hAnsi="Times New Roman" w:cs="Times New Roman"/>
          <w:sz w:val="20"/>
          <w:szCs w:val="20"/>
        </w:rPr>
        <w:t>The Company’s management, with the partici</w:t>
      </w:r>
      <w:r>
        <w:rPr>
          <w:rFonts w:ascii="Times New Roman" w:hAnsi="Times New Roman" w:cs="Times New Roman"/>
          <w:sz w:val="20"/>
          <w:szCs w:val="20"/>
        </w:rPr>
        <w:t xml:space="preserve">pation of the Company’s Chief Executive Officer and Chief Financial Officer, has evaluated the effectiveness of the Company’s disclosure controls and procedures (as such term is defined in Rules 13a-15(e) and 15d-15(e) under the Securities Exchange Act of </w:t>
      </w:r>
      <w:r>
        <w:rPr>
          <w:rFonts w:ascii="Times New Roman" w:hAnsi="Times New Roman" w:cs="Times New Roman"/>
          <w:sz w:val="20"/>
          <w:szCs w:val="20"/>
        </w:rPr>
        <w:t>1934, as amended (the “Exchange Act”)) as of the end of the period covered by this report. Based on such evaluation, the Company’s Chief Executive Officer and Chief Financial Officer have concluded that, as of the end of such period, the Company’s disclosu</w:t>
      </w:r>
      <w:r>
        <w:rPr>
          <w:rFonts w:ascii="Times New Roman" w:hAnsi="Times New Roman" w:cs="Times New Roman"/>
          <w:sz w:val="20"/>
          <w:szCs w:val="20"/>
        </w:rPr>
        <w:t>re controls and procedures are effective.</w:t>
      </w:r>
    </w:p>
    <w:p w:rsidR="00000000" w:rsidRDefault="008E203B">
      <w:pPr>
        <w:pStyle w:val="a3"/>
        <w:spacing w:before="0" w:beforeAutospacing="0" w:after="0" w:afterAutospacing="0"/>
        <w:ind w:firstLine="360"/>
        <w:jc w:val="both"/>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ind w:firstLine="360"/>
        <w:jc w:val="both"/>
        <w:rPr>
          <w:rFonts w:ascii="Times New Roman" w:hAnsi="Times New Roman" w:cs="Times New Roman"/>
          <w:sz w:val="20"/>
          <w:szCs w:val="20"/>
        </w:rPr>
      </w:pPr>
      <w:r>
        <w:rPr>
          <w:rFonts w:ascii="Times New Roman" w:hAnsi="Times New Roman" w:cs="Times New Roman"/>
          <w:sz w:val="20"/>
          <w:szCs w:val="20"/>
        </w:rPr>
        <w:t>There have not been any changes in the Company’s internal control over financial reporting during the fiscal quarter to which this report relates that have materially affected, or are reasonably likely to materia</w:t>
      </w:r>
      <w:r>
        <w:rPr>
          <w:rFonts w:ascii="Times New Roman" w:hAnsi="Times New Roman" w:cs="Times New Roman"/>
          <w:sz w:val="20"/>
          <w:szCs w:val="20"/>
        </w:rPr>
        <w:t>lly affect, the Company’s internal control over financial reporting.</w:t>
      </w:r>
    </w:p>
    <w:p w:rsidR="00000000" w:rsidRDefault="008E203B">
      <w:pPr>
        <w:pStyle w:val="a3"/>
        <w:spacing w:before="0" w:beforeAutospacing="0" w:after="0" w:afterAutospacing="0"/>
        <w:ind w:firstLine="360"/>
        <w:jc w:val="both"/>
        <w:rPr>
          <w:rFonts w:ascii="Times New Roman" w:hAnsi="Times New Roman" w:cs="Times New Roman"/>
          <w:sz w:val="20"/>
          <w:szCs w:val="20"/>
        </w:rPr>
      </w:pPr>
      <w:r>
        <w:rPr>
          <w:rFonts w:ascii="Times New Roman" w:hAnsi="Times New Roman" w:cs="Times New Roman"/>
          <w:sz w:val="20"/>
          <w:szCs w:val="20"/>
        </w:rPr>
        <w:t> </w:t>
      </w:r>
    </w:p>
    <w:p w:rsidR="00000000" w:rsidRDefault="008E203B">
      <w:pPr>
        <w:jc w:val="center"/>
        <w:divId w:val="752434846"/>
        <w:rPr>
          <w:rFonts w:ascii="Times New Roman" w:hAnsi="Times New Roman" w:cs="Times New Roman"/>
          <w:sz w:val="20"/>
          <w:szCs w:val="20"/>
        </w:rPr>
      </w:pPr>
      <w:r>
        <w:rPr>
          <w:rFonts w:ascii="Times New Roman" w:hAnsi="Times New Roman" w:cs="Times New Roman"/>
          <w:sz w:val="20"/>
          <w:szCs w:val="20"/>
        </w:rPr>
        <w:t>31</w:t>
      </w:r>
    </w:p>
    <w:p w:rsidR="00000000" w:rsidRDefault="008E203B">
      <w:pPr>
        <w:divId w:val="752434846"/>
        <w:rPr>
          <w:rFonts w:ascii="Times New Roman" w:hAnsi="Times New Roman" w:cs="Times New Roman"/>
          <w:sz w:val="20"/>
          <w:szCs w:val="20"/>
        </w:rPr>
      </w:pPr>
      <w:r>
        <w:rPr>
          <w:rFonts w:ascii="Times New Roman" w:hAnsi="Times New Roman" w:cs="Times New Roman"/>
          <w:sz w:val="20"/>
          <w:szCs w:val="20"/>
        </w:rPr>
        <w:pict>
          <v:rect id="_x0000_i1059" style="width:415.3pt;height:1.5pt" o:hralign="center" o:hrstd="t" o:hrnoshade="t" o:hr="t" fillcolor="black" stroked="f"/>
        </w:pict>
      </w:r>
    </w:p>
    <w:p w:rsidR="00000000" w:rsidRDefault="008E203B">
      <w:pPr>
        <w:divId w:val="752434846"/>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jc w:val="center"/>
        <w:rPr>
          <w:rFonts w:ascii="Times New Roman" w:hAnsi="Times New Roman" w:cs="Times New Roman"/>
          <w:sz w:val="20"/>
          <w:szCs w:val="20"/>
        </w:rPr>
      </w:pPr>
      <w:bookmarkStart w:id="10" w:name="part2"/>
      <w:bookmarkEnd w:id="10"/>
      <w:r>
        <w:rPr>
          <w:rFonts w:ascii="Times New Roman" w:hAnsi="Times New Roman" w:cs="Times New Roman"/>
          <w:b/>
          <w:bCs/>
          <w:sz w:val="20"/>
          <w:szCs w:val="20"/>
        </w:rPr>
        <w:t>PART II</w:t>
      </w:r>
    </w:p>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OTHER INFORMATION</w:t>
      </w:r>
    </w:p>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rPr>
          <w:rFonts w:ascii="Times New Roman" w:hAnsi="Times New Roman" w:cs="Times New Roman"/>
          <w:sz w:val="20"/>
          <w:szCs w:val="20"/>
        </w:rPr>
      </w:pPr>
      <w:bookmarkStart w:id="11" w:name="2item1"/>
      <w:bookmarkEnd w:id="11"/>
      <w:r>
        <w:rPr>
          <w:rFonts w:ascii="Times New Roman" w:hAnsi="Times New Roman" w:cs="Times New Roman"/>
          <w:b/>
          <w:bCs/>
          <w:sz w:val="20"/>
          <w:szCs w:val="20"/>
        </w:rPr>
        <w:t>Item 1.  </w:t>
      </w:r>
      <w:r>
        <w:rPr>
          <w:rFonts w:ascii="Times New Roman" w:hAnsi="Times New Roman" w:cs="Times New Roman"/>
          <w:b/>
          <w:bCs/>
          <w:sz w:val="20"/>
          <w:szCs w:val="20"/>
        </w:rPr>
        <w:t>Legal Proceedings.</w:t>
      </w:r>
    </w:p>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ind w:firstLine="360"/>
        <w:jc w:val="both"/>
        <w:rPr>
          <w:rFonts w:ascii="Times New Roman" w:hAnsi="Times New Roman" w:cs="Times New Roman"/>
          <w:sz w:val="20"/>
          <w:szCs w:val="20"/>
        </w:rPr>
      </w:pPr>
      <w:r>
        <w:rPr>
          <w:rFonts w:ascii="Times New Roman" w:hAnsi="Times New Roman" w:cs="Times New Roman"/>
          <w:sz w:val="20"/>
          <w:szCs w:val="20"/>
        </w:rPr>
        <w:t>The following information supplements and amends our discussion set forth under Part I, Item 3 "Legal Proceedings" in our Annual Report on Form 10-K for the fiscal year ended December 31, 2018.</w:t>
      </w:r>
    </w:p>
    <w:p w:rsidR="00000000" w:rsidRDefault="008E203B">
      <w:pPr>
        <w:pStyle w:val="a3"/>
        <w:spacing w:before="0" w:beforeAutospacing="0" w:after="0" w:afterAutospacing="0"/>
        <w:ind w:firstLine="360"/>
        <w:jc w:val="both"/>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ind w:firstLine="360"/>
        <w:jc w:val="both"/>
        <w:rPr>
          <w:rFonts w:ascii="Times New Roman" w:hAnsi="Times New Roman" w:cs="Times New Roman"/>
          <w:sz w:val="20"/>
          <w:szCs w:val="20"/>
        </w:rPr>
      </w:pPr>
      <w:r>
        <w:rPr>
          <w:rFonts w:ascii="Times New Roman" w:hAnsi="Times New Roman" w:cs="Times New Roman"/>
          <w:sz w:val="20"/>
          <w:szCs w:val="20"/>
        </w:rPr>
        <w:t>The Company is not presently involved i</w:t>
      </w:r>
      <w:r>
        <w:rPr>
          <w:rFonts w:ascii="Times New Roman" w:hAnsi="Times New Roman" w:cs="Times New Roman"/>
          <w:sz w:val="20"/>
          <w:szCs w:val="20"/>
        </w:rPr>
        <w:t>n any litigation nor, to its knowledge, is any litigation threatened against the Company or its subsidiaries that, in management's opinion, would result in any material adverse effect on the Company's ownership, management or operation of its properties ta</w:t>
      </w:r>
      <w:r>
        <w:rPr>
          <w:rFonts w:ascii="Times New Roman" w:hAnsi="Times New Roman" w:cs="Times New Roman"/>
          <w:sz w:val="20"/>
          <w:szCs w:val="20"/>
        </w:rPr>
        <w:t>ken as a whole, or which is not covered by the Company's liability insurance.</w:t>
      </w:r>
    </w:p>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rPr>
          <w:rFonts w:ascii="Times New Roman" w:hAnsi="Times New Roman" w:cs="Times New Roman"/>
          <w:sz w:val="20"/>
          <w:szCs w:val="20"/>
        </w:rPr>
      </w:pPr>
      <w:bookmarkStart w:id="12" w:name="2item1a"/>
      <w:bookmarkEnd w:id="12"/>
      <w:r>
        <w:rPr>
          <w:rFonts w:ascii="Times New Roman" w:hAnsi="Times New Roman" w:cs="Times New Roman"/>
          <w:b/>
          <w:bCs/>
          <w:sz w:val="20"/>
          <w:szCs w:val="20"/>
        </w:rPr>
        <w:t>Item 1A.  Risk Factors.</w:t>
      </w:r>
    </w:p>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ind w:firstLine="360"/>
        <w:jc w:val="both"/>
        <w:rPr>
          <w:rFonts w:ascii="Times New Roman" w:hAnsi="Times New Roman" w:cs="Times New Roman"/>
          <w:sz w:val="20"/>
          <w:szCs w:val="20"/>
        </w:rPr>
      </w:pPr>
      <w:r>
        <w:rPr>
          <w:rFonts w:ascii="Times New Roman" w:hAnsi="Times New Roman" w:cs="Times New Roman"/>
          <w:sz w:val="20"/>
          <w:szCs w:val="20"/>
        </w:rPr>
        <w:t>There are no material changes from risk factors as previously disclosed in Part I, Item 1A of our Annual Report on Form 10-K for the year ended December 31, 2018. </w:t>
      </w:r>
    </w:p>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rPr>
          <w:rFonts w:ascii="Times New Roman" w:hAnsi="Times New Roman" w:cs="Times New Roman"/>
          <w:sz w:val="20"/>
          <w:szCs w:val="20"/>
        </w:rPr>
      </w:pPr>
      <w:bookmarkStart w:id="13" w:name="2item2"/>
      <w:bookmarkEnd w:id="13"/>
      <w:r>
        <w:rPr>
          <w:rFonts w:ascii="Times New Roman" w:hAnsi="Times New Roman" w:cs="Times New Roman"/>
          <w:b/>
          <w:bCs/>
          <w:sz w:val="20"/>
          <w:szCs w:val="20"/>
        </w:rPr>
        <w:t>Item 2. Unregistered Sales of Equity Securities and Use of Proceeds.</w:t>
      </w:r>
    </w:p>
    <w:p w:rsidR="00000000" w:rsidRDefault="008E203B">
      <w:pPr>
        <w:pStyle w:val="a3"/>
        <w:spacing w:before="0" w:beforeAutospacing="0" w:after="0" w:afterAutospacing="0"/>
        <w:ind w:firstLine="720"/>
        <w:jc w:val="both"/>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ind w:firstLine="360"/>
        <w:jc w:val="both"/>
        <w:rPr>
          <w:rFonts w:ascii="Times New Roman" w:hAnsi="Times New Roman" w:cs="Times New Roman"/>
          <w:sz w:val="20"/>
          <w:szCs w:val="20"/>
        </w:rPr>
      </w:pPr>
      <w:r>
        <w:rPr>
          <w:rFonts w:ascii="Times New Roman" w:hAnsi="Times New Roman" w:cs="Times New Roman"/>
          <w:sz w:val="20"/>
          <w:szCs w:val="20"/>
          <w:u w:val="single"/>
        </w:rPr>
        <w:t xml:space="preserve">Issuer Purchases </w:t>
      </w:r>
      <w:r>
        <w:rPr>
          <w:rFonts w:ascii="Times New Roman" w:hAnsi="Times New Roman" w:cs="Times New Roman"/>
          <w:sz w:val="20"/>
          <w:szCs w:val="20"/>
          <w:u w:val="single"/>
        </w:rPr>
        <w:t>of Equity Securities</w:t>
      </w:r>
    </w:p>
    <w:p w:rsidR="00000000" w:rsidRDefault="008E203B">
      <w:pPr>
        <w:pStyle w:val="a3"/>
        <w:spacing w:before="0" w:beforeAutospacing="0" w:after="0" w:afterAutospacing="0"/>
        <w:ind w:firstLine="360"/>
        <w:jc w:val="both"/>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ind w:firstLine="360"/>
        <w:jc w:val="both"/>
        <w:rPr>
          <w:rFonts w:ascii="Times New Roman" w:hAnsi="Times New Roman" w:cs="Times New Roman"/>
          <w:sz w:val="20"/>
          <w:szCs w:val="20"/>
        </w:rPr>
      </w:pPr>
      <w:r>
        <w:rPr>
          <w:rFonts w:ascii="Times New Roman" w:hAnsi="Times New Roman" w:cs="Times New Roman"/>
          <w:sz w:val="20"/>
          <w:szCs w:val="20"/>
        </w:rPr>
        <w:t xml:space="preserve">During the three months ended March 31, 2019, the Company repurchased 184,461 shares for an aggregate purchase price of $3.2 million (weighted average price of $17.57 per share) in connection with common shares surrendered or deemed </w:t>
      </w:r>
      <w:r>
        <w:rPr>
          <w:rFonts w:ascii="Times New Roman" w:hAnsi="Times New Roman" w:cs="Times New Roman"/>
          <w:sz w:val="20"/>
          <w:szCs w:val="20"/>
        </w:rPr>
        <w:t>surrendered to the Company to satisfy statutory minimum tax withholding obligations in connection with the vesting of restricted stock awards under the Company’s equity-based compensation plans.</w:t>
      </w:r>
    </w:p>
    <w:p w:rsidR="00000000" w:rsidRDefault="008E203B">
      <w:pPr>
        <w:pStyle w:val="a3"/>
        <w:spacing w:before="0" w:beforeAutospacing="0" w:after="0" w:afterAutospacing="0"/>
        <w:ind w:firstLine="360"/>
        <w:jc w:val="both"/>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ind w:firstLine="360"/>
        <w:jc w:val="both"/>
        <w:rPr>
          <w:rFonts w:ascii="Times New Roman" w:hAnsi="Times New Roman" w:cs="Times New Roman"/>
          <w:sz w:val="20"/>
          <w:szCs w:val="20"/>
        </w:rPr>
      </w:pPr>
      <w:r>
        <w:rPr>
          <w:rFonts w:ascii="Times New Roman" w:hAnsi="Times New Roman" w:cs="Times New Roman"/>
          <w:sz w:val="20"/>
          <w:szCs w:val="20"/>
        </w:rPr>
        <w:t>In addition, during February 2018, the Company’s Board of D</w:t>
      </w:r>
      <w:r>
        <w:rPr>
          <w:rFonts w:ascii="Times New Roman" w:hAnsi="Times New Roman" w:cs="Times New Roman"/>
          <w:sz w:val="20"/>
          <w:szCs w:val="20"/>
        </w:rPr>
        <w:t xml:space="preserve">irectors authorized a share repurchase program, which is effective for a term of two years, pursuant to which the Company may repurchase shares of its common stock, par value $0.01 per share, with an aggregate gross purchase price of up to $300.0 million. </w:t>
      </w:r>
      <w:r>
        <w:rPr>
          <w:rFonts w:ascii="Times New Roman" w:hAnsi="Times New Roman" w:cs="Times New Roman"/>
          <w:sz w:val="20"/>
          <w:szCs w:val="20"/>
        </w:rPr>
        <w:t>The Company did not repurchase any shares under the share repurchase program during the three months ended March 31, 2019. As of March 31, 2019, the Company had $224.9 million available under this common share repurchase program.</w:t>
      </w:r>
    </w:p>
    <w:p w:rsidR="00000000" w:rsidRDefault="008E203B">
      <w:pPr>
        <w:pStyle w:val="a3"/>
        <w:spacing w:before="0" w:beforeAutospacing="0" w:after="0" w:afterAutospacing="0"/>
        <w:ind w:firstLine="360"/>
        <w:jc w:val="both"/>
        <w:rPr>
          <w:rFonts w:ascii="Times New Roman" w:hAnsi="Times New Roman" w:cs="Times New Roman"/>
          <w:sz w:val="20"/>
          <w:szCs w:val="20"/>
        </w:rPr>
      </w:pPr>
      <w:r>
        <w:rPr>
          <w:rFonts w:ascii="Times New Roman" w:hAnsi="Times New Roman" w:cs="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498"/>
        <w:gridCol w:w="50"/>
        <w:gridCol w:w="70"/>
        <w:gridCol w:w="830"/>
        <w:gridCol w:w="50"/>
        <w:gridCol w:w="50"/>
        <w:gridCol w:w="101"/>
        <w:gridCol w:w="656"/>
        <w:gridCol w:w="50"/>
        <w:gridCol w:w="50"/>
        <w:gridCol w:w="105"/>
        <w:gridCol w:w="1468"/>
        <w:gridCol w:w="50"/>
        <w:gridCol w:w="50"/>
        <w:gridCol w:w="146"/>
        <w:gridCol w:w="2032"/>
        <w:gridCol w:w="50"/>
      </w:tblGrid>
      <w:tr w:rsidR="00000000">
        <w:trPr>
          <w:tblCellSpacing w:w="0" w:type="dxa"/>
        </w:trPr>
        <w:tc>
          <w:tcPr>
            <w:tcW w:w="1800" w:type="pct"/>
            <w:tcBorders>
              <w:bottom w:val="single" w:sz="6" w:space="0" w:color="000000"/>
            </w:tcBorders>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Period</w:t>
            </w:r>
          </w:p>
        </w:tc>
        <w:tc>
          <w:tcPr>
            <w:tcW w:w="50" w:type="pct"/>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gridSpan w:val="2"/>
            <w:tcBorders>
              <w:bottom w:val="single" w:sz="6" w:space="0" w:color="000000"/>
            </w:tcBorders>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Total Number</w:t>
            </w:r>
          </w:p>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of</w:t>
            </w:r>
            <w:r>
              <w:rPr>
                <w:rFonts w:ascii="Times New Roman" w:hAnsi="Times New Roman" w:cs="Times New Roman"/>
                <w:b/>
                <w:bCs/>
                <w:sz w:val="20"/>
                <w:szCs w:val="20"/>
              </w:rPr>
              <w:t xml:space="preserve"> Shares</w:t>
            </w:r>
          </w:p>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Purchased</w:t>
            </w:r>
          </w:p>
        </w:tc>
        <w:tc>
          <w:tcPr>
            <w:tcW w:w="50" w:type="pct"/>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gridSpan w:val="2"/>
            <w:tcBorders>
              <w:bottom w:val="single" w:sz="6" w:space="0" w:color="000000"/>
            </w:tcBorders>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Average</w:t>
            </w:r>
          </w:p>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Price Paid</w:t>
            </w:r>
          </w:p>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per Share</w:t>
            </w:r>
          </w:p>
        </w:tc>
        <w:tc>
          <w:tcPr>
            <w:tcW w:w="50" w:type="pct"/>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gridSpan w:val="2"/>
            <w:tcBorders>
              <w:bottom w:val="single" w:sz="6" w:space="0" w:color="000000"/>
            </w:tcBorders>
            <w:noWrap/>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Total Number of</w:t>
            </w:r>
          </w:p>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Shares Purchased</w:t>
            </w:r>
          </w:p>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as Part of Publicly</w:t>
            </w:r>
          </w:p>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Announced Plans</w:t>
            </w:r>
          </w:p>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or Programs</w:t>
            </w:r>
          </w:p>
        </w:tc>
        <w:tc>
          <w:tcPr>
            <w:tcW w:w="50" w:type="pct"/>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gridSpan w:val="2"/>
            <w:tcBorders>
              <w:bottom w:val="single" w:sz="6" w:space="0" w:color="000000"/>
            </w:tcBorders>
            <w:noWrap/>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Approximate Dollar</w:t>
            </w:r>
          </w:p>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Value of Shares that May</w:t>
            </w:r>
          </w:p>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Yet Be Purchased Under</w:t>
            </w:r>
          </w:p>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the Plans or Programs</w:t>
            </w:r>
          </w:p>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(in millions)</w:t>
            </w:r>
          </w:p>
        </w:tc>
        <w:tc>
          <w:tcPr>
            <w:tcW w:w="50" w:type="pct"/>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tblCellSpacing w:w="0" w:type="dxa"/>
        </w:trPr>
        <w:tc>
          <w:tcPr>
            <w:tcW w:w="1800" w:type="pct"/>
            <w:shd w:val="clear" w:color="auto" w:fill="CCEEFF"/>
            <w:vAlign w:val="bottom"/>
            <w:hideMark/>
          </w:tcPr>
          <w:p w:rsidR="00000000" w:rsidRDefault="008E203B">
            <w:pPr>
              <w:pStyle w:val="a3"/>
              <w:spacing w:before="0" w:beforeAutospacing="0" w:after="0" w:afterAutospacing="0"/>
              <w:ind w:hanging="2"/>
              <w:jc w:val="center"/>
              <w:rPr>
                <w:rFonts w:ascii="Times New Roman" w:hAnsi="Times New Roman" w:cs="Times New Roman"/>
                <w:sz w:val="20"/>
                <w:szCs w:val="20"/>
              </w:rPr>
            </w:pPr>
            <w:r>
              <w:rPr>
                <w:rFonts w:ascii="Times New Roman" w:hAnsi="Times New Roman" w:cs="Times New Roman"/>
                <w:sz w:val="20"/>
                <w:szCs w:val="20"/>
              </w:rPr>
              <w:t>January 1, 2019 – January 31, 2019</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9,931</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60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14.62</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70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w:t>
            </w:r>
          </w:p>
        </w:tc>
        <w:tc>
          <w:tcPr>
            <w:tcW w:w="70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224.9</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tblCellSpacing w:w="0" w:type="dxa"/>
        </w:trPr>
        <w:tc>
          <w:tcPr>
            <w:tcW w:w="1800" w:type="pct"/>
            <w:shd w:val="clear" w:color="auto" w:fill="FFFFFF"/>
            <w:vAlign w:val="bottom"/>
            <w:hideMark/>
          </w:tcPr>
          <w:p w:rsidR="00000000" w:rsidRDefault="008E203B">
            <w:pPr>
              <w:pStyle w:val="a3"/>
              <w:spacing w:before="0" w:beforeAutospacing="0" w:after="0" w:afterAutospacing="0"/>
              <w:ind w:hanging="2"/>
              <w:jc w:val="center"/>
              <w:rPr>
                <w:rFonts w:ascii="Times New Roman" w:hAnsi="Times New Roman" w:cs="Times New Roman"/>
                <w:sz w:val="20"/>
                <w:szCs w:val="20"/>
              </w:rPr>
            </w:pPr>
            <w:r>
              <w:rPr>
                <w:rFonts w:ascii="Times New Roman" w:hAnsi="Times New Roman" w:cs="Times New Roman"/>
                <w:sz w:val="20"/>
                <w:szCs w:val="20"/>
              </w:rPr>
              <w:t>February 1, 2019 – February 28, 2019</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171,591</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17.73</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70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70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224.9</w:t>
            </w:r>
          </w:p>
        </w:tc>
        <w:tc>
          <w:tcPr>
            <w:tcW w:w="50" w:type="pct"/>
            <w:shd w:val="clear" w:color="auto" w:fill="FFFF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tblCellSpacing w:w="0" w:type="dxa"/>
        </w:trPr>
        <w:tc>
          <w:tcPr>
            <w:tcW w:w="1800" w:type="pct"/>
            <w:shd w:val="clear" w:color="auto" w:fill="CCEEFF"/>
            <w:vAlign w:val="bottom"/>
            <w:hideMark/>
          </w:tcPr>
          <w:p w:rsidR="00000000" w:rsidRDefault="008E203B">
            <w:pPr>
              <w:pStyle w:val="a3"/>
              <w:spacing w:before="0" w:beforeAutospacing="0" w:after="0" w:afterAutospacing="0"/>
              <w:ind w:hanging="2"/>
              <w:jc w:val="center"/>
              <w:rPr>
                <w:rFonts w:ascii="Times New Roman" w:hAnsi="Times New Roman" w:cs="Times New Roman"/>
                <w:sz w:val="20"/>
                <w:szCs w:val="20"/>
              </w:rPr>
            </w:pPr>
            <w:r>
              <w:rPr>
                <w:rFonts w:ascii="Times New Roman" w:hAnsi="Times New Roman" w:cs="Times New Roman"/>
                <w:sz w:val="20"/>
                <w:szCs w:val="20"/>
              </w:rPr>
              <w:t>March 1, 2019 – March 31, 2019</w:t>
            </w:r>
          </w:p>
        </w:tc>
        <w:tc>
          <w:tcPr>
            <w:tcW w:w="50" w:type="pct"/>
            <w:shd w:val="clear" w:color="auto" w:fill="CCEEFF"/>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single" w:sz="6" w:space="0" w:color="000000"/>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tcBorders>
              <w:bottom w:val="single" w:sz="6" w:space="0" w:color="000000"/>
            </w:tcBorders>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2,939</w:t>
            </w:r>
          </w:p>
        </w:tc>
        <w:tc>
          <w:tcPr>
            <w:tcW w:w="50" w:type="pct"/>
            <w:shd w:val="clear" w:color="auto" w:fill="CCEEFF"/>
            <w:noWrap/>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single" w:sz="6" w:space="0" w:color="000000"/>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600" w:type="pct"/>
            <w:tcBorders>
              <w:bottom w:val="single" w:sz="6" w:space="0" w:color="000000"/>
            </w:tcBorders>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17.61</w:t>
            </w:r>
          </w:p>
        </w:tc>
        <w:tc>
          <w:tcPr>
            <w:tcW w:w="50" w:type="pct"/>
            <w:shd w:val="clear" w:color="auto" w:fill="CCEEFF"/>
            <w:noWrap/>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single" w:sz="6" w:space="0" w:color="000000"/>
            </w:tcBorders>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700" w:type="pct"/>
            <w:tcBorders>
              <w:bottom w:val="single" w:sz="6" w:space="0" w:color="000000"/>
            </w:tcBorders>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w:t>
            </w:r>
          </w:p>
        </w:tc>
        <w:tc>
          <w:tcPr>
            <w:tcW w:w="50" w:type="pct"/>
            <w:shd w:val="clear" w:color="auto" w:fill="CCEEFF"/>
            <w:noWrap/>
            <w:tcMar>
              <w:top w:w="0" w:type="dxa"/>
              <w:left w:w="0" w:type="dxa"/>
              <w:bottom w:w="1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700" w:type="pct"/>
            <w:shd w:val="clear" w:color="auto" w:fill="CCEE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sz w:val="20"/>
                <w:szCs w:val="20"/>
              </w:rPr>
              <w:t>224.9</w:t>
            </w:r>
          </w:p>
        </w:tc>
        <w:tc>
          <w:tcPr>
            <w:tcW w:w="50" w:type="pct"/>
            <w:shd w:val="clear" w:color="auto" w:fill="CCEEFF"/>
            <w:noWrap/>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r>
      <w:tr w:rsidR="00000000">
        <w:trPr>
          <w:tblCellSpacing w:w="0" w:type="dxa"/>
        </w:trPr>
        <w:tc>
          <w:tcPr>
            <w:tcW w:w="1800" w:type="pct"/>
            <w:shd w:val="clear" w:color="auto" w:fill="FFFFFF"/>
            <w:vAlign w:val="bottom"/>
            <w:hideMark/>
          </w:tcPr>
          <w:p w:rsidR="00000000"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rPr>
              <w:t>Total</w:t>
            </w:r>
          </w:p>
        </w:tc>
        <w:tc>
          <w:tcPr>
            <w:tcW w:w="50" w:type="pct"/>
            <w:shd w:val="clear" w:color="auto" w:fill="FFFFFF"/>
            <w:tcMar>
              <w:top w:w="0" w:type="dxa"/>
              <w:left w:w="0" w:type="dxa"/>
              <w:bottom w:w="4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double" w:sz="6" w:space="0" w:color="000000"/>
            </w:tcBorders>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b/>
                <w:bCs/>
                <w:sz w:val="20"/>
                <w:szCs w:val="20"/>
              </w:rPr>
              <w:t> </w:t>
            </w:r>
          </w:p>
        </w:tc>
        <w:tc>
          <w:tcPr>
            <w:tcW w:w="600" w:type="pct"/>
            <w:tcBorders>
              <w:bottom w:val="double" w:sz="6" w:space="0" w:color="000000"/>
            </w:tcBorders>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b/>
                <w:bCs/>
                <w:sz w:val="20"/>
                <w:szCs w:val="20"/>
              </w:rPr>
              <w:t>184,461</w:t>
            </w:r>
          </w:p>
        </w:tc>
        <w:tc>
          <w:tcPr>
            <w:tcW w:w="50" w:type="pct"/>
            <w:shd w:val="clear" w:color="auto" w:fill="FFFFFF"/>
            <w:noWrap/>
            <w:tcMar>
              <w:top w:w="0" w:type="dxa"/>
              <w:left w:w="0" w:type="dxa"/>
              <w:bottom w:w="4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tcMar>
              <w:top w:w="0" w:type="dxa"/>
              <w:left w:w="0" w:type="dxa"/>
              <w:bottom w:w="4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double" w:sz="6" w:space="0" w:color="000000"/>
            </w:tcBorders>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b/>
                <w:bCs/>
                <w:sz w:val="20"/>
                <w:szCs w:val="20"/>
              </w:rPr>
              <w:t>$</w:t>
            </w:r>
          </w:p>
        </w:tc>
        <w:tc>
          <w:tcPr>
            <w:tcW w:w="600" w:type="pct"/>
            <w:tcBorders>
              <w:bottom w:val="double" w:sz="6" w:space="0" w:color="000000"/>
            </w:tcBorders>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b/>
                <w:bCs/>
                <w:sz w:val="20"/>
                <w:szCs w:val="20"/>
              </w:rPr>
              <w:t>17.57</w:t>
            </w:r>
          </w:p>
        </w:tc>
        <w:tc>
          <w:tcPr>
            <w:tcW w:w="50" w:type="pct"/>
            <w:shd w:val="clear" w:color="auto" w:fill="FFFFFF"/>
            <w:noWrap/>
            <w:tcMar>
              <w:top w:w="0" w:type="dxa"/>
              <w:left w:w="0" w:type="dxa"/>
              <w:bottom w:w="4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tcMar>
              <w:top w:w="0" w:type="dxa"/>
              <w:left w:w="0" w:type="dxa"/>
              <w:bottom w:w="4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tcBorders>
              <w:bottom w:val="double" w:sz="6" w:space="0" w:color="000000"/>
            </w:tcBorders>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b/>
                <w:bCs/>
                <w:sz w:val="20"/>
                <w:szCs w:val="20"/>
              </w:rPr>
              <w:t> </w:t>
            </w:r>
          </w:p>
        </w:tc>
        <w:tc>
          <w:tcPr>
            <w:tcW w:w="700" w:type="pct"/>
            <w:tcBorders>
              <w:bottom w:val="double" w:sz="6" w:space="0" w:color="000000"/>
            </w:tcBorders>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b/>
                <w:bCs/>
                <w:sz w:val="20"/>
                <w:szCs w:val="20"/>
              </w:rPr>
              <w:t>-</w:t>
            </w:r>
          </w:p>
        </w:tc>
        <w:tc>
          <w:tcPr>
            <w:tcW w:w="50" w:type="pct"/>
            <w:shd w:val="clear" w:color="auto" w:fill="FFFFFF"/>
            <w:noWrap/>
            <w:tcMar>
              <w:top w:w="0" w:type="dxa"/>
              <w:left w:w="0" w:type="dxa"/>
              <w:bottom w:w="45" w:type="dxa"/>
              <w:right w:w="0" w:type="dxa"/>
            </w:tcMar>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b/>
                <w:bCs/>
                <w:sz w:val="20"/>
                <w:szCs w:val="20"/>
              </w:rPr>
              <w:t> </w:t>
            </w:r>
          </w:p>
        </w:tc>
        <w:tc>
          <w:tcPr>
            <w:tcW w:w="700" w:type="pct"/>
            <w:shd w:val="clear" w:color="auto" w:fill="FFFFFF"/>
            <w:vAlign w:val="bottom"/>
            <w:hideMark/>
          </w:tcPr>
          <w:p w:rsidR="00000000" w:rsidRDefault="008E203B">
            <w:pPr>
              <w:jc w:val="right"/>
              <w:rPr>
                <w:rFonts w:ascii="Times New Roman" w:hAnsi="Times New Roman" w:cs="Times New Roman"/>
                <w:sz w:val="20"/>
                <w:szCs w:val="20"/>
              </w:rPr>
            </w:pPr>
            <w:r>
              <w:rPr>
                <w:rFonts w:ascii="Times New Roman" w:hAnsi="Times New Roman" w:cs="Times New Roman"/>
                <w:b/>
                <w:bCs/>
                <w:sz w:val="20"/>
                <w:szCs w:val="20"/>
              </w:rPr>
              <w:t> </w:t>
            </w:r>
          </w:p>
        </w:tc>
        <w:tc>
          <w:tcPr>
            <w:tcW w:w="50" w:type="pct"/>
            <w:shd w:val="clear" w:color="auto" w:fill="FFFFFF"/>
            <w:vAlign w:val="bottom"/>
            <w:hideMark/>
          </w:tcPr>
          <w:p w:rsidR="00000000" w:rsidRDefault="008E203B">
            <w:pPr>
              <w:rPr>
                <w:rFonts w:ascii="Times New Roman" w:hAnsi="Times New Roman" w:cs="Times New Roman"/>
                <w:sz w:val="20"/>
                <w:szCs w:val="20"/>
              </w:rPr>
            </w:pPr>
            <w:r>
              <w:rPr>
                <w:rFonts w:ascii="Times New Roman" w:hAnsi="Times New Roman" w:cs="Times New Roman"/>
                <w:b/>
                <w:bCs/>
                <w:sz w:val="20"/>
                <w:szCs w:val="20"/>
              </w:rPr>
              <w:t> </w:t>
            </w:r>
          </w:p>
        </w:tc>
      </w:tr>
    </w:tbl>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rPr>
          <w:rFonts w:ascii="Times New Roman" w:hAnsi="Times New Roman" w:cs="Times New Roman"/>
          <w:sz w:val="20"/>
          <w:szCs w:val="20"/>
        </w:rPr>
      </w:pPr>
      <w:bookmarkStart w:id="14" w:name="2item3"/>
      <w:bookmarkEnd w:id="14"/>
      <w:r>
        <w:rPr>
          <w:rFonts w:ascii="Times New Roman" w:hAnsi="Times New Roman" w:cs="Times New Roman"/>
          <w:b/>
          <w:bCs/>
          <w:sz w:val="20"/>
          <w:szCs w:val="20"/>
        </w:rPr>
        <w:t>Item 3.  Defaults Upon Senior Securities.</w:t>
      </w:r>
    </w:p>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ind w:firstLine="360"/>
        <w:jc w:val="both"/>
        <w:rPr>
          <w:rFonts w:ascii="Times New Roman" w:hAnsi="Times New Roman" w:cs="Times New Roman"/>
          <w:sz w:val="20"/>
          <w:szCs w:val="20"/>
        </w:rPr>
      </w:pPr>
      <w:r>
        <w:rPr>
          <w:rFonts w:ascii="Times New Roman" w:hAnsi="Times New Roman" w:cs="Times New Roman"/>
          <w:sz w:val="20"/>
          <w:szCs w:val="20"/>
        </w:rPr>
        <w:t>None.</w:t>
      </w:r>
    </w:p>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rPr>
          <w:rFonts w:ascii="Times New Roman" w:hAnsi="Times New Roman" w:cs="Times New Roman"/>
          <w:sz w:val="20"/>
          <w:szCs w:val="20"/>
        </w:rPr>
      </w:pPr>
      <w:bookmarkStart w:id="15" w:name="2item4"/>
      <w:bookmarkEnd w:id="15"/>
      <w:r>
        <w:rPr>
          <w:rFonts w:ascii="Times New Roman" w:hAnsi="Times New Roman" w:cs="Times New Roman"/>
          <w:b/>
          <w:bCs/>
          <w:sz w:val="20"/>
          <w:szCs w:val="20"/>
        </w:rPr>
        <w:t>Item 4.  Mine Safety Disclosures.</w:t>
      </w:r>
    </w:p>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ind w:firstLine="360"/>
        <w:jc w:val="both"/>
        <w:rPr>
          <w:rFonts w:ascii="Times New Roman" w:hAnsi="Times New Roman" w:cs="Times New Roman"/>
          <w:sz w:val="20"/>
          <w:szCs w:val="20"/>
        </w:rPr>
      </w:pPr>
      <w:r>
        <w:rPr>
          <w:rFonts w:ascii="Times New Roman" w:hAnsi="Times New Roman" w:cs="Times New Roman"/>
          <w:sz w:val="20"/>
          <w:szCs w:val="20"/>
        </w:rPr>
        <w:t>Not applicable.</w:t>
      </w:r>
    </w:p>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rPr>
          <w:rFonts w:ascii="Times New Roman" w:hAnsi="Times New Roman" w:cs="Times New Roman"/>
          <w:sz w:val="20"/>
          <w:szCs w:val="20"/>
        </w:rPr>
      </w:pPr>
      <w:bookmarkStart w:id="16" w:name="2item5"/>
      <w:bookmarkEnd w:id="16"/>
      <w:r>
        <w:rPr>
          <w:rFonts w:ascii="Times New Roman" w:hAnsi="Times New Roman" w:cs="Times New Roman"/>
          <w:b/>
          <w:bCs/>
          <w:sz w:val="20"/>
          <w:szCs w:val="20"/>
        </w:rPr>
        <w:t>Item 5.  Other Information.</w:t>
      </w:r>
    </w:p>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ind w:firstLine="360"/>
        <w:jc w:val="both"/>
        <w:rPr>
          <w:rFonts w:ascii="Times New Roman" w:hAnsi="Times New Roman" w:cs="Times New Roman"/>
          <w:sz w:val="20"/>
          <w:szCs w:val="20"/>
        </w:rPr>
      </w:pPr>
      <w:r>
        <w:rPr>
          <w:rFonts w:ascii="Times New Roman" w:hAnsi="Times New Roman" w:cs="Times New Roman"/>
          <w:sz w:val="20"/>
          <w:szCs w:val="20"/>
        </w:rPr>
        <w:t>None.</w:t>
      </w:r>
    </w:p>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p w:rsidR="00000000" w:rsidRDefault="008E203B">
      <w:pPr>
        <w:jc w:val="center"/>
        <w:divId w:val="1320041956"/>
        <w:rPr>
          <w:rFonts w:ascii="Times New Roman" w:hAnsi="Times New Roman" w:cs="Times New Roman"/>
          <w:sz w:val="20"/>
          <w:szCs w:val="20"/>
        </w:rPr>
      </w:pPr>
      <w:r>
        <w:rPr>
          <w:rFonts w:ascii="Times New Roman" w:hAnsi="Times New Roman" w:cs="Times New Roman"/>
          <w:sz w:val="20"/>
          <w:szCs w:val="20"/>
        </w:rPr>
        <w:t>32</w:t>
      </w:r>
    </w:p>
    <w:p w:rsidR="00000000" w:rsidRDefault="008E203B">
      <w:pPr>
        <w:divId w:val="1320041956"/>
        <w:rPr>
          <w:rFonts w:ascii="Times New Roman" w:hAnsi="Times New Roman" w:cs="Times New Roman"/>
          <w:sz w:val="20"/>
          <w:szCs w:val="20"/>
        </w:rPr>
      </w:pPr>
      <w:r>
        <w:rPr>
          <w:rFonts w:ascii="Times New Roman" w:hAnsi="Times New Roman" w:cs="Times New Roman"/>
          <w:sz w:val="20"/>
          <w:szCs w:val="20"/>
        </w:rPr>
        <w:pict>
          <v:rect id="_x0000_i1060" style="width:415.3pt;height:1.5pt" o:hralign="center" o:hrstd="t" o:hrnoshade="t" o:hr="t" fillcolor="black" stroked="f"/>
        </w:pict>
      </w:r>
    </w:p>
    <w:p w:rsidR="00000000" w:rsidRDefault="008E203B">
      <w:pPr>
        <w:divId w:val="1320041956"/>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rPr>
          <w:rFonts w:ascii="Times New Roman" w:hAnsi="Times New Roman" w:cs="Times New Roman"/>
          <w:sz w:val="20"/>
          <w:szCs w:val="20"/>
        </w:rPr>
      </w:pPr>
      <w:bookmarkStart w:id="17" w:name="2item6"/>
      <w:bookmarkEnd w:id="17"/>
      <w:r>
        <w:rPr>
          <w:rFonts w:ascii="Times New Roman" w:hAnsi="Times New Roman" w:cs="Times New Roman"/>
          <w:b/>
          <w:bCs/>
          <w:sz w:val="20"/>
          <w:szCs w:val="20"/>
        </w:rPr>
        <w:t>Item 6.  Exhibits.</w:t>
      </w:r>
    </w:p>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Exhibits –</w:t>
      </w:r>
    </w:p>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4.1  Agreement to File Instruments</w:t>
      </w:r>
    </w:p>
    <w:p w:rsidR="00000000" w:rsidRDefault="008E203B">
      <w:pPr>
        <w:pStyle w:val="a3"/>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ind w:firstLine="360"/>
        <w:jc w:val="both"/>
        <w:rPr>
          <w:rFonts w:ascii="Times New Roman" w:hAnsi="Times New Roman" w:cs="Times New Roman"/>
          <w:sz w:val="20"/>
          <w:szCs w:val="20"/>
        </w:rPr>
      </w:pPr>
      <w:r>
        <w:rPr>
          <w:rFonts w:ascii="Times New Roman" w:hAnsi="Times New Roman" w:cs="Times New Roman"/>
          <w:sz w:val="20"/>
          <w:szCs w:val="20"/>
        </w:rPr>
        <w:t>Kimco Realty Corporation (the “</w:t>
      </w:r>
      <w:r>
        <w:rPr>
          <w:rFonts w:ascii="Times New Roman" w:hAnsi="Times New Roman" w:cs="Times New Roman"/>
          <w:sz w:val="20"/>
          <w:szCs w:val="20"/>
        </w:rPr>
        <w:t>Registrant”) hereby agrees to file with the Securities and Exchange Commission, upon request of the Commission, all instruments defining the rights of holders of long-term debt of the Registrant and its consolidated subsidiaries, and for any of its unconso</w:t>
      </w:r>
      <w:r>
        <w:rPr>
          <w:rFonts w:ascii="Times New Roman" w:hAnsi="Times New Roman" w:cs="Times New Roman"/>
          <w:sz w:val="20"/>
          <w:szCs w:val="20"/>
        </w:rPr>
        <w:t>lidated subsidiaries for which financial statements are required to be filed, and for which the total amount of securities authorized thereunder does not exceed 10 percent of the total assets of the Registrant and its subsidiaries on a consolidated basis.</w:t>
      </w:r>
    </w:p>
    <w:tbl>
      <w:tblPr>
        <w:tblW w:w="4880" w:type="pct"/>
        <w:tblCellSpacing w:w="0" w:type="dxa"/>
        <w:tblCellMar>
          <w:left w:w="0" w:type="dxa"/>
          <w:right w:w="0" w:type="dxa"/>
        </w:tblCellMar>
        <w:tblLook w:val="04A0" w:firstRow="1" w:lastRow="0" w:firstColumn="1" w:lastColumn="0" w:noHBand="0" w:noVBand="1"/>
      </w:tblPr>
      <w:tblGrid>
        <w:gridCol w:w="292"/>
        <w:gridCol w:w="950"/>
        <w:gridCol w:w="6865"/>
      </w:tblGrid>
      <w:tr w:rsidR="00000000">
        <w:trPr>
          <w:tblCellSpacing w:w="0" w:type="dxa"/>
        </w:trPr>
        <w:tc>
          <w:tcPr>
            <w:tcW w:w="180" w:type="pct"/>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85" w:type="pct"/>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230" w:type="pct"/>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r>
      <w:tr w:rsidR="00000000">
        <w:trPr>
          <w:tblCellSpacing w:w="0" w:type="dxa"/>
        </w:trPr>
        <w:tc>
          <w:tcPr>
            <w:tcW w:w="180" w:type="pct"/>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85" w:type="pct"/>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31.1</w:t>
            </w:r>
          </w:p>
        </w:tc>
        <w:tc>
          <w:tcPr>
            <w:tcW w:w="4230" w:type="pct"/>
            <w:hideMark/>
          </w:tcPr>
          <w:p w:rsidR="00000000" w:rsidRDefault="008E203B">
            <w:pPr>
              <w:pStyle w:val="a3"/>
              <w:spacing w:before="0" w:beforeAutospacing="0" w:after="0" w:afterAutospacing="0"/>
              <w:rPr>
                <w:rFonts w:ascii="Times New Roman" w:hAnsi="Times New Roman" w:cs="Times New Roman"/>
                <w:sz w:val="20"/>
                <w:szCs w:val="20"/>
              </w:rPr>
            </w:pPr>
            <w:hyperlink r:id="rId4" w:history="1">
              <w:r>
                <w:rPr>
                  <w:rStyle w:val="a4"/>
                  <w:rFonts w:ascii="Times New Roman" w:hAnsi="Times New Roman" w:cs="Times New Roman"/>
                  <w:sz w:val="20"/>
                  <w:szCs w:val="20"/>
                </w:rPr>
                <w:t>Certification of the Company’</w:t>
              </w:r>
              <w:r>
                <w:rPr>
                  <w:rStyle w:val="a4"/>
                  <w:rFonts w:ascii="Times New Roman" w:hAnsi="Times New Roman" w:cs="Times New Roman"/>
                  <w:sz w:val="20"/>
                  <w:szCs w:val="20"/>
                </w:rPr>
                <w:t>s Chief Executive Officer, Conor C. Flynn, pursuant to Section 302 of the Sarbanes-Oxley Act of 2002.</w:t>
              </w:r>
            </w:hyperlink>
          </w:p>
        </w:tc>
      </w:tr>
      <w:tr w:rsidR="00000000">
        <w:trPr>
          <w:tblCellSpacing w:w="0" w:type="dxa"/>
        </w:trPr>
        <w:tc>
          <w:tcPr>
            <w:tcW w:w="180" w:type="pct"/>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85" w:type="pct"/>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31.2</w:t>
            </w:r>
          </w:p>
        </w:tc>
        <w:tc>
          <w:tcPr>
            <w:tcW w:w="4230" w:type="pct"/>
            <w:hideMark/>
          </w:tcPr>
          <w:p w:rsidR="00000000" w:rsidRDefault="008E203B">
            <w:pPr>
              <w:pStyle w:val="a3"/>
              <w:spacing w:before="0" w:beforeAutospacing="0" w:after="0" w:afterAutospacing="0"/>
              <w:rPr>
                <w:rFonts w:ascii="Times New Roman" w:hAnsi="Times New Roman" w:cs="Times New Roman"/>
                <w:sz w:val="20"/>
                <w:szCs w:val="20"/>
              </w:rPr>
            </w:pPr>
            <w:hyperlink r:id="rId5" w:history="1">
              <w:r>
                <w:rPr>
                  <w:rStyle w:val="a4"/>
                  <w:rFonts w:ascii="Times New Roman" w:hAnsi="Times New Roman" w:cs="Times New Roman"/>
                  <w:sz w:val="20"/>
                  <w:szCs w:val="20"/>
                </w:rPr>
                <w:t>Certification of the Company’s Chief Financial Officer, Glenn G. Cohen, pursuant to Section 302 of the Sarbanes-Oxle</w:t>
              </w:r>
              <w:r>
                <w:rPr>
                  <w:rStyle w:val="a4"/>
                  <w:rFonts w:ascii="Times New Roman" w:hAnsi="Times New Roman" w:cs="Times New Roman"/>
                  <w:sz w:val="20"/>
                  <w:szCs w:val="20"/>
                </w:rPr>
                <w:t>y Act of 2002.</w:t>
              </w:r>
            </w:hyperlink>
          </w:p>
        </w:tc>
      </w:tr>
      <w:tr w:rsidR="00000000">
        <w:trPr>
          <w:tblCellSpacing w:w="0" w:type="dxa"/>
        </w:trPr>
        <w:tc>
          <w:tcPr>
            <w:tcW w:w="180" w:type="pct"/>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85" w:type="pct"/>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32.1</w:t>
            </w:r>
          </w:p>
        </w:tc>
        <w:tc>
          <w:tcPr>
            <w:tcW w:w="4230" w:type="pct"/>
            <w:hideMark/>
          </w:tcPr>
          <w:p w:rsidR="00000000" w:rsidRDefault="008E203B">
            <w:pPr>
              <w:pStyle w:val="a3"/>
              <w:spacing w:before="0" w:beforeAutospacing="0" w:after="0" w:afterAutospacing="0"/>
              <w:rPr>
                <w:rFonts w:ascii="Times New Roman" w:hAnsi="Times New Roman" w:cs="Times New Roman"/>
                <w:sz w:val="20"/>
                <w:szCs w:val="20"/>
              </w:rPr>
            </w:pPr>
            <w:hyperlink r:id="rId6" w:history="1">
              <w:r>
                <w:rPr>
                  <w:rStyle w:val="a4"/>
                  <w:rFonts w:ascii="Times New Roman" w:hAnsi="Times New Roman" w:cs="Times New Roman"/>
                  <w:sz w:val="20"/>
                  <w:szCs w:val="20"/>
                </w:rPr>
                <w:t>Certification of the Company’s Chief Executive Officer, Conor C. Flynn, and the Company’s Chief Financial Officer, Glenn G. Cohen, pursuant to Section 906 of the Sarbanes-Oxley Act of 2002.</w:t>
              </w:r>
            </w:hyperlink>
          </w:p>
        </w:tc>
      </w:tr>
      <w:tr w:rsidR="00000000">
        <w:trPr>
          <w:tblCellSpacing w:w="0" w:type="dxa"/>
        </w:trPr>
        <w:tc>
          <w:tcPr>
            <w:tcW w:w="180" w:type="pct"/>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85" w:type="pct"/>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101.INS</w:t>
            </w:r>
          </w:p>
        </w:tc>
        <w:tc>
          <w:tcPr>
            <w:tcW w:w="4230" w:type="pct"/>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X</w:t>
            </w:r>
            <w:r>
              <w:rPr>
                <w:rFonts w:ascii="Times New Roman" w:hAnsi="Times New Roman" w:cs="Times New Roman"/>
                <w:sz w:val="20"/>
                <w:szCs w:val="20"/>
              </w:rPr>
              <w:t>BRL Instance Document</w:t>
            </w:r>
          </w:p>
        </w:tc>
      </w:tr>
      <w:tr w:rsidR="00000000">
        <w:trPr>
          <w:tblCellSpacing w:w="0" w:type="dxa"/>
        </w:trPr>
        <w:tc>
          <w:tcPr>
            <w:tcW w:w="180" w:type="pct"/>
            <w:hideMark/>
          </w:tcPr>
          <w:p w:rsidR="00000000" w:rsidRDefault="008E203B">
            <w:pPr>
              <w:rPr>
                <w:rFonts w:ascii="Times New Roman" w:hAnsi="Times New Roman" w:cs="Times New Roman"/>
                <w:sz w:val="20"/>
                <w:szCs w:val="20"/>
              </w:rPr>
            </w:pPr>
            <w:r>
              <w:rPr>
                <w:rFonts w:ascii="Times New Roman" w:hAnsi="Times New Roman" w:cs="Times New Roman"/>
                <w:sz w:val="20"/>
                <w:szCs w:val="20"/>
              </w:rPr>
              <w:t> </w:t>
            </w:r>
          </w:p>
        </w:tc>
        <w:tc>
          <w:tcPr>
            <w:tcW w:w="585" w:type="pct"/>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101.SCH</w:t>
            </w:r>
          </w:p>
        </w:tc>
        <w:tc>
          <w:tcPr>
            <w:tcW w:w="4230" w:type="pct"/>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XBRL Taxonomy Extension Schema</w:t>
            </w:r>
          </w:p>
        </w:tc>
      </w:tr>
      <w:tr w:rsidR="00000000">
        <w:trPr>
          <w:tblCellSpacing w:w="0" w:type="dxa"/>
        </w:trPr>
        <w:tc>
          <w:tcPr>
            <w:tcW w:w="180" w:type="pct"/>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85" w:type="pct"/>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101.CAL</w:t>
            </w:r>
          </w:p>
        </w:tc>
        <w:tc>
          <w:tcPr>
            <w:tcW w:w="4230" w:type="pct"/>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XBRL Taxonomy Extension Calculation Linkbase</w:t>
            </w:r>
          </w:p>
        </w:tc>
      </w:tr>
      <w:tr w:rsidR="00000000">
        <w:trPr>
          <w:tblCellSpacing w:w="0" w:type="dxa"/>
        </w:trPr>
        <w:tc>
          <w:tcPr>
            <w:tcW w:w="180" w:type="pct"/>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85" w:type="pct"/>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101.DEF</w:t>
            </w:r>
          </w:p>
        </w:tc>
        <w:tc>
          <w:tcPr>
            <w:tcW w:w="4230" w:type="pct"/>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XBRL Taxonomy Extension Definition Linkbase</w:t>
            </w:r>
          </w:p>
        </w:tc>
      </w:tr>
      <w:tr w:rsidR="00000000">
        <w:trPr>
          <w:tblCellSpacing w:w="0" w:type="dxa"/>
        </w:trPr>
        <w:tc>
          <w:tcPr>
            <w:tcW w:w="180" w:type="pct"/>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85" w:type="pct"/>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101.LAB</w:t>
            </w:r>
          </w:p>
        </w:tc>
        <w:tc>
          <w:tcPr>
            <w:tcW w:w="4230" w:type="pct"/>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XBRL Taxonomy Extension Label Linkbase</w:t>
            </w:r>
          </w:p>
        </w:tc>
      </w:tr>
      <w:tr w:rsidR="00000000">
        <w:trPr>
          <w:tblCellSpacing w:w="0" w:type="dxa"/>
        </w:trPr>
        <w:tc>
          <w:tcPr>
            <w:tcW w:w="180" w:type="pct"/>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85" w:type="pct"/>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101.PRE</w:t>
            </w:r>
          </w:p>
        </w:tc>
        <w:tc>
          <w:tcPr>
            <w:tcW w:w="4230" w:type="pct"/>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XBRL Taxonomy Extension Presentation Linkbase</w:t>
            </w:r>
          </w:p>
        </w:tc>
      </w:tr>
    </w:tbl>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p w:rsidR="00000000" w:rsidRDefault="008E203B">
      <w:pPr>
        <w:jc w:val="center"/>
        <w:divId w:val="611786210"/>
        <w:rPr>
          <w:rFonts w:ascii="Times New Roman" w:hAnsi="Times New Roman" w:cs="Times New Roman"/>
          <w:sz w:val="20"/>
          <w:szCs w:val="20"/>
        </w:rPr>
      </w:pPr>
      <w:r>
        <w:rPr>
          <w:rFonts w:ascii="Times New Roman" w:hAnsi="Times New Roman" w:cs="Times New Roman"/>
          <w:sz w:val="20"/>
          <w:szCs w:val="20"/>
        </w:rPr>
        <w:t>33</w:t>
      </w:r>
    </w:p>
    <w:p w:rsidR="00000000" w:rsidRDefault="008E203B">
      <w:pPr>
        <w:divId w:val="611786210"/>
        <w:rPr>
          <w:rFonts w:ascii="Times New Roman" w:hAnsi="Times New Roman" w:cs="Times New Roman"/>
          <w:sz w:val="20"/>
          <w:szCs w:val="20"/>
        </w:rPr>
      </w:pPr>
      <w:r>
        <w:rPr>
          <w:rFonts w:ascii="Times New Roman" w:hAnsi="Times New Roman" w:cs="Times New Roman"/>
          <w:sz w:val="20"/>
          <w:szCs w:val="20"/>
        </w:rPr>
        <w:pict>
          <v:rect id="_x0000_i1061" style="width:415.3pt;height:1.5pt" o:hralign="center" o:hrstd="t" o:hrnoshade="t" o:hr="t" fillcolor="black" stroked="f"/>
        </w:pict>
      </w:r>
    </w:p>
    <w:p w:rsidR="00000000" w:rsidRDefault="008E203B">
      <w:pPr>
        <w:divId w:val="611786210"/>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jc w:val="center"/>
        <w:rPr>
          <w:rFonts w:ascii="Times New Roman" w:hAnsi="Times New Roman" w:cs="Times New Roman"/>
          <w:sz w:val="20"/>
          <w:szCs w:val="20"/>
        </w:rPr>
      </w:pPr>
      <w:bookmarkStart w:id="18" w:name="sigs"/>
      <w:bookmarkEnd w:id="18"/>
      <w:r>
        <w:rPr>
          <w:rFonts w:ascii="Times New Roman" w:hAnsi="Times New Roman" w:cs="Times New Roman"/>
          <w:b/>
          <w:bCs/>
          <w:sz w:val="20"/>
          <w:szCs w:val="20"/>
        </w:rPr>
        <w:t>SIGNATURES</w:t>
      </w:r>
    </w:p>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Pursuant to the requirements of the Securities Exchange Act of 1934, the registrant has duly caused this report to be signed on its behalf by the undersigned thereunto duly authorized.</w:t>
      </w:r>
    </w:p>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br/>
        <w:t> </w:t>
      </w:r>
    </w:p>
    <w:tbl>
      <w:tblPr>
        <w:tblW w:w="5000" w:type="pct"/>
        <w:tblCellSpacing w:w="0" w:type="dxa"/>
        <w:tblCellMar>
          <w:left w:w="0" w:type="dxa"/>
          <w:right w:w="0" w:type="dxa"/>
        </w:tblCellMar>
        <w:tblLook w:val="04A0" w:firstRow="1" w:lastRow="0" w:firstColumn="1" w:lastColumn="0" w:noHBand="0" w:noVBand="1"/>
      </w:tblPr>
      <w:tblGrid>
        <w:gridCol w:w="1687"/>
        <w:gridCol w:w="1204"/>
        <w:gridCol w:w="2043"/>
        <w:gridCol w:w="3372"/>
      </w:tblGrid>
      <w:tr w:rsidR="00000000">
        <w:trPr>
          <w:tblCellSpacing w:w="0" w:type="dxa"/>
        </w:trPr>
        <w:tc>
          <w:tcPr>
            <w:tcW w:w="1015" w:type="pct"/>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725" w:type="pct"/>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1230" w:type="pct"/>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2030" w:type="pct"/>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KIMCO REALTY CORPORATION</w:t>
            </w:r>
          </w:p>
        </w:tc>
      </w:tr>
      <w:tr w:rsidR="00000000">
        <w:trPr>
          <w:tblCellSpacing w:w="0" w:type="dxa"/>
        </w:trPr>
        <w:tc>
          <w:tcPr>
            <w:tcW w:w="1015" w:type="pct"/>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725" w:type="pct"/>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1230" w:type="pct"/>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2030" w:type="pct"/>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r>
      <w:tr w:rsidR="00000000">
        <w:trPr>
          <w:tblCellSpacing w:w="0" w:type="dxa"/>
        </w:trPr>
        <w:tc>
          <w:tcPr>
            <w:tcW w:w="1015" w:type="pct"/>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725" w:type="pct"/>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1230" w:type="pct"/>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2030" w:type="pct"/>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r>
      <w:tr w:rsidR="00000000">
        <w:trPr>
          <w:tblCellSpacing w:w="0" w:type="dxa"/>
        </w:trPr>
        <w:tc>
          <w:tcPr>
            <w:tcW w:w="1015" w:type="pct"/>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725" w:type="pct"/>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r>
              <w:rPr>
                <w:rFonts w:ascii="Times New Roman" w:hAnsi="Times New Roman" w:cs="Times New Roman"/>
                <w:sz w:val="20"/>
                <w:szCs w:val="20"/>
              </w:rPr>
              <w:t> </w:t>
            </w:r>
          </w:p>
        </w:tc>
        <w:tc>
          <w:tcPr>
            <w:tcW w:w="1230" w:type="pct"/>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2030" w:type="pct"/>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r>
      <w:tr w:rsidR="00000000">
        <w:trPr>
          <w:tblCellSpacing w:w="0" w:type="dxa"/>
        </w:trPr>
        <w:tc>
          <w:tcPr>
            <w:tcW w:w="1015" w:type="pct"/>
            <w:tcBorders>
              <w:bottom w:val="single" w:sz="6" w:space="0" w:color="000000"/>
            </w:tcBorders>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May 3, 2019</w:t>
            </w:r>
          </w:p>
        </w:tc>
        <w:tc>
          <w:tcPr>
            <w:tcW w:w="725" w:type="pct"/>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1230" w:type="pct"/>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2030" w:type="pct"/>
            <w:tcBorders>
              <w:bottom w:val="single" w:sz="6" w:space="0" w:color="000000"/>
            </w:tcBorders>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/s/ Conor C. Flynn</w:t>
            </w:r>
          </w:p>
        </w:tc>
      </w:tr>
      <w:tr w:rsidR="00000000">
        <w:trPr>
          <w:tblCellSpacing w:w="0" w:type="dxa"/>
        </w:trPr>
        <w:tc>
          <w:tcPr>
            <w:tcW w:w="1015" w:type="pct"/>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(Date)</w:t>
            </w:r>
          </w:p>
        </w:tc>
        <w:tc>
          <w:tcPr>
            <w:tcW w:w="725" w:type="pct"/>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1230" w:type="pct"/>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2030" w:type="pct"/>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Conor C. Flynn</w:t>
            </w:r>
          </w:p>
        </w:tc>
      </w:tr>
      <w:tr w:rsidR="00000000">
        <w:trPr>
          <w:tblCellSpacing w:w="0" w:type="dxa"/>
        </w:trPr>
        <w:tc>
          <w:tcPr>
            <w:tcW w:w="1015" w:type="pct"/>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725" w:type="pct"/>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1230" w:type="pct"/>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2030" w:type="pct"/>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Chief Executive Officer</w:t>
            </w:r>
          </w:p>
        </w:tc>
      </w:tr>
      <w:tr w:rsidR="00000000">
        <w:trPr>
          <w:tblCellSpacing w:w="0" w:type="dxa"/>
        </w:trPr>
        <w:tc>
          <w:tcPr>
            <w:tcW w:w="1015" w:type="pct"/>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725" w:type="pct"/>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1230" w:type="pct"/>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2030" w:type="pct"/>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r>
      <w:tr w:rsidR="00000000">
        <w:trPr>
          <w:tblCellSpacing w:w="0" w:type="dxa"/>
        </w:trPr>
        <w:tc>
          <w:tcPr>
            <w:tcW w:w="1015" w:type="pct"/>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725" w:type="pct"/>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1230" w:type="pct"/>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2030" w:type="pct"/>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r>
      <w:tr w:rsidR="00000000">
        <w:trPr>
          <w:tblCellSpacing w:w="0" w:type="dxa"/>
        </w:trPr>
        <w:tc>
          <w:tcPr>
            <w:tcW w:w="1015" w:type="pct"/>
            <w:tcBorders>
              <w:bottom w:val="single" w:sz="6" w:space="0" w:color="000000"/>
            </w:tcBorders>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May 3, 2019</w:t>
            </w:r>
          </w:p>
        </w:tc>
        <w:tc>
          <w:tcPr>
            <w:tcW w:w="725" w:type="pct"/>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1230" w:type="pct"/>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2030" w:type="pct"/>
            <w:tcBorders>
              <w:bottom w:val="single" w:sz="6" w:space="0" w:color="000000"/>
            </w:tcBorders>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/s/ Glenn G. Cohen</w:t>
            </w:r>
          </w:p>
        </w:tc>
      </w:tr>
      <w:tr w:rsidR="00000000">
        <w:trPr>
          <w:tblCellSpacing w:w="0" w:type="dxa"/>
        </w:trPr>
        <w:tc>
          <w:tcPr>
            <w:tcW w:w="1015" w:type="pct"/>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(Date)</w:t>
            </w:r>
          </w:p>
        </w:tc>
        <w:tc>
          <w:tcPr>
            <w:tcW w:w="725" w:type="pct"/>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1230" w:type="pct"/>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2030" w:type="pct"/>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Glenn G. Cohen</w:t>
            </w:r>
          </w:p>
        </w:tc>
      </w:tr>
      <w:tr w:rsidR="00000000">
        <w:trPr>
          <w:tblCellSpacing w:w="0" w:type="dxa"/>
        </w:trPr>
        <w:tc>
          <w:tcPr>
            <w:tcW w:w="1015" w:type="pct"/>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725" w:type="pct"/>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1230" w:type="pct"/>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2030" w:type="pct"/>
            <w:hideMark/>
          </w:tcPr>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Chief Financial Officer</w:t>
            </w:r>
          </w:p>
        </w:tc>
      </w:tr>
    </w:tbl>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p w:rsidR="00000000" w:rsidRDefault="008E203B">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p w:rsidR="008E203B" w:rsidRDefault="008E203B">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34</w:t>
      </w:r>
    </w:p>
    <w:sectPr w:rsidR="008E203B">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E203B"/>
    <w:rsid w:val="008E20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04329">
      <w:marLeft w:val="0"/>
      <w:marRight w:val="0"/>
      <w:marTop w:val="0"/>
      <w:marBottom w:val="0"/>
      <w:divBdr>
        <w:top w:val="none" w:sz="0" w:space="0" w:color="auto"/>
        <w:left w:val="none" w:sz="0" w:space="0" w:color="auto"/>
        <w:bottom w:val="none" w:sz="0" w:space="0" w:color="auto"/>
        <w:right w:val="none" w:sz="0" w:space="0" w:color="auto"/>
      </w:divBdr>
      <w:divsChild>
        <w:div w:id="736434978">
          <w:marLeft w:val="0"/>
          <w:marRight w:val="0"/>
          <w:marTop w:val="0"/>
          <w:marBottom w:val="0"/>
          <w:divBdr>
            <w:top w:val="none" w:sz="0" w:space="0" w:color="auto"/>
            <w:left w:val="none" w:sz="0" w:space="0" w:color="auto"/>
            <w:bottom w:val="none" w:sz="0" w:space="0" w:color="auto"/>
            <w:right w:val="none" w:sz="0" w:space="0" w:color="auto"/>
          </w:divBdr>
        </w:div>
        <w:div w:id="1576472057">
          <w:marLeft w:val="0"/>
          <w:marRight w:val="0"/>
          <w:marTop w:val="0"/>
          <w:marBottom w:val="0"/>
          <w:divBdr>
            <w:top w:val="none" w:sz="0" w:space="0" w:color="auto"/>
            <w:left w:val="none" w:sz="0" w:space="0" w:color="auto"/>
            <w:bottom w:val="none" w:sz="0" w:space="0" w:color="auto"/>
            <w:right w:val="none" w:sz="0" w:space="0" w:color="auto"/>
          </w:divBdr>
        </w:div>
      </w:divsChild>
    </w:div>
    <w:div w:id="101728003">
      <w:marLeft w:val="0"/>
      <w:marRight w:val="0"/>
      <w:marTop w:val="0"/>
      <w:marBottom w:val="0"/>
      <w:divBdr>
        <w:top w:val="none" w:sz="0" w:space="0" w:color="auto"/>
        <w:left w:val="none" w:sz="0" w:space="0" w:color="auto"/>
        <w:bottom w:val="none" w:sz="0" w:space="0" w:color="auto"/>
        <w:right w:val="none" w:sz="0" w:space="0" w:color="auto"/>
      </w:divBdr>
    </w:div>
    <w:div w:id="119157438">
      <w:marLeft w:val="0"/>
      <w:marRight w:val="0"/>
      <w:marTop w:val="0"/>
      <w:marBottom w:val="0"/>
      <w:divBdr>
        <w:top w:val="none" w:sz="0" w:space="0" w:color="auto"/>
        <w:left w:val="none" w:sz="0" w:space="0" w:color="auto"/>
        <w:bottom w:val="none" w:sz="0" w:space="0" w:color="auto"/>
        <w:right w:val="none" w:sz="0" w:space="0" w:color="auto"/>
      </w:divBdr>
    </w:div>
    <w:div w:id="217330064">
      <w:marLeft w:val="0"/>
      <w:marRight w:val="0"/>
      <w:marTop w:val="0"/>
      <w:marBottom w:val="0"/>
      <w:divBdr>
        <w:top w:val="none" w:sz="0" w:space="0" w:color="auto"/>
        <w:left w:val="none" w:sz="0" w:space="0" w:color="auto"/>
        <w:bottom w:val="none" w:sz="0" w:space="0" w:color="auto"/>
        <w:right w:val="none" w:sz="0" w:space="0" w:color="auto"/>
      </w:divBdr>
    </w:div>
    <w:div w:id="233509071">
      <w:marLeft w:val="0"/>
      <w:marRight w:val="0"/>
      <w:marTop w:val="0"/>
      <w:marBottom w:val="0"/>
      <w:divBdr>
        <w:top w:val="none" w:sz="0" w:space="0" w:color="auto"/>
        <w:left w:val="none" w:sz="0" w:space="0" w:color="auto"/>
        <w:bottom w:val="none" w:sz="0" w:space="0" w:color="auto"/>
        <w:right w:val="none" w:sz="0" w:space="0" w:color="auto"/>
      </w:divBdr>
    </w:div>
    <w:div w:id="279846650">
      <w:marLeft w:val="0"/>
      <w:marRight w:val="0"/>
      <w:marTop w:val="0"/>
      <w:marBottom w:val="0"/>
      <w:divBdr>
        <w:top w:val="none" w:sz="0" w:space="0" w:color="auto"/>
        <w:left w:val="none" w:sz="0" w:space="0" w:color="auto"/>
        <w:bottom w:val="none" w:sz="0" w:space="0" w:color="auto"/>
        <w:right w:val="none" w:sz="0" w:space="0" w:color="auto"/>
      </w:divBdr>
    </w:div>
    <w:div w:id="281376789">
      <w:marLeft w:val="0"/>
      <w:marRight w:val="0"/>
      <w:marTop w:val="0"/>
      <w:marBottom w:val="0"/>
      <w:divBdr>
        <w:top w:val="none" w:sz="0" w:space="0" w:color="auto"/>
        <w:left w:val="none" w:sz="0" w:space="0" w:color="auto"/>
        <w:bottom w:val="none" w:sz="0" w:space="0" w:color="auto"/>
        <w:right w:val="none" w:sz="0" w:space="0" w:color="auto"/>
      </w:divBdr>
      <w:divsChild>
        <w:div w:id="909075373">
          <w:marLeft w:val="0"/>
          <w:marRight w:val="0"/>
          <w:marTop w:val="0"/>
          <w:marBottom w:val="0"/>
          <w:divBdr>
            <w:top w:val="none" w:sz="0" w:space="0" w:color="auto"/>
            <w:left w:val="none" w:sz="0" w:space="0" w:color="auto"/>
            <w:bottom w:val="none" w:sz="0" w:space="0" w:color="auto"/>
            <w:right w:val="none" w:sz="0" w:space="0" w:color="auto"/>
          </w:divBdr>
        </w:div>
      </w:divsChild>
    </w:div>
    <w:div w:id="291667575">
      <w:marLeft w:val="0"/>
      <w:marRight w:val="0"/>
      <w:marTop w:val="0"/>
      <w:marBottom w:val="0"/>
      <w:divBdr>
        <w:top w:val="none" w:sz="0" w:space="0" w:color="auto"/>
        <w:left w:val="none" w:sz="0" w:space="0" w:color="auto"/>
        <w:bottom w:val="none" w:sz="0" w:space="0" w:color="auto"/>
        <w:right w:val="none" w:sz="0" w:space="0" w:color="auto"/>
      </w:divBdr>
    </w:div>
    <w:div w:id="322468201">
      <w:marLeft w:val="0"/>
      <w:marRight w:val="0"/>
      <w:marTop w:val="0"/>
      <w:marBottom w:val="0"/>
      <w:divBdr>
        <w:top w:val="none" w:sz="0" w:space="0" w:color="auto"/>
        <w:left w:val="none" w:sz="0" w:space="0" w:color="auto"/>
        <w:bottom w:val="none" w:sz="0" w:space="0" w:color="auto"/>
        <w:right w:val="none" w:sz="0" w:space="0" w:color="auto"/>
      </w:divBdr>
      <w:divsChild>
        <w:div w:id="1601259315">
          <w:marLeft w:val="0"/>
          <w:marRight w:val="0"/>
          <w:marTop w:val="0"/>
          <w:marBottom w:val="0"/>
          <w:divBdr>
            <w:top w:val="none" w:sz="0" w:space="0" w:color="auto"/>
            <w:left w:val="none" w:sz="0" w:space="0" w:color="auto"/>
            <w:bottom w:val="none" w:sz="0" w:space="0" w:color="auto"/>
            <w:right w:val="none" w:sz="0" w:space="0" w:color="auto"/>
          </w:divBdr>
        </w:div>
      </w:divsChild>
    </w:div>
    <w:div w:id="326790121">
      <w:marLeft w:val="0"/>
      <w:marRight w:val="0"/>
      <w:marTop w:val="0"/>
      <w:marBottom w:val="0"/>
      <w:divBdr>
        <w:top w:val="none" w:sz="0" w:space="0" w:color="auto"/>
        <w:left w:val="none" w:sz="0" w:space="0" w:color="auto"/>
        <w:bottom w:val="none" w:sz="0" w:space="0" w:color="auto"/>
        <w:right w:val="none" w:sz="0" w:space="0" w:color="auto"/>
      </w:divBdr>
    </w:div>
    <w:div w:id="448014065">
      <w:marLeft w:val="0"/>
      <w:marRight w:val="0"/>
      <w:marTop w:val="0"/>
      <w:marBottom w:val="0"/>
      <w:divBdr>
        <w:top w:val="none" w:sz="0" w:space="0" w:color="auto"/>
        <w:left w:val="none" w:sz="0" w:space="0" w:color="auto"/>
        <w:bottom w:val="none" w:sz="0" w:space="0" w:color="auto"/>
        <w:right w:val="none" w:sz="0" w:space="0" w:color="auto"/>
      </w:divBdr>
    </w:div>
    <w:div w:id="476992596">
      <w:marLeft w:val="0"/>
      <w:marRight w:val="0"/>
      <w:marTop w:val="0"/>
      <w:marBottom w:val="0"/>
      <w:divBdr>
        <w:top w:val="none" w:sz="0" w:space="0" w:color="auto"/>
        <w:left w:val="none" w:sz="0" w:space="0" w:color="auto"/>
        <w:bottom w:val="none" w:sz="0" w:space="0" w:color="auto"/>
        <w:right w:val="none" w:sz="0" w:space="0" w:color="auto"/>
      </w:divBdr>
      <w:divsChild>
        <w:div w:id="1101679750">
          <w:marLeft w:val="0"/>
          <w:marRight w:val="0"/>
          <w:marTop w:val="0"/>
          <w:marBottom w:val="0"/>
          <w:divBdr>
            <w:top w:val="none" w:sz="0" w:space="0" w:color="auto"/>
            <w:left w:val="none" w:sz="0" w:space="0" w:color="auto"/>
            <w:bottom w:val="none" w:sz="0" w:space="0" w:color="auto"/>
            <w:right w:val="none" w:sz="0" w:space="0" w:color="auto"/>
          </w:divBdr>
        </w:div>
        <w:div w:id="1844007398">
          <w:marLeft w:val="0"/>
          <w:marRight w:val="0"/>
          <w:marTop w:val="0"/>
          <w:marBottom w:val="0"/>
          <w:divBdr>
            <w:top w:val="none" w:sz="0" w:space="0" w:color="auto"/>
            <w:left w:val="none" w:sz="0" w:space="0" w:color="auto"/>
            <w:bottom w:val="none" w:sz="0" w:space="0" w:color="auto"/>
            <w:right w:val="none" w:sz="0" w:space="0" w:color="auto"/>
          </w:divBdr>
        </w:div>
        <w:div w:id="244387061">
          <w:marLeft w:val="0"/>
          <w:marRight w:val="0"/>
          <w:marTop w:val="0"/>
          <w:marBottom w:val="0"/>
          <w:divBdr>
            <w:top w:val="none" w:sz="0" w:space="0" w:color="auto"/>
            <w:left w:val="none" w:sz="0" w:space="0" w:color="auto"/>
            <w:bottom w:val="none" w:sz="0" w:space="0" w:color="auto"/>
            <w:right w:val="none" w:sz="0" w:space="0" w:color="auto"/>
          </w:divBdr>
        </w:div>
        <w:div w:id="346828210">
          <w:marLeft w:val="0"/>
          <w:marRight w:val="0"/>
          <w:marTop w:val="0"/>
          <w:marBottom w:val="0"/>
          <w:divBdr>
            <w:top w:val="none" w:sz="0" w:space="0" w:color="auto"/>
            <w:left w:val="none" w:sz="0" w:space="0" w:color="auto"/>
            <w:bottom w:val="none" w:sz="0" w:space="0" w:color="auto"/>
            <w:right w:val="none" w:sz="0" w:space="0" w:color="auto"/>
          </w:divBdr>
        </w:div>
      </w:divsChild>
    </w:div>
    <w:div w:id="484783256">
      <w:marLeft w:val="0"/>
      <w:marRight w:val="0"/>
      <w:marTop w:val="0"/>
      <w:marBottom w:val="0"/>
      <w:divBdr>
        <w:top w:val="none" w:sz="0" w:space="0" w:color="auto"/>
        <w:left w:val="none" w:sz="0" w:space="0" w:color="auto"/>
        <w:bottom w:val="none" w:sz="0" w:space="0" w:color="auto"/>
        <w:right w:val="none" w:sz="0" w:space="0" w:color="auto"/>
      </w:divBdr>
      <w:divsChild>
        <w:div w:id="1801529154">
          <w:marLeft w:val="0"/>
          <w:marRight w:val="0"/>
          <w:marTop w:val="0"/>
          <w:marBottom w:val="0"/>
          <w:divBdr>
            <w:top w:val="none" w:sz="0" w:space="0" w:color="auto"/>
            <w:left w:val="none" w:sz="0" w:space="0" w:color="auto"/>
            <w:bottom w:val="none" w:sz="0" w:space="0" w:color="auto"/>
            <w:right w:val="none" w:sz="0" w:space="0" w:color="auto"/>
          </w:divBdr>
        </w:div>
      </w:divsChild>
    </w:div>
    <w:div w:id="493885361">
      <w:marLeft w:val="0"/>
      <w:marRight w:val="0"/>
      <w:marTop w:val="0"/>
      <w:marBottom w:val="0"/>
      <w:divBdr>
        <w:top w:val="none" w:sz="0" w:space="0" w:color="auto"/>
        <w:left w:val="none" w:sz="0" w:space="0" w:color="auto"/>
        <w:bottom w:val="none" w:sz="0" w:space="0" w:color="auto"/>
        <w:right w:val="none" w:sz="0" w:space="0" w:color="auto"/>
      </w:divBdr>
    </w:div>
    <w:div w:id="496577121">
      <w:marLeft w:val="0"/>
      <w:marRight w:val="0"/>
      <w:marTop w:val="0"/>
      <w:marBottom w:val="0"/>
      <w:divBdr>
        <w:top w:val="none" w:sz="0" w:space="0" w:color="auto"/>
        <w:left w:val="none" w:sz="0" w:space="0" w:color="auto"/>
        <w:bottom w:val="none" w:sz="0" w:space="0" w:color="auto"/>
        <w:right w:val="none" w:sz="0" w:space="0" w:color="auto"/>
      </w:divBdr>
      <w:divsChild>
        <w:div w:id="136192100">
          <w:marLeft w:val="0"/>
          <w:marRight w:val="0"/>
          <w:marTop w:val="0"/>
          <w:marBottom w:val="0"/>
          <w:divBdr>
            <w:top w:val="none" w:sz="0" w:space="0" w:color="auto"/>
            <w:left w:val="none" w:sz="0" w:space="0" w:color="auto"/>
            <w:bottom w:val="none" w:sz="0" w:space="0" w:color="auto"/>
            <w:right w:val="none" w:sz="0" w:space="0" w:color="auto"/>
          </w:divBdr>
        </w:div>
        <w:div w:id="611939526">
          <w:marLeft w:val="0"/>
          <w:marRight w:val="0"/>
          <w:marTop w:val="0"/>
          <w:marBottom w:val="0"/>
          <w:divBdr>
            <w:top w:val="none" w:sz="0" w:space="0" w:color="auto"/>
            <w:left w:val="none" w:sz="0" w:space="0" w:color="auto"/>
            <w:bottom w:val="none" w:sz="0" w:space="0" w:color="auto"/>
            <w:right w:val="none" w:sz="0" w:space="0" w:color="auto"/>
          </w:divBdr>
        </w:div>
        <w:div w:id="2049867302">
          <w:marLeft w:val="0"/>
          <w:marRight w:val="0"/>
          <w:marTop w:val="0"/>
          <w:marBottom w:val="0"/>
          <w:divBdr>
            <w:top w:val="none" w:sz="0" w:space="0" w:color="auto"/>
            <w:left w:val="none" w:sz="0" w:space="0" w:color="auto"/>
            <w:bottom w:val="none" w:sz="0" w:space="0" w:color="auto"/>
            <w:right w:val="none" w:sz="0" w:space="0" w:color="auto"/>
          </w:divBdr>
        </w:div>
      </w:divsChild>
    </w:div>
    <w:div w:id="503473612">
      <w:marLeft w:val="0"/>
      <w:marRight w:val="0"/>
      <w:marTop w:val="0"/>
      <w:marBottom w:val="0"/>
      <w:divBdr>
        <w:top w:val="none" w:sz="0" w:space="0" w:color="auto"/>
        <w:left w:val="none" w:sz="0" w:space="0" w:color="auto"/>
        <w:bottom w:val="none" w:sz="0" w:space="0" w:color="auto"/>
        <w:right w:val="none" w:sz="0" w:space="0" w:color="auto"/>
      </w:divBdr>
    </w:div>
    <w:div w:id="530457910">
      <w:marLeft w:val="0"/>
      <w:marRight w:val="0"/>
      <w:marTop w:val="0"/>
      <w:marBottom w:val="0"/>
      <w:divBdr>
        <w:top w:val="none" w:sz="0" w:space="0" w:color="auto"/>
        <w:left w:val="none" w:sz="0" w:space="0" w:color="auto"/>
        <w:bottom w:val="none" w:sz="0" w:space="0" w:color="auto"/>
        <w:right w:val="none" w:sz="0" w:space="0" w:color="auto"/>
      </w:divBdr>
    </w:div>
    <w:div w:id="611786210">
      <w:marLeft w:val="0"/>
      <w:marRight w:val="0"/>
      <w:marTop w:val="0"/>
      <w:marBottom w:val="0"/>
      <w:divBdr>
        <w:top w:val="none" w:sz="0" w:space="0" w:color="auto"/>
        <w:left w:val="none" w:sz="0" w:space="0" w:color="auto"/>
        <w:bottom w:val="none" w:sz="0" w:space="0" w:color="auto"/>
        <w:right w:val="none" w:sz="0" w:space="0" w:color="auto"/>
      </w:divBdr>
    </w:div>
    <w:div w:id="640884401">
      <w:marLeft w:val="0"/>
      <w:marRight w:val="0"/>
      <w:marTop w:val="0"/>
      <w:marBottom w:val="0"/>
      <w:divBdr>
        <w:top w:val="none" w:sz="0" w:space="0" w:color="auto"/>
        <w:left w:val="none" w:sz="0" w:space="0" w:color="auto"/>
        <w:bottom w:val="none" w:sz="0" w:space="0" w:color="auto"/>
        <w:right w:val="none" w:sz="0" w:space="0" w:color="auto"/>
      </w:divBdr>
    </w:div>
    <w:div w:id="652955016">
      <w:marLeft w:val="0"/>
      <w:marRight w:val="0"/>
      <w:marTop w:val="0"/>
      <w:marBottom w:val="0"/>
      <w:divBdr>
        <w:top w:val="none" w:sz="0" w:space="0" w:color="auto"/>
        <w:left w:val="none" w:sz="0" w:space="0" w:color="auto"/>
        <w:bottom w:val="none" w:sz="0" w:space="0" w:color="auto"/>
        <w:right w:val="none" w:sz="0" w:space="0" w:color="auto"/>
      </w:divBdr>
    </w:div>
    <w:div w:id="735781098">
      <w:marLeft w:val="0"/>
      <w:marRight w:val="0"/>
      <w:marTop w:val="0"/>
      <w:marBottom w:val="0"/>
      <w:divBdr>
        <w:top w:val="none" w:sz="0" w:space="0" w:color="auto"/>
        <w:left w:val="none" w:sz="0" w:space="0" w:color="auto"/>
        <w:bottom w:val="none" w:sz="0" w:space="0" w:color="auto"/>
        <w:right w:val="none" w:sz="0" w:space="0" w:color="auto"/>
      </w:divBdr>
    </w:div>
    <w:div w:id="752434846">
      <w:marLeft w:val="0"/>
      <w:marRight w:val="0"/>
      <w:marTop w:val="0"/>
      <w:marBottom w:val="0"/>
      <w:divBdr>
        <w:top w:val="none" w:sz="0" w:space="0" w:color="auto"/>
        <w:left w:val="none" w:sz="0" w:space="0" w:color="auto"/>
        <w:bottom w:val="none" w:sz="0" w:space="0" w:color="auto"/>
        <w:right w:val="none" w:sz="0" w:space="0" w:color="auto"/>
      </w:divBdr>
    </w:div>
    <w:div w:id="768428560">
      <w:marLeft w:val="0"/>
      <w:marRight w:val="0"/>
      <w:marTop w:val="0"/>
      <w:marBottom w:val="0"/>
      <w:divBdr>
        <w:top w:val="none" w:sz="0" w:space="0" w:color="auto"/>
        <w:left w:val="none" w:sz="0" w:space="0" w:color="auto"/>
        <w:bottom w:val="none" w:sz="0" w:space="0" w:color="auto"/>
        <w:right w:val="none" w:sz="0" w:space="0" w:color="auto"/>
      </w:divBdr>
    </w:div>
    <w:div w:id="852453833">
      <w:marLeft w:val="0"/>
      <w:marRight w:val="0"/>
      <w:marTop w:val="0"/>
      <w:marBottom w:val="0"/>
      <w:divBdr>
        <w:top w:val="none" w:sz="0" w:space="0" w:color="auto"/>
        <w:left w:val="none" w:sz="0" w:space="0" w:color="auto"/>
        <w:bottom w:val="none" w:sz="0" w:space="0" w:color="auto"/>
        <w:right w:val="none" w:sz="0" w:space="0" w:color="auto"/>
      </w:divBdr>
    </w:div>
    <w:div w:id="878855823">
      <w:marLeft w:val="0"/>
      <w:marRight w:val="0"/>
      <w:marTop w:val="0"/>
      <w:marBottom w:val="0"/>
      <w:divBdr>
        <w:top w:val="none" w:sz="0" w:space="0" w:color="auto"/>
        <w:left w:val="none" w:sz="0" w:space="0" w:color="auto"/>
        <w:bottom w:val="none" w:sz="0" w:space="0" w:color="auto"/>
        <w:right w:val="none" w:sz="0" w:space="0" w:color="auto"/>
      </w:divBdr>
    </w:div>
    <w:div w:id="979502406">
      <w:marLeft w:val="0"/>
      <w:marRight w:val="0"/>
      <w:marTop w:val="0"/>
      <w:marBottom w:val="0"/>
      <w:divBdr>
        <w:top w:val="none" w:sz="0" w:space="0" w:color="auto"/>
        <w:left w:val="none" w:sz="0" w:space="0" w:color="auto"/>
        <w:bottom w:val="none" w:sz="0" w:space="0" w:color="auto"/>
        <w:right w:val="none" w:sz="0" w:space="0" w:color="auto"/>
      </w:divBdr>
    </w:div>
    <w:div w:id="987979091">
      <w:marLeft w:val="0"/>
      <w:marRight w:val="0"/>
      <w:marTop w:val="0"/>
      <w:marBottom w:val="0"/>
      <w:divBdr>
        <w:top w:val="none" w:sz="0" w:space="0" w:color="auto"/>
        <w:left w:val="none" w:sz="0" w:space="0" w:color="auto"/>
        <w:bottom w:val="none" w:sz="0" w:space="0" w:color="auto"/>
        <w:right w:val="none" w:sz="0" w:space="0" w:color="auto"/>
      </w:divBdr>
    </w:div>
    <w:div w:id="999697180">
      <w:marLeft w:val="0"/>
      <w:marRight w:val="0"/>
      <w:marTop w:val="0"/>
      <w:marBottom w:val="0"/>
      <w:divBdr>
        <w:top w:val="none" w:sz="0" w:space="0" w:color="auto"/>
        <w:left w:val="none" w:sz="0" w:space="0" w:color="auto"/>
        <w:bottom w:val="none" w:sz="0" w:space="0" w:color="auto"/>
        <w:right w:val="none" w:sz="0" w:space="0" w:color="auto"/>
      </w:divBdr>
    </w:div>
    <w:div w:id="1027408373">
      <w:marLeft w:val="0"/>
      <w:marRight w:val="0"/>
      <w:marTop w:val="0"/>
      <w:marBottom w:val="0"/>
      <w:divBdr>
        <w:top w:val="none" w:sz="0" w:space="0" w:color="auto"/>
        <w:left w:val="none" w:sz="0" w:space="0" w:color="auto"/>
        <w:bottom w:val="none" w:sz="0" w:space="0" w:color="auto"/>
        <w:right w:val="none" w:sz="0" w:space="0" w:color="auto"/>
      </w:divBdr>
    </w:div>
    <w:div w:id="1141120768">
      <w:marLeft w:val="0"/>
      <w:marRight w:val="0"/>
      <w:marTop w:val="0"/>
      <w:marBottom w:val="0"/>
      <w:divBdr>
        <w:top w:val="none" w:sz="0" w:space="0" w:color="auto"/>
        <w:left w:val="none" w:sz="0" w:space="0" w:color="auto"/>
        <w:bottom w:val="none" w:sz="0" w:space="0" w:color="auto"/>
        <w:right w:val="none" w:sz="0" w:space="0" w:color="auto"/>
      </w:divBdr>
      <w:divsChild>
        <w:div w:id="1978342406">
          <w:marLeft w:val="0"/>
          <w:marRight w:val="0"/>
          <w:marTop w:val="0"/>
          <w:marBottom w:val="0"/>
          <w:divBdr>
            <w:top w:val="none" w:sz="0" w:space="0" w:color="auto"/>
            <w:left w:val="none" w:sz="0" w:space="0" w:color="auto"/>
            <w:bottom w:val="none" w:sz="0" w:space="0" w:color="auto"/>
            <w:right w:val="none" w:sz="0" w:space="0" w:color="auto"/>
          </w:divBdr>
        </w:div>
        <w:div w:id="495540897">
          <w:marLeft w:val="0"/>
          <w:marRight w:val="0"/>
          <w:marTop w:val="0"/>
          <w:marBottom w:val="0"/>
          <w:divBdr>
            <w:top w:val="none" w:sz="0" w:space="0" w:color="auto"/>
            <w:left w:val="none" w:sz="0" w:space="0" w:color="auto"/>
            <w:bottom w:val="none" w:sz="0" w:space="0" w:color="auto"/>
            <w:right w:val="none" w:sz="0" w:space="0" w:color="auto"/>
          </w:divBdr>
        </w:div>
        <w:div w:id="2108381732">
          <w:marLeft w:val="0"/>
          <w:marRight w:val="0"/>
          <w:marTop w:val="0"/>
          <w:marBottom w:val="0"/>
          <w:divBdr>
            <w:top w:val="none" w:sz="0" w:space="0" w:color="auto"/>
            <w:left w:val="none" w:sz="0" w:space="0" w:color="auto"/>
            <w:bottom w:val="none" w:sz="0" w:space="0" w:color="auto"/>
            <w:right w:val="none" w:sz="0" w:space="0" w:color="auto"/>
          </w:divBdr>
        </w:div>
        <w:div w:id="544216901">
          <w:marLeft w:val="0"/>
          <w:marRight w:val="0"/>
          <w:marTop w:val="0"/>
          <w:marBottom w:val="0"/>
          <w:divBdr>
            <w:top w:val="none" w:sz="0" w:space="0" w:color="auto"/>
            <w:left w:val="none" w:sz="0" w:space="0" w:color="auto"/>
            <w:bottom w:val="none" w:sz="0" w:space="0" w:color="auto"/>
            <w:right w:val="none" w:sz="0" w:space="0" w:color="auto"/>
          </w:divBdr>
        </w:div>
      </w:divsChild>
    </w:div>
    <w:div w:id="1165902278">
      <w:marLeft w:val="0"/>
      <w:marRight w:val="0"/>
      <w:marTop w:val="0"/>
      <w:marBottom w:val="0"/>
      <w:divBdr>
        <w:top w:val="none" w:sz="0" w:space="0" w:color="auto"/>
        <w:left w:val="none" w:sz="0" w:space="0" w:color="auto"/>
        <w:bottom w:val="none" w:sz="0" w:space="0" w:color="auto"/>
        <w:right w:val="none" w:sz="0" w:space="0" w:color="auto"/>
      </w:divBdr>
    </w:div>
    <w:div w:id="1175799300">
      <w:marLeft w:val="0"/>
      <w:marRight w:val="0"/>
      <w:marTop w:val="0"/>
      <w:marBottom w:val="0"/>
      <w:divBdr>
        <w:top w:val="none" w:sz="0" w:space="0" w:color="auto"/>
        <w:left w:val="none" w:sz="0" w:space="0" w:color="auto"/>
        <w:bottom w:val="none" w:sz="0" w:space="0" w:color="auto"/>
        <w:right w:val="none" w:sz="0" w:space="0" w:color="auto"/>
      </w:divBdr>
    </w:div>
    <w:div w:id="1264874115">
      <w:marLeft w:val="0"/>
      <w:marRight w:val="0"/>
      <w:marTop w:val="0"/>
      <w:marBottom w:val="0"/>
      <w:divBdr>
        <w:top w:val="none" w:sz="0" w:space="0" w:color="auto"/>
        <w:left w:val="none" w:sz="0" w:space="0" w:color="auto"/>
        <w:bottom w:val="none" w:sz="0" w:space="0" w:color="auto"/>
        <w:right w:val="none" w:sz="0" w:space="0" w:color="auto"/>
      </w:divBdr>
    </w:div>
    <w:div w:id="1292204778">
      <w:marLeft w:val="0"/>
      <w:marRight w:val="0"/>
      <w:marTop w:val="0"/>
      <w:marBottom w:val="0"/>
      <w:divBdr>
        <w:top w:val="none" w:sz="0" w:space="0" w:color="auto"/>
        <w:left w:val="none" w:sz="0" w:space="0" w:color="auto"/>
        <w:bottom w:val="none" w:sz="0" w:space="0" w:color="auto"/>
        <w:right w:val="none" w:sz="0" w:space="0" w:color="auto"/>
      </w:divBdr>
    </w:div>
    <w:div w:id="1320041956">
      <w:marLeft w:val="0"/>
      <w:marRight w:val="0"/>
      <w:marTop w:val="0"/>
      <w:marBottom w:val="0"/>
      <w:divBdr>
        <w:top w:val="none" w:sz="0" w:space="0" w:color="auto"/>
        <w:left w:val="none" w:sz="0" w:space="0" w:color="auto"/>
        <w:bottom w:val="none" w:sz="0" w:space="0" w:color="auto"/>
        <w:right w:val="none" w:sz="0" w:space="0" w:color="auto"/>
      </w:divBdr>
    </w:div>
    <w:div w:id="1402485280">
      <w:marLeft w:val="0"/>
      <w:marRight w:val="0"/>
      <w:marTop w:val="0"/>
      <w:marBottom w:val="0"/>
      <w:divBdr>
        <w:top w:val="none" w:sz="0" w:space="0" w:color="auto"/>
        <w:left w:val="none" w:sz="0" w:space="0" w:color="auto"/>
        <w:bottom w:val="none" w:sz="0" w:space="0" w:color="auto"/>
        <w:right w:val="none" w:sz="0" w:space="0" w:color="auto"/>
      </w:divBdr>
    </w:div>
    <w:div w:id="1469202981">
      <w:marLeft w:val="0"/>
      <w:marRight w:val="0"/>
      <w:marTop w:val="0"/>
      <w:marBottom w:val="0"/>
      <w:divBdr>
        <w:top w:val="none" w:sz="0" w:space="0" w:color="auto"/>
        <w:left w:val="none" w:sz="0" w:space="0" w:color="auto"/>
        <w:bottom w:val="none" w:sz="0" w:space="0" w:color="auto"/>
        <w:right w:val="none" w:sz="0" w:space="0" w:color="auto"/>
      </w:divBdr>
    </w:div>
    <w:div w:id="1472166278">
      <w:marLeft w:val="0"/>
      <w:marRight w:val="0"/>
      <w:marTop w:val="0"/>
      <w:marBottom w:val="0"/>
      <w:divBdr>
        <w:top w:val="none" w:sz="0" w:space="0" w:color="auto"/>
        <w:left w:val="none" w:sz="0" w:space="0" w:color="auto"/>
        <w:bottom w:val="none" w:sz="0" w:space="0" w:color="auto"/>
        <w:right w:val="none" w:sz="0" w:space="0" w:color="auto"/>
      </w:divBdr>
    </w:div>
    <w:div w:id="1482114578">
      <w:marLeft w:val="0"/>
      <w:marRight w:val="0"/>
      <w:marTop w:val="0"/>
      <w:marBottom w:val="0"/>
      <w:divBdr>
        <w:top w:val="none" w:sz="0" w:space="0" w:color="auto"/>
        <w:left w:val="none" w:sz="0" w:space="0" w:color="auto"/>
        <w:bottom w:val="none" w:sz="0" w:space="0" w:color="auto"/>
        <w:right w:val="none" w:sz="0" w:space="0" w:color="auto"/>
      </w:divBdr>
      <w:divsChild>
        <w:div w:id="882133694">
          <w:marLeft w:val="0"/>
          <w:marRight w:val="0"/>
          <w:marTop w:val="0"/>
          <w:marBottom w:val="0"/>
          <w:divBdr>
            <w:top w:val="none" w:sz="0" w:space="0" w:color="auto"/>
            <w:left w:val="none" w:sz="0" w:space="0" w:color="auto"/>
            <w:bottom w:val="none" w:sz="0" w:space="0" w:color="auto"/>
            <w:right w:val="none" w:sz="0" w:space="0" w:color="auto"/>
          </w:divBdr>
        </w:div>
        <w:div w:id="809440065">
          <w:marLeft w:val="0"/>
          <w:marRight w:val="0"/>
          <w:marTop w:val="0"/>
          <w:marBottom w:val="0"/>
          <w:divBdr>
            <w:top w:val="none" w:sz="0" w:space="0" w:color="auto"/>
            <w:left w:val="none" w:sz="0" w:space="0" w:color="auto"/>
            <w:bottom w:val="none" w:sz="0" w:space="0" w:color="auto"/>
            <w:right w:val="none" w:sz="0" w:space="0" w:color="auto"/>
          </w:divBdr>
        </w:div>
        <w:div w:id="987199701">
          <w:marLeft w:val="0"/>
          <w:marRight w:val="0"/>
          <w:marTop w:val="0"/>
          <w:marBottom w:val="0"/>
          <w:divBdr>
            <w:top w:val="none" w:sz="0" w:space="0" w:color="auto"/>
            <w:left w:val="none" w:sz="0" w:space="0" w:color="auto"/>
            <w:bottom w:val="none" w:sz="0" w:space="0" w:color="auto"/>
            <w:right w:val="none" w:sz="0" w:space="0" w:color="auto"/>
          </w:divBdr>
        </w:div>
        <w:div w:id="1728649864">
          <w:marLeft w:val="0"/>
          <w:marRight w:val="0"/>
          <w:marTop w:val="0"/>
          <w:marBottom w:val="0"/>
          <w:divBdr>
            <w:top w:val="none" w:sz="0" w:space="0" w:color="auto"/>
            <w:left w:val="none" w:sz="0" w:space="0" w:color="auto"/>
            <w:bottom w:val="none" w:sz="0" w:space="0" w:color="auto"/>
            <w:right w:val="none" w:sz="0" w:space="0" w:color="auto"/>
          </w:divBdr>
        </w:div>
        <w:div w:id="131219048">
          <w:marLeft w:val="0"/>
          <w:marRight w:val="0"/>
          <w:marTop w:val="0"/>
          <w:marBottom w:val="0"/>
          <w:divBdr>
            <w:top w:val="none" w:sz="0" w:space="0" w:color="auto"/>
            <w:left w:val="none" w:sz="0" w:space="0" w:color="auto"/>
            <w:bottom w:val="none" w:sz="0" w:space="0" w:color="auto"/>
            <w:right w:val="none" w:sz="0" w:space="0" w:color="auto"/>
          </w:divBdr>
        </w:div>
        <w:div w:id="2022007848">
          <w:marLeft w:val="0"/>
          <w:marRight w:val="0"/>
          <w:marTop w:val="0"/>
          <w:marBottom w:val="0"/>
          <w:divBdr>
            <w:top w:val="none" w:sz="0" w:space="0" w:color="auto"/>
            <w:left w:val="none" w:sz="0" w:space="0" w:color="auto"/>
            <w:bottom w:val="none" w:sz="0" w:space="0" w:color="auto"/>
            <w:right w:val="none" w:sz="0" w:space="0" w:color="auto"/>
          </w:divBdr>
        </w:div>
      </w:divsChild>
    </w:div>
    <w:div w:id="1574856880">
      <w:marLeft w:val="0"/>
      <w:marRight w:val="0"/>
      <w:marTop w:val="0"/>
      <w:marBottom w:val="0"/>
      <w:divBdr>
        <w:top w:val="none" w:sz="0" w:space="0" w:color="auto"/>
        <w:left w:val="none" w:sz="0" w:space="0" w:color="auto"/>
        <w:bottom w:val="none" w:sz="0" w:space="0" w:color="auto"/>
        <w:right w:val="none" w:sz="0" w:space="0" w:color="auto"/>
      </w:divBdr>
      <w:divsChild>
        <w:div w:id="440993459">
          <w:marLeft w:val="0"/>
          <w:marRight w:val="0"/>
          <w:marTop w:val="0"/>
          <w:marBottom w:val="0"/>
          <w:divBdr>
            <w:top w:val="none" w:sz="0" w:space="0" w:color="auto"/>
            <w:left w:val="none" w:sz="0" w:space="0" w:color="auto"/>
            <w:bottom w:val="none" w:sz="0" w:space="0" w:color="auto"/>
            <w:right w:val="none" w:sz="0" w:space="0" w:color="auto"/>
          </w:divBdr>
        </w:div>
      </w:divsChild>
    </w:div>
    <w:div w:id="1587615435">
      <w:marLeft w:val="0"/>
      <w:marRight w:val="0"/>
      <w:marTop w:val="0"/>
      <w:marBottom w:val="0"/>
      <w:divBdr>
        <w:top w:val="none" w:sz="0" w:space="0" w:color="auto"/>
        <w:left w:val="none" w:sz="0" w:space="0" w:color="auto"/>
        <w:bottom w:val="none" w:sz="0" w:space="0" w:color="auto"/>
        <w:right w:val="none" w:sz="0" w:space="0" w:color="auto"/>
      </w:divBdr>
    </w:div>
    <w:div w:id="1588339851">
      <w:marLeft w:val="0"/>
      <w:marRight w:val="0"/>
      <w:marTop w:val="0"/>
      <w:marBottom w:val="0"/>
      <w:divBdr>
        <w:top w:val="none" w:sz="0" w:space="0" w:color="auto"/>
        <w:left w:val="none" w:sz="0" w:space="0" w:color="auto"/>
        <w:bottom w:val="none" w:sz="0" w:space="0" w:color="auto"/>
        <w:right w:val="none" w:sz="0" w:space="0" w:color="auto"/>
      </w:divBdr>
    </w:div>
    <w:div w:id="1593584240">
      <w:marLeft w:val="0"/>
      <w:marRight w:val="0"/>
      <w:marTop w:val="0"/>
      <w:marBottom w:val="0"/>
      <w:divBdr>
        <w:top w:val="none" w:sz="0" w:space="0" w:color="auto"/>
        <w:left w:val="none" w:sz="0" w:space="0" w:color="auto"/>
        <w:bottom w:val="none" w:sz="0" w:space="0" w:color="auto"/>
        <w:right w:val="none" w:sz="0" w:space="0" w:color="auto"/>
      </w:divBdr>
    </w:div>
    <w:div w:id="1599828737">
      <w:marLeft w:val="0"/>
      <w:marRight w:val="0"/>
      <w:marTop w:val="0"/>
      <w:marBottom w:val="0"/>
      <w:divBdr>
        <w:top w:val="none" w:sz="0" w:space="0" w:color="auto"/>
        <w:left w:val="none" w:sz="0" w:space="0" w:color="auto"/>
        <w:bottom w:val="none" w:sz="0" w:space="0" w:color="auto"/>
        <w:right w:val="none" w:sz="0" w:space="0" w:color="auto"/>
      </w:divBdr>
      <w:divsChild>
        <w:div w:id="1699695423">
          <w:marLeft w:val="0"/>
          <w:marRight w:val="0"/>
          <w:marTop w:val="0"/>
          <w:marBottom w:val="0"/>
          <w:divBdr>
            <w:top w:val="none" w:sz="0" w:space="0" w:color="auto"/>
            <w:left w:val="none" w:sz="0" w:space="0" w:color="auto"/>
            <w:bottom w:val="none" w:sz="0" w:space="0" w:color="auto"/>
            <w:right w:val="none" w:sz="0" w:space="0" w:color="auto"/>
          </w:divBdr>
        </w:div>
      </w:divsChild>
    </w:div>
    <w:div w:id="1639258368">
      <w:marLeft w:val="0"/>
      <w:marRight w:val="0"/>
      <w:marTop w:val="0"/>
      <w:marBottom w:val="0"/>
      <w:divBdr>
        <w:top w:val="none" w:sz="0" w:space="0" w:color="auto"/>
        <w:left w:val="none" w:sz="0" w:space="0" w:color="auto"/>
        <w:bottom w:val="none" w:sz="0" w:space="0" w:color="auto"/>
        <w:right w:val="none" w:sz="0" w:space="0" w:color="auto"/>
      </w:divBdr>
    </w:div>
    <w:div w:id="1725980678">
      <w:marLeft w:val="0"/>
      <w:marRight w:val="0"/>
      <w:marTop w:val="0"/>
      <w:marBottom w:val="0"/>
      <w:divBdr>
        <w:top w:val="none" w:sz="0" w:space="0" w:color="auto"/>
        <w:left w:val="none" w:sz="0" w:space="0" w:color="auto"/>
        <w:bottom w:val="none" w:sz="0" w:space="0" w:color="auto"/>
        <w:right w:val="none" w:sz="0" w:space="0" w:color="auto"/>
      </w:divBdr>
    </w:div>
    <w:div w:id="1735855152">
      <w:marLeft w:val="0"/>
      <w:marRight w:val="0"/>
      <w:marTop w:val="0"/>
      <w:marBottom w:val="0"/>
      <w:divBdr>
        <w:top w:val="none" w:sz="0" w:space="0" w:color="auto"/>
        <w:left w:val="none" w:sz="0" w:space="0" w:color="auto"/>
        <w:bottom w:val="none" w:sz="0" w:space="0" w:color="auto"/>
        <w:right w:val="none" w:sz="0" w:space="0" w:color="auto"/>
      </w:divBdr>
    </w:div>
    <w:div w:id="1772118619">
      <w:marLeft w:val="0"/>
      <w:marRight w:val="0"/>
      <w:marTop w:val="0"/>
      <w:marBottom w:val="0"/>
      <w:divBdr>
        <w:top w:val="none" w:sz="0" w:space="0" w:color="auto"/>
        <w:left w:val="none" w:sz="0" w:space="0" w:color="auto"/>
        <w:bottom w:val="none" w:sz="0" w:space="0" w:color="auto"/>
        <w:right w:val="none" w:sz="0" w:space="0" w:color="auto"/>
      </w:divBdr>
    </w:div>
    <w:div w:id="1780368082">
      <w:marLeft w:val="0"/>
      <w:marRight w:val="0"/>
      <w:marTop w:val="0"/>
      <w:marBottom w:val="0"/>
      <w:divBdr>
        <w:top w:val="none" w:sz="0" w:space="0" w:color="auto"/>
        <w:left w:val="none" w:sz="0" w:space="0" w:color="auto"/>
        <w:bottom w:val="none" w:sz="0" w:space="0" w:color="auto"/>
        <w:right w:val="none" w:sz="0" w:space="0" w:color="auto"/>
      </w:divBdr>
    </w:div>
    <w:div w:id="1806266754">
      <w:marLeft w:val="0"/>
      <w:marRight w:val="0"/>
      <w:marTop w:val="0"/>
      <w:marBottom w:val="0"/>
      <w:divBdr>
        <w:top w:val="none" w:sz="0" w:space="0" w:color="auto"/>
        <w:left w:val="none" w:sz="0" w:space="0" w:color="auto"/>
        <w:bottom w:val="none" w:sz="0" w:space="0" w:color="auto"/>
        <w:right w:val="none" w:sz="0" w:space="0" w:color="auto"/>
      </w:divBdr>
    </w:div>
    <w:div w:id="1821535154">
      <w:marLeft w:val="0"/>
      <w:marRight w:val="0"/>
      <w:marTop w:val="0"/>
      <w:marBottom w:val="0"/>
      <w:divBdr>
        <w:top w:val="none" w:sz="0" w:space="0" w:color="auto"/>
        <w:left w:val="none" w:sz="0" w:space="0" w:color="auto"/>
        <w:bottom w:val="none" w:sz="0" w:space="0" w:color="auto"/>
        <w:right w:val="none" w:sz="0" w:space="0" w:color="auto"/>
      </w:divBdr>
    </w:div>
    <w:div w:id="1827893205">
      <w:marLeft w:val="0"/>
      <w:marRight w:val="0"/>
      <w:marTop w:val="0"/>
      <w:marBottom w:val="0"/>
      <w:divBdr>
        <w:top w:val="none" w:sz="0" w:space="0" w:color="auto"/>
        <w:left w:val="none" w:sz="0" w:space="0" w:color="auto"/>
        <w:bottom w:val="none" w:sz="0" w:space="0" w:color="auto"/>
        <w:right w:val="none" w:sz="0" w:space="0" w:color="auto"/>
      </w:divBdr>
    </w:div>
    <w:div w:id="1828326571">
      <w:marLeft w:val="0"/>
      <w:marRight w:val="0"/>
      <w:marTop w:val="0"/>
      <w:marBottom w:val="0"/>
      <w:divBdr>
        <w:top w:val="none" w:sz="0" w:space="0" w:color="auto"/>
        <w:left w:val="none" w:sz="0" w:space="0" w:color="auto"/>
        <w:bottom w:val="none" w:sz="0" w:space="0" w:color="auto"/>
        <w:right w:val="none" w:sz="0" w:space="0" w:color="auto"/>
      </w:divBdr>
    </w:div>
    <w:div w:id="1890531221">
      <w:marLeft w:val="0"/>
      <w:marRight w:val="0"/>
      <w:marTop w:val="0"/>
      <w:marBottom w:val="0"/>
      <w:divBdr>
        <w:top w:val="none" w:sz="0" w:space="0" w:color="auto"/>
        <w:left w:val="none" w:sz="0" w:space="0" w:color="auto"/>
        <w:bottom w:val="none" w:sz="0" w:space="0" w:color="auto"/>
        <w:right w:val="none" w:sz="0" w:space="0" w:color="auto"/>
      </w:divBdr>
    </w:div>
    <w:div w:id="1900894211">
      <w:marLeft w:val="0"/>
      <w:marRight w:val="0"/>
      <w:marTop w:val="0"/>
      <w:marBottom w:val="0"/>
      <w:divBdr>
        <w:top w:val="none" w:sz="0" w:space="0" w:color="auto"/>
        <w:left w:val="none" w:sz="0" w:space="0" w:color="auto"/>
        <w:bottom w:val="none" w:sz="0" w:space="0" w:color="auto"/>
        <w:right w:val="none" w:sz="0" w:space="0" w:color="auto"/>
      </w:divBdr>
      <w:divsChild>
        <w:div w:id="1256481403">
          <w:marLeft w:val="0"/>
          <w:marRight w:val="0"/>
          <w:marTop w:val="0"/>
          <w:marBottom w:val="0"/>
          <w:divBdr>
            <w:top w:val="none" w:sz="0" w:space="0" w:color="auto"/>
            <w:left w:val="none" w:sz="0" w:space="0" w:color="auto"/>
            <w:bottom w:val="none" w:sz="0" w:space="0" w:color="auto"/>
            <w:right w:val="none" w:sz="0" w:space="0" w:color="auto"/>
          </w:divBdr>
        </w:div>
        <w:div w:id="1064450361">
          <w:marLeft w:val="0"/>
          <w:marRight w:val="0"/>
          <w:marTop w:val="0"/>
          <w:marBottom w:val="0"/>
          <w:divBdr>
            <w:top w:val="none" w:sz="0" w:space="0" w:color="auto"/>
            <w:left w:val="none" w:sz="0" w:space="0" w:color="auto"/>
            <w:bottom w:val="none" w:sz="0" w:space="0" w:color="auto"/>
            <w:right w:val="none" w:sz="0" w:space="0" w:color="auto"/>
          </w:divBdr>
        </w:div>
        <w:div w:id="1796361888">
          <w:marLeft w:val="0"/>
          <w:marRight w:val="0"/>
          <w:marTop w:val="0"/>
          <w:marBottom w:val="0"/>
          <w:divBdr>
            <w:top w:val="none" w:sz="0" w:space="0" w:color="auto"/>
            <w:left w:val="none" w:sz="0" w:space="0" w:color="auto"/>
            <w:bottom w:val="none" w:sz="0" w:space="0" w:color="auto"/>
            <w:right w:val="none" w:sz="0" w:space="0" w:color="auto"/>
          </w:divBdr>
        </w:div>
      </w:divsChild>
    </w:div>
    <w:div w:id="1921139300">
      <w:marLeft w:val="0"/>
      <w:marRight w:val="0"/>
      <w:marTop w:val="0"/>
      <w:marBottom w:val="0"/>
      <w:divBdr>
        <w:top w:val="none" w:sz="0" w:space="0" w:color="auto"/>
        <w:left w:val="none" w:sz="0" w:space="0" w:color="auto"/>
        <w:bottom w:val="none" w:sz="0" w:space="0" w:color="auto"/>
        <w:right w:val="none" w:sz="0" w:space="0" w:color="auto"/>
      </w:divBdr>
    </w:div>
    <w:div w:id="1932617020">
      <w:marLeft w:val="0"/>
      <w:marRight w:val="0"/>
      <w:marTop w:val="0"/>
      <w:marBottom w:val="0"/>
      <w:divBdr>
        <w:top w:val="none" w:sz="0" w:space="0" w:color="auto"/>
        <w:left w:val="none" w:sz="0" w:space="0" w:color="auto"/>
        <w:bottom w:val="none" w:sz="0" w:space="0" w:color="auto"/>
        <w:right w:val="none" w:sz="0" w:space="0" w:color="auto"/>
      </w:divBdr>
    </w:div>
    <w:div w:id="1941180690">
      <w:marLeft w:val="0"/>
      <w:marRight w:val="0"/>
      <w:marTop w:val="0"/>
      <w:marBottom w:val="0"/>
      <w:divBdr>
        <w:top w:val="none" w:sz="0" w:space="0" w:color="auto"/>
        <w:left w:val="none" w:sz="0" w:space="0" w:color="auto"/>
        <w:bottom w:val="none" w:sz="0" w:space="0" w:color="auto"/>
        <w:right w:val="none" w:sz="0" w:space="0" w:color="auto"/>
      </w:divBdr>
      <w:divsChild>
        <w:div w:id="1618677869">
          <w:marLeft w:val="0"/>
          <w:marRight w:val="0"/>
          <w:marTop w:val="0"/>
          <w:marBottom w:val="0"/>
          <w:divBdr>
            <w:top w:val="none" w:sz="0" w:space="0" w:color="auto"/>
            <w:left w:val="none" w:sz="0" w:space="0" w:color="auto"/>
            <w:bottom w:val="none" w:sz="0" w:space="0" w:color="auto"/>
            <w:right w:val="none" w:sz="0" w:space="0" w:color="auto"/>
          </w:divBdr>
        </w:div>
        <w:div w:id="594827355">
          <w:marLeft w:val="0"/>
          <w:marRight w:val="0"/>
          <w:marTop w:val="0"/>
          <w:marBottom w:val="0"/>
          <w:divBdr>
            <w:top w:val="none" w:sz="0" w:space="0" w:color="auto"/>
            <w:left w:val="none" w:sz="0" w:space="0" w:color="auto"/>
            <w:bottom w:val="none" w:sz="0" w:space="0" w:color="auto"/>
            <w:right w:val="none" w:sz="0" w:space="0" w:color="auto"/>
          </w:divBdr>
        </w:div>
        <w:div w:id="493571850">
          <w:marLeft w:val="0"/>
          <w:marRight w:val="0"/>
          <w:marTop w:val="0"/>
          <w:marBottom w:val="0"/>
          <w:divBdr>
            <w:top w:val="none" w:sz="0" w:space="0" w:color="auto"/>
            <w:left w:val="none" w:sz="0" w:space="0" w:color="auto"/>
            <w:bottom w:val="none" w:sz="0" w:space="0" w:color="auto"/>
            <w:right w:val="none" w:sz="0" w:space="0" w:color="auto"/>
          </w:divBdr>
        </w:div>
        <w:div w:id="592321309">
          <w:marLeft w:val="0"/>
          <w:marRight w:val="0"/>
          <w:marTop w:val="0"/>
          <w:marBottom w:val="0"/>
          <w:divBdr>
            <w:top w:val="none" w:sz="0" w:space="0" w:color="auto"/>
            <w:left w:val="none" w:sz="0" w:space="0" w:color="auto"/>
            <w:bottom w:val="none" w:sz="0" w:space="0" w:color="auto"/>
            <w:right w:val="none" w:sz="0" w:space="0" w:color="auto"/>
          </w:divBdr>
        </w:div>
      </w:divsChild>
    </w:div>
    <w:div w:id="1953315463">
      <w:marLeft w:val="0"/>
      <w:marRight w:val="0"/>
      <w:marTop w:val="0"/>
      <w:marBottom w:val="0"/>
      <w:divBdr>
        <w:top w:val="none" w:sz="0" w:space="0" w:color="auto"/>
        <w:left w:val="none" w:sz="0" w:space="0" w:color="auto"/>
        <w:bottom w:val="none" w:sz="0" w:space="0" w:color="auto"/>
        <w:right w:val="none" w:sz="0" w:space="0" w:color="auto"/>
      </w:divBdr>
    </w:div>
    <w:div w:id="1965232417">
      <w:marLeft w:val="0"/>
      <w:marRight w:val="0"/>
      <w:marTop w:val="0"/>
      <w:marBottom w:val="0"/>
      <w:divBdr>
        <w:top w:val="none" w:sz="0" w:space="0" w:color="auto"/>
        <w:left w:val="none" w:sz="0" w:space="0" w:color="auto"/>
        <w:bottom w:val="none" w:sz="0" w:space="0" w:color="auto"/>
        <w:right w:val="none" w:sz="0" w:space="0" w:color="auto"/>
      </w:divBdr>
    </w:div>
    <w:div w:id="1984235034">
      <w:marLeft w:val="0"/>
      <w:marRight w:val="0"/>
      <w:marTop w:val="0"/>
      <w:marBottom w:val="0"/>
      <w:divBdr>
        <w:top w:val="none" w:sz="0" w:space="0" w:color="auto"/>
        <w:left w:val="none" w:sz="0" w:space="0" w:color="auto"/>
        <w:bottom w:val="none" w:sz="0" w:space="0" w:color="auto"/>
        <w:right w:val="none" w:sz="0" w:space="0" w:color="auto"/>
      </w:divBdr>
    </w:div>
    <w:div w:id="2028826360">
      <w:marLeft w:val="0"/>
      <w:marRight w:val="0"/>
      <w:marTop w:val="0"/>
      <w:marBottom w:val="0"/>
      <w:divBdr>
        <w:top w:val="none" w:sz="0" w:space="0" w:color="auto"/>
        <w:left w:val="none" w:sz="0" w:space="0" w:color="auto"/>
        <w:bottom w:val="none" w:sz="0" w:space="0" w:color="auto"/>
        <w:right w:val="none" w:sz="0" w:space="0" w:color="auto"/>
      </w:divBdr>
      <w:divsChild>
        <w:div w:id="231550071">
          <w:marLeft w:val="0"/>
          <w:marRight w:val="0"/>
          <w:marTop w:val="0"/>
          <w:marBottom w:val="0"/>
          <w:divBdr>
            <w:top w:val="none" w:sz="0" w:space="0" w:color="auto"/>
            <w:left w:val="none" w:sz="0" w:space="0" w:color="auto"/>
            <w:bottom w:val="none" w:sz="0" w:space="0" w:color="auto"/>
            <w:right w:val="none" w:sz="0" w:space="0" w:color="auto"/>
          </w:divBdr>
        </w:div>
      </w:divsChild>
    </w:div>
    <w:div w:id="2033876194">
      <w:marLeft w:val="0"/>
      <w:marRight w:val="0"/>
      <w:marTop w:val="0"/>
      <w:marBottom w:val="0"/>
      <w:divBdr>
        <w:top w:val="none" w:sz="0" w:space="0" w:color="auto"/>
        <w:left w:val="none" w:sz="0" w:space="0" w:color="auto"/>
        <w:bottom w:val="none" w:sz="0" w:space="0" w:color="auto"/>
        <w:right w:val="none" w:sz="0" w:space="0" w:color="auto"/>
      </w:divBdr>
      <w:divsChild>
        <w:div w:id="1392340619">
          <w:marLeft w:val="0"/>
          <w:marRight w:val="0"/>
          <w:marTop w:val="0"/>
          <w:marBottom w:val="0"/>
          <w:divBdr>
            <w:top w:val="none" w:sz="0" w:space="0" w:color="auto"/>
            <w:left w:val="none" w:sz="0" w:space="0" w:color="auto"/>
            <w:bottom w:val="none" w:sz="0" w:space="0" w:color="auto"/>
            <w:right w:val="none" w:sz="0" w:space="0" w:color="auto"/>
          </w:divBdr>
        </w:div>
        <w:div w:id="75134470">
          <w:marLeft w:val="0"/>
          <w:marRight w:val="0"/>
          <w:marTop w:val="0"/>
          <w:marBottom w:val="0"/>
          <w:divBdr>
            <w:top w:val="none" w:sz="0" w:space="0" w:color="auto"/>
            <w:left w:val="none" w:sz="0" w:space="0" w:color="auto"/>
            <w:bottom w:val="none" w:sz="0" w:space="0" w:color="auto"/>
            <w:right w:val="none" w:sz="0" w:space="0" w:color="auto"/>
          </w:divBdr>
        </w:div>
      </w:divsChild>
    </w:div>
    <w:div w:id="2061245044">
      <w:marLeft w:val="0"/>
      <w:marRight w:val="0"/>
      <w:marTop w:val="0"/>
      <w:marBottom w:val="0"/>
      <w:divBdr>
        <w:top w:val="none" w:sz="0" w:space="0" w:color="auto"/>
        <w:left w:val="none" w:sz="0" w:space="0" w:color="auto"/>
        <w:bottom w:val="none" w:sz="0" w:space="0" w:color="auto"/>
        <w:right w:val="none" w:sz="0" w:space="0" w:color="auto"/>
      </w:divBdr>
      <w:divsChild>
        <w:div w:id="1983385161">
          <w:marLeft w:val="0"/>
          <w:marRight w:val="0"/>
          <w:marTop w:val="0"/>
          <w:marBottom w:val="0"/>
          <w:divBdr>
            <w:top w:val="none" w:sz="0" w:space="0" w:color="auto"/>
            <w:left w:val="none" w:sz="0" w:space="0" w:color="auto"/>
            <w:bottom w:val="none" w:sz="0" w:space="0" w:color="auto"/>
            <w:right w:val="none" w:sz="0" w:space="0" w:color="auto"/>
          </w:divBdr>
        </w:div>
        <w:div w:id="1492866050">
          <w:marLeft w:val="0"/>
          <w:marRight w:val="0"/>
          <w:marTop w:val="0"/>
          <w:marBottom w:val="0"/>
          <w:divBdr>
            <w:top w:val="none" w:sz="0" w:space="0" w:color="auto"/>
            <w:left w:val="none" w:sz="0" w:space="0" w:color="auto"/>
            <w:bottom w:val="none" w:sz="0" w:space="0" w:color="auto"/>
            <w:right w:val="none" w:sz="0" w:space="0" w:color="auto"/>
          </w:divBdr>
        </w:div>
      </w:divsChild>
    </w:div>
    <w:div w:id="2126537700">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ex_141300.htm" TargetMode="External"/><Relationship Id="rId5" Type="http://schemas.openxmlformats.org/officeDocument/2006/relationships/hyperlink" Target="ex_141299.htm" TargetMode="External"/><Relationship Id="rId4" Type="http://schemas.openxmlformats.org/officeDocument/2006/relationships/hyperlink" Target="ex_141298.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20487</Words>
  <Characters>116780</Characters>
  <Application>Microsoft Office Word</Application>
  <DocSecurity>0</DocSecurity>
  <Lines>973</Lines>
  <Paragraphs>273</Paragraphs>
  <ScaleCrop>false</ScaleCrop>
  <Company/>
  <LinksUpToDate>false</LinksUpToDate>
  <CharactersWithSpaces>136994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kim20190331_10q.htm</dc:title>
  <dc:subject/>
  <dc:creator>Chongjian.Yue</dc:creator>
  <cp:keywords/>
  <dc:description/>
  <cp:lastModifiedBy>Yue Chongjian</cp:lastModifiedBy>
  <cp:revision>1</cp:revision>
  <dcterms:created xsi:type="dcterms:W3CDTF">2024-01-04T15:48:00Z</dcterms:created>
  <dcterms:modified xsi:type="dcterms:W3CDTF">2024-01-04T15:48:00Z</dcterms:modified>
</cp:coreProperties>
</file>