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DD07" w14:textId="77777777" w:rsidR="00000000" w:rsidRDefault="00527094">
      <w:pPr>
        <w:divId w:val="640036477"/>
        <w:rPr>
          <w:rFonts w:eastAsia="Times New Roman"/>
          <w:vanish/>
          <w:sz w:val="20"/>
          <w:szCs w:val="20"/>
        </w:rPr>
      </w:pPr>
      <w:r>
        <w:rPr>
          <w:rFonts w:eastAsia="Times New Roman"/>
          <w:vanish/>
          <w:sz w:val="20"/>
          <w:szCs w:val="20"/>
        </w:rPr>
        <w:t>one0000879101falseKIMCO REALTY CORPfalse--12-31Q22019falsefalsetruefalse2,426,9242,385,287227,980239,012145,075143,1861.001.005,996,2405,996,24042,58042,58042,58042,5801,064,5001,064,5000101750,000,000750,000,000422,094,230421,388,879</w:t>
      </w:r>
      <w:r>
        <w:rPr>
          <w:rFonts w:eastAsia="Times New Roman"/>
          <w:vanish/>
          <w:sz w:val="20"/>
          <w:szCs w:val="20"/>
        </w:rPr>
        <w:t>422,094,230421,388,8796,6808,1991,53154600008791012019-01-012019-06-300000879101kim:CommonStock1Member2019-01-012019-06-300000879101kim:ClassICumulativeRedeemablePreferredStockMember2019-01-012019-06-300000879101kim:FivePointFiveClassJCumulativeRedeemableP</w:t>
      </w:r>
      <w:r>
        <w:rPr>
          <w:rFonts w:eastAsia="Times New Roman"/>
          <w:vanish/>
          <w:sz w:val="20"/>
          <w:szCs w:val="20"/>
        </w:rPr>
        <w:t>referredStockMember2019-01-012019-06-300000879101kim:FivePointSixTwoFiveClassKCumulativeRedeemablePreferredStockMember2019-01-012019-06-300000879101kim:FivePointOneTwoFiveClassLCumulativeRedeemablePreferredStockMember2019-01-012019-06-300000879101kim:FiveP</w:t>
      </w:r>
      <w:r>
        <w:rPr>
          <w:rFonts w:eastAsia="Times New Roman"/>
          <w:vanish/>
          <w:sz w:val="20"/>
          <w:szCs w:val="20"/>
        </w:rPr>
        <w:t>ointTwoFiveClassMCumulativeRedeemablePreferredStockMember2019-01-012019-06-30xbrli:shares00008791012019-07-15iso4217:USD00008791012019-06-3000008791012018-12-3100008791012019-04-012019-06-3000008791012018-04-012018-06-3000008791012018-01-012018-06-30000087</w:t>
      </w:r>
      <w:r>
        <w:rPr>
          <w:rFonts w:eastAsia="Times New Roman"/>
          <w:vanish/>
          <w:sz w:val="20"/>
          <w:szCs w:val="20"/>
        </w:rPr>
        <w:t>9101kim:JointVenturesMember2019-04-012019-06-300000879101kim:JointVenturesMember2018-04-012018-06-300000879101kim:JointVenturesMember2019-01-012019-06-300000879101kim:JointVenturesMember2018-01-012018-06-300000879101kim:OtherRealEstateInvestmentsMember2019</w:t>
      </w:r>
      <w:r>
        <w:rPr>
          <w:rFonts w:eastAsia="Times New Roman"/>
          <w:vanish/>
          <w:sz w:val="20"/>
          <w:szCs w:val="20"/>
        </w:rPr>
        <w:t>-04-012019-06-300000879101kim:OtherRealEstateInvestmentsMember2018-04-012018-06-300000879101kim:OtherRealEstateInvestmentsMember2019-01-012019-06-300000879101kim:OtherRealEstateInvestmentsMember2018-01-012018-06-30iso4217:USDxbrli:shares0000879101us-gaap:R</w:t>
      </w:r>
      <w:r>
        <w:rPr>
          <w:rFonts w:eastAsia="Times New Roman"/>
          <w:vanish/>
          <w:sz w:val="20"/>
          <w:szCs w:val="20"/>
        </w:rPr>
        <w:t>etainedEarningsMember2018-03-310000879101us-gaap:AccumulatedOtherComprehensiveIncomeMember2018-03-310000879101us-gaap:PreferredStockMember2018-03-310000879101us-gaap:CommonStockMember2018-03-310000879101us-gaap:AdditionalPaidInCapitalMember2018-03-31000087</w:t>
      </w:r>
      <w:r>
        <w:rPr>
          <w:rFonts w:eastAsia="Times New Roman"/>
          <w:vanish/>
          <w:sz w:val="20"/>
          <w:szCs w:val="20"/>
        </w:rPr>
        <w:t>9101us-gaap:ParentMember2018-03-310000879101us-gaap:NoncontrollingInterestMember2018-03-3100008791012018-03-310000879101us-gaap:RetainedEarningsMember2018-04-012018-06-300000879101us-gaap:AccumulatedOtherComprehensiveIncomeMember2018-04-012018-06-300000879</w:t>
      </w:r>
      <w:r>
        <w:rPr>
          <w:rFonts w:eastAsia="Times New Roman"/>
          <w:vanish/>
          <w:sz w:val="20"/>
          <w:szCs w:val="20"/>
        </w:rPr>
        <w:t>101us-gaap:PreferredStockMember2018-04-012018-06-300000879101us-gaap:CommonStockMember2018-04-012018-06-300000879101us-gaap:AdditionalPaidInCapitalMember2018-04-012018-06-300000879101us-gaap:ParentMember2018-04-012018-06-300000879101us-gaap:NoncontrollingI</w:t>
      </w:r>
      <w:r>
        <w:rPr>
          <w:rFonts w:eastAsia="Times New Roman"/>
          <w:vanish/>
          <w:sz w:val="20"/>
          <w:szCs w:val="20"/>
        </w:rPr>
        <w:t>nterestMember2018-04-012018-06-300000879101us-gaap:RetainedEarningsMember2018-06-300000879101us-gaap:AccumulatedOtherComprehensiveIncomeMember2018-06-300000879101us-gaap:PreferredStockMember2018-06-300000879101us-gaap:CommonStockMember2018-06-300000879101u</w:t>
      </w:r>
      <w:r>
        <w:rPr>
          <w:rFonts w:eastAsia="Times New Roman"/>
          <w:vanish/>
          <w:sz w:val="20"/>
          <w:szCs w:val="20"/>
        </w:rPr>
        <w:t>s-gaap:AdditionalPaidInCapitalMember2018-06-300000879101us-gaap:ParentMember2018-06-300000879101us-gaap:NoncontrollingInterestMember2018-06-3000008791012018-06-300000879101us-gaap:RetainedEarningsMember2019-03-310000879101us-gaap:AccumulatedOtherComprehens</w:t>
      </w:r>
      <w:r>
        <w:rPr>
          <w:rFonts w:eastAsia="Times New Roman"/>
          <w:vanish/>
          <w:sz w:val="20"/>
          <w:szCs w:val="20"/>
        </w:rPr>
        <w:t>iveIncomeMember2019-03-310000879101us-gaap:PreferredStockMember2019-03-310000879101us-gaap:CommonStockMember2019-03-310000879101us-gaap:AdditionalPaidInCapitalMember2019-03-310000879101us-gaap:ParentMember2019-03-310000879101us-gaap:NoncontrollingInterestM</w:t>
      </w:r>
      <w:r>
        <w:rPr>
          <w:rFonts w:eastAsia="Times New Roman"/>
          <w:vanish/>
          <w:sz w:val="20"/>
          <w:szCs w:val="20"/>
        </w:rPr>
        <w:t>ember2019-03-3100008791012019-03-310000879101us-gaap:RetainedEarningsMember2019-04-012019-06-300000879101us-gaap:AccumulatedOtherComprehensiveIncomeMember2019-04-012019-06-300000879101us-gaap:PreferredStockMember2019-04-012019-06-300000879101us-gaap:Common</w:t>
      </w:r>
      <w:r>
        <w:rPr>
          <w:rFonts w:eastAsia="Times New Roman"/>
          <w:vanish/>
          <w:sz w:val="20"/>
          <w:szCs w:val="20"/>
        </w:rPr>
        <w:t>StockMember2019-04-012019-06-300000879101us-gaap:AdditionalPaidInCapitalMember2019-04-012019-06-300000879101us-gaap:ParentMember2019-04-012019-06-300000879101us-gaap:NoncontrollingInterestMember2019-04-012019-06-300000879101us-gaap:RetainedEarningsMember20</w:t>
      </w:r>
      <w:r>
        <w:rPr>
          <w:rFonts w:eastAsia="Times New Roman"/>
          <w:vanish/>
          <w:sz w:val="20"/>
          <w:szCs w:val="20"/>
        </w:rPr>
        <w:t>19-06-300000879101us-gaap:AccumulatedOtherComprehensiveIncomeMember2019-06-300000879101us-gaap:PreferredStockMember2019-06-300000879101us-gaap:CommonStockMember2019-06-300000879101us-gaap:AdditionalPaidInCapitalMember2019-06-300000879101us-gaap:ParentMembe</w:t>
      </w:r>
      <w:r>
        <w:rPr>
          <w:rFonts w:eastAsia="Times New Roman"/>
          <w:vanish/>
          <w:sz w:val="20"/>
          <w:szCs w:val="20"/>
        </w:rPr>
        <w:t>r2019-06-300000879101us-gaap:NoncontrollingInterestMember2019-06-300000879101us-gaap:RetainedEarningsMember2017-12-310000879101us-gaap:AccumulatedOtherComprehensiveIncomeMember2017-12-310000879101us-gaap:PreferredStockMember2017-12-310000879101us-gaap:Comm</w:t>
      </w:r>
      <w:r>
        <w:rPr>
          <w:rFonts w:eastAsia="Times New Roman"/>
          <w:vanish/>
          <w:sz w:val="20"/>
          <w:szCs w:val="20"/>
        </w:rPr>
        <w:t>onStockMember2017-12-310000879101us-gaap:AdditionalPaidInCapitalMember2017-12-310000879101us-gaap:ParentMember2017-12-310000879101us-gaap:NoncontrollingInterestMember2017-12-3100008791012017-12-310000879101us-gaap:RetainedEarningsMember2018-01-012018-06-30</w:t>
      </w:r>
      <w:r>
        <w:rPr>
          <w:rFonts w:eastAsia="Times New Roman"/>
          <w:vanish/>
          <w:sz w:val="20"/>
          <w:szCs w:val="20"/>
        </w:rPr>
        <w:t>0000879101us-gaap:AccumulatedOtherComprehensiveIncomeMember2018-01-012018-06-300000879101us-gaap:PreferredStockMember2018-01-012018-06-300000879101us-gaap:CommonStockMember2018-01-012018-06-300000879101us-gaap:AdditionalPaidInCapitalMember2018-01-012018-06</w:t>
      </w:r>
      <w:r>
        <w:rPr>
          <w:rFonts w:eastAsia="Times New Roman"/>
          <w:vanish/>
          <w:sz w:val="20"/>
          <w:szCs w:val="20"/>
        </w:rPr>
        <w:t>-300000879101us-gaap:ParentMember2018-01-012018-06-300000879101us-gaap:NoncontrollingInterestMember2018-01-012018-06-300000879101us-gaap:RetainedEarningsMember2018-12-310000879101us-gaap:AccumulatedOtherComprehensiveIncomeMember2018-12-310000879101us-gaap:</w:t>
      </w:r>
      <w:r>
        <w:rPr>
          <w:rFonts w:eastAsia="Times New Roman"/>
          <w:vanish/>
          <w:sz w:val="20"/>
          <w:szCs w:val="20"/>
        </w:rPr>
        <w:t>PreferredStockMember2018-12-310000879101us-gaap:CommonStockMember2018-12-310000879101us-gaap:AdditionalPaidInCapitalMember2018-12-310000879101us-gaap:ParentMember2018-12-310000879101us-gaap:NoncontrollingInterestMember2018-12-310000879101us-gaap:RetainedEa</w:t>
      </w:r>
      <w:r>
        <w:rPr>
          <w:rFonts w:eastAsia="Times New Roman"/>
          <w:vanish/>
          <w:sz w:val="20"/>
          <w:szCs w:val="20"/>
        </w:rPr>
        <w:t>rningsMember2019-01-012019-06-300000879101us-gaap:AccumulatedOtherComprehensiveIncomeMember2019-01-012019-06-300000879101us-gaap:PreferredStockMember2019-01-012019-06-300000879101us-gaap:CommonStockMember2019-01-012019-06-300000879101us-gaap:AdditionalPaid</w:t>
      </w:r>
      <w:r>
        <w:rPr>
          <w:rFonts w:eastAsia="Times New Roman"/>
          <w:vanish/>
          <w:sz w:val="20"/>
          <w:szCs w:val="20"/>
        </w:rPr>
        <w:t>InCapitalMember2019-01-012019-06-300000879101us-gaap:ParentMember2019-01-012019-06-300000879101us-gaap:NoncontrollingInterestMember2019-01-012019-06-30thunderdome:item0000879101us-gaap:AccountingStandardsUpdate201602Member2019-06-300000879101kim:Reclassifi</w:t>
      </w:r>
      <w:r>
        <w:rPr>
          <w:rFonts w:eastAsia="Times New Roman"/>
          <w:vanish/>
          <w:sz w:val="20"/>
          <w:szCs w:val="20"/>
        </w:rPr>
        <w:t>cationOfReimbursementIncomeFromRevenuesFromRentalPropertiesForThreeMonthsEndedMar312018Member2018-04-012018-06-300000879101kim:ReclassificationOfReimbursementIncomeFromRevenuesFromRentalPropertiesForThreeMonthsEndedMar312018Member2018-01-012018-06-30000087</w:t>
      </w:r>
      <w:r>
        <w:rPr>
          <w:rFonts w:eastAsia="Times New Roman"/>
          <w:vanish/>
          <w:sz w:val="20"/>
          <w:szCs w:val="20"/>
        </w:rPr>
        <w:t>9101kim:OtherRentalPropertyForThreeMonthsEndedMar312018Member2018-04-012018-06-300000879101kim:OtherRentalPropertyForThreeMonthsEndedMar312018Member2018-01-012018-06-300000879101kim:BellCaminoOutparcelMember2019-01-012019-06-30utr:sqft0000879101kim:BellCam</w:t>
      </w:r>
      <w:r>
        <w:rPr>
          <w:rFonts w:eastAsia="Times New Roman"/>
          <w:vanish/>
          <w:sz w:val="20"/>
          <w:szCs w:val="20"/>
        </w:rPr>
        <w:t>inoOutparcelMember2019-06-300000879101kim:GatewayAtDonnerPassOutparcelMember2019-01-012019-06-300000879101kim:GatewayAtDonnerPassOutparcelMember2019-06-300000879101kim:RanchoPenasquitosOutparcelMember2019-01-012019-06-300000879101kim:RanchoPenasquitosOutpa</w:t>
      </w:r>
      <w:r>
        <w:rPr>
          <w:rFonts w:eastAsia="Times New Roman"/>
          <w:vanish/>
          <w:sz w:val="20"/>
          <w:szCs w:val="20"/>
        </w:rPr>
        <w:t>rcelMember2019-06-300000879101us-gaap:LandMember2019-06-300000879101us-gaap:BuildingMember2019-06-30utr:Y0000879101us-gaap:BuildingMember2019-01-012019-06-300000879101us-gaap:BuildingImprovementsMember2019-06-300000879101us-gaap:BuildingImprovementsMember2</w:t>
      </w:r>
      <w:r>
        <w:rPr>
          <w:rFonts w:eastAsia="Times New Roman"/>
          <w:vanish/>
          <w:sz w:val="20"/>
          <w:szCs w:val="20"/>
        </w:rPr>
        <w:t>019-01-012019-06-300000879101kim:TenantImprovementsMember2019-06-300000879101kim:TenantImprovementsMember2019-01-012019-06-300000879101us-gaap:LeasesAcquiredInPlaceMember2019-06-300000879101us-gaap:LeasesAcquiredInPlaceMember2019-01-012019-06-300000879101k</w:t>
      </w:r>
      <w:r>
        <w:rPr>
          <w:rFonts w:eastAsia="Times New Roman"/>
          <w:vanish/>
          <w:sz w:val="20"/>
          <w:szCs w:val="20"/>
        </w:rPr>
        <w:t>im:DispositionActivityRelatingToConsolidatedOperatingPropertiesAndParcelsMember2019-06-300000879101kim:DispositionActivityRelatingToConsolidatedOperatingPropertiesAndParcelsMember2018-06-30xbrli:pure0000879101kim:DispositionActivityRelatingToConsolidatedOp</w:t>
      </w:r>
      <w:r>
        <w:rPr>
          <w:rFonts w:eastAsia="Times New Roman"/>
          <w:vanish/>
          <w:sz w:val="20"/>
          <w:szCs w:val="20"/>
        </w:rPr>
        <w:t>eratingPropertiesAndParcelsMember2019-01-012019-06-300000879101kim:DispositionActivityRelatingToConsolidatedOperatingPropertiesAndParcelsMember2018-01-012018-06-300000879101kim:DaniaPointePhaseIIIIIAndIVMember2019-06-300000879101kim:DaniaPointePhaseIIIIIAn</w:t>
      </w:r>
      <w:r>
        <w:rPr>
          <w:rFonts w:eastAsia="Times New Roman"/>
          <w:vanish/>
          <w:sz w:val="20"/>
          <w:szCs w:val="20"/>
        </w:rPr>
        <w:t>dIVMember2018-12-310000879101kim:MillStationMember2019-06-300000879101kim:MillStationMember2018-12-310000879101kim:PromenadeAtChristianaMember2019-06-300000879101kim:PromenadeAtChristianaMember2018-12-310000879101kim:KimPruandKimPruIIMember2019-06-30000087</w:t>
      </w:r>
      <w:r>
        <w:rPr>
          <w:rFonts w:eastAsia="Times New Roman"/>
          <w:vanish/>
          <w:sz w:val="20"/>
          <w:szCs w:val="20"/>
        </w:rPr>
        <w:t>9101kim:KimPruandKimPruIIMember2018-12-310000879101kim:KimcoIncomeFundMember2019-06-300000879101kim:KimcoIncomeFundMember2018-12-310000879101kim:CPPMember2019-06-300000879101kim:CPPMember2018-12-310000879101kim:OtherJointVentureProgramsMember2019-06-300000</w:t>
      </w:r>
      <w:r>
        <w:rPr>
          <w:rFonts w:eastAsia="Times New Roman"/>
          <w:vanish/>
          <w:sz w:val="20"/>
          <w:szCs w:val="20"/>
        </w:rPr>
        <w:t>879101kim:OtherJointVentureProgramsMember2018-12-310000879101kim:AllEquityMethodInvestmentsMember2019-06-300000879101kim:AllEquityMethodInvestmentsMember2018-12-310000879101kim:KimPruMember2019-06-300000879101kim:KimPruandKimPruIIMember2019-04-012019-06-30</w:t>
      </w:r>
      <w:r>
        <w:rPr>
          <w:rFonts w:eastAsia="Times New Roman"/>
          <w:vanish/>
          <w:sz w:val="20"/>
          <w:szCs w:val="20"/>
        </w:rPr>
        <w:t>0000879101kim:KimPruandKimPruIIMember2018-04-012018-06-300000879101kim:KimPruandKimPruIIMember2019-01-012019-06-300000879101kim:KimPruandKimPruIIMember2018-01-012018-06-300000879101kim:KIRMember2019-04-012019-06-300000879101kim:KIRMember2018-04-012018-06-3</w:t>
      </w:r>
      <w:r>
        <w:rPr>
          <w:rFonts w:eastAsia="Times New Roman"/>
          <w:vanish/>
          <w:sz w:val="20"/>
          <w:szCs w:val="20"/>
        </w:rPr>
        <w:t>00000879101kim:KIRMember2019-01-012019-06-300000879101kim:KIRMember2018-01-012018-06-300000879101kim:CPPMember2019-04-012019-06-300000879101kim:CPPMember2018-04-012018-06-300000879101kim:CPPMember2019-01-012019-06-300000879101kim:CPPMember2018-01-012018-06</w:t>
      </w:r>
      <w:r>
        <w:rPr>
          <w:rFonts w:eastAsia="Times New Roman"/>
          <w:vanish/>
          <w:sz w:val="20"/>
          <w:szCs w:val="20"/>
        </w:rPr>
        <w:t>-300000879101kim:OtherJointVentureProgramsMember2019-04-012019-06-300000879101kim:OtherJointVentureProgramsMember2018-04-012018-06-300000879101kim:OtherJointVentureProgramsMember2019-01-012019-06-300000879101kim:OtherJointVentureProgramsMember2018-01-01201</w:t>
      </w:r>
      <w:r>
        <w:rPr>
          <w:rFonts w:eastAsia="Times New Roman"/>
          <w:vanish/>
          <w:sz w:val="20"/>
          <w:szCs w:val="20"/>
        </w:rPr>
        <w:t>8-06-300000879101kim:OperatingPropertiesMemberkim:RealEstateJointVenturesMember2019-01-012019-06-300000879101kim:OperatingPropertiesMemberkim:RealEstateJointVenturesMember2019-06-300000879101kim:OperatingPropertiesMemberkim:RealEstateJointVenturesMember201</w:t>
      </w:r>
      <w:r>
        <w:rPr>
          <w:rFonts w:eastAsia="Times New Roman"/>
          <w:vanish/>
          <w:sz w:val="20"/>
          <w:szCs w:val="20"/>
        </w:rPr>
        <w:t>8-01-012018-06-300000879101kim:OperatingPropertiesMemberkim:RealEstateJointVenturesMember2018-06-30utr:M0000879101kim:KimPruandKimPruIIMember2018-01-012018-12-310000879101kim:KIRMember2019-06-300000879101kim:KIRMember2018-12-310000879101kim:KIRMember2018-0</w:t>
      </w:r>
      <w:r>
        <w:rPr>
          <w:rFonts w:eastAsia="Times New Roman"/>
          <w:vanish/>
          <w:sz w:val="20"/>
          <w:szCs w:val="20"/>
        </w:rPr>
        <w:t>1-012018-12-310000879101kim:CPPMember2018-01-012018-12-310000879101kim:OtherJointVentureProgramsMember2018-01-012018-12-310000879101kim:MaximumExposureMemberkim:PreferredEquityInvestmentsMember2019-06-300000879101kim:PreferredEquityInvestmentsMember2019-06</w:t>
      </w:r>
      <w:r>
        <w:rPr>
          <w:rFonts w:eastAsia="Times New Roman"/>
          <w:vanish/>
          <w:sz w:val="20"/>
          <w:szCs w:val="20"/>
        </w:rPr>
        <w:t>-300000879101kim:LeasedPropertiesMemberkim:PreferredEquityInvestmentsMember2019-06-300000879101kim:PreferredEquityInvestmentsMember2019-01-012019-06-300000879101kim:PreferredEquityInvestmentsMember2018-01-012018-06-300000879101us-gaap:AccountingStandardsUp</w:t>
      </w:r>
      <w:r>
        <w:rPr>
          <w:rFonts w:eastAsia="Times New Roman"/>
          <w:vanish/>
          <w:sz w:val="20"/>
          <w:szCs w:val="20"/>
        </w:rPr>
        <w:t>date201602Member2019-01-010000879101srt:MinimumMember2019-01-012019-06-300000879101srt:MaximumMember2019-01-012019-06-300000879101srt:MaximumMember2019-06-300000879101kim:MortgageReceivablePaidMay19Member2019-01-012019-06-300000879101kim:MortgageReceivable</w:t>
      </w:r>
      <w:r>
        <w:rPr>
          <w:rFonts w:eastAsia="Times New Roman"/>
          <w:vanish/>
          <w:sz w:val="20"/>
          <w:szCs w:val="20"/>
        </w:rPr>
        <w:t>PaidJune19Member2019-01-012019-06-300000879101kim:SecondMortgageReceivablePaidJune19Member2019-01-012019-06-300000879101kim:OneConsolidatedPropertyClassifiedAsHeldForSaleMember2019-01-012019-06-300000879101us-gaap:RevolvingCreditFacilityMember2019-06-30000</w:t>
      </w:r>
      <w:r>
        <w:rPr>
          <w:rFonts w:eastAsia="Times New Roman"/>
          <w:vanish/>
          <w:sz w:val="20"/>
          <w:szCs w:val="20"/>
        </w:rPr>
        <w:t>0879101us-gaap:LetterOfCreditMember2019-06-300000879101kim:MortgageDebtEncumberedOperatingPropertyMember2019-01-012019-06-300000879101kim:MortgageDebtEncumberedOperatingPropertyMember2019-01-012019-06-300000879101kim:ConstructionLoanMember2019-06-300000879</w:t>
      </w:r>
      <w:r>
        <w:rPr>
          <w:rFonts w:eastAsia="Times New Roman"/>
          <w:vanish/>
          <w:sz w:val="20"/>
          <w:szCs w:val="20"/>
        </w:rPr>
        <w:t>101kim:LandParcelAdjacentToShoppingCenterLocatedInArdmorePaMember2018-06-300000879101kim:NonrecouseMortgageDebtRelatedToPropertyDeconsolidatedMember2018-01-012018-06-300000879101kim:SoldPortionOfInvestmentInConsolidatedOperatingPropertyMember2018-01-012018</w:t>
      </w:r>
      <w:r>
        <w:rPr>
          <w:rFonts w:eastAsia="Times New Roman"/>
          <w:vanish/>
          <w:sz w:val="20"/>
          <w:szCs w:val="20"/>
        </w:rPr>
        <w:t>-06-300000879101us-gaap:AccountingStandardsUpdate201705Memberkim:GainOnSaleOfOperatingPropertiesChangeInControlsOfInterestsMember2018-01-012018-06-300000879101kim:ConsolidatedOperatingPropertiesMember2019-06-300000879101kim:ConsolidatedOperatingPropertiesM</w:t>
      </w:r>
      <w:r>
        <w:rPr>
          <w:rFonts w:eastAsia="Times New Roman"/>
          <w:vanish/>
          <w:sz w:val="20"/>
          <w:szCs w:val="20"/>
        </w:rPr>
        <w:t>ember2018-12-310000879101kim:RealEstateUnderDevelopmentMember2018-12-310000879101kim:RealEstateUnderDevelopmentMember2019-06-300000879101kim:RealEstateUnderDevelopmentProject1Member2019-01-012019-06-300000879101kim:VariableInterestEntityUnencumberedMember2</w:t>
      </w:r>
      <w:r>
        <w:rPr>
          <w:rFonts w:eastAsia="Times New Roman"/>
          <w:vanish/>
          <w:sz w:val="20"/>
          <w:szCs w:val="20"/>
        </w:rPr>
        <w:t>019-06-300000879101kim:VariableInterestEntityUnencumberedMember2018-12-310000879101kim:VariableInterestEntityEncumberedByThirdPartyNonResourceMortgageDebtMember2019-06-300000879101kim:VariableInterestEntityEncumberedByThirdPartyNonResourceMortgageDebtMembe</w:t>
      </w:r>
      <w:r>
        <w:rPr>
          <w:rFonts w:eastAsia="Times New Roman"/>
          <w:vanish/>
          <w:sz w:val="20"/>
          <w:szCs w:val="20"/>
        </w:rPr>
        <w:t>r2018-12-310000879101us-gaap:CarryingReportedAmountFairValueDisclosureMember2019-06-300000879101us-gaap:EstimateOfFairValueFairValueDisclosureMember2019-06-300000879101us-gaap:CarryingReportedAmountFairValueDisclosureMember2018-12-310000879101us-gaap:Estim</w:t>
      </w:r>
      <w:r>
        <w:rPr>
          <w:rFonts w:eastAsia="Times New Roman"/>
          <w:vanish/>
          <w:sz w:val="20"/>
          <w:szCs w:val="20"/>
        </w:rPr>
        <w:t>ateOfFairValueFairValueDisclosureMember2018-12-310000879101us-gaap:CarryingReportedAmountFairValueDisclosureMemberus-gaap:MortgagesMember2019-06-300000879101us-gaap:EstimateOfFairValueFairValueDisclosureMemberus-gaap:MortgagesMember2019-06-300000879101us-g</w:t>
      </w:r>
      <w:r>
        <w:rPr>
          <w:rFonts w:eastAsia="Times New Roman"/>
          <w:vanish/>
          <w:sz w:val="20"/>
          <w:szCs w:val="20"/>
        </w:rPr>
        <w:t>aap:CarryingReportedAmountFairValueDisclosureMemberus-gaap:MortgagesMember2018-12-310000879101us-gaap:EstimateOfFairValueFairValueDisclosureMemberus-gaap:MortgagesMember2018-12-310000879101us-gaap:FairValueInputsLevel2Memberus-gaap:EstimateOfFairValueFairV</w:t>
      </w:r>
      <w:r>
        <w:rPr>
          <w:rFonts w:eastAsia="Times New Roman"/>
          <w:vanish/>
          <w:sz w:val="20"/>
          <w:szCs w:val="20"/>
        </w:rPr>
        <w:t>alueDisclosureMember2019-06-300000879101us-gaap:FairValueInputsLevel2Memberus-gaap:EstimateOfFairValueFairValueDisclosureMember2018-12-310000879101us-gaap:FairValueInputsLevel3Memberus-gaap:EstimateOfFairValueFairValueDisclosureMember2019-06-300000879101us</w:t>
      </w:r>
      <w:r>
        <w:rPr>
          <w:rFonts w:eastAsia="Times New Roman"/>
          <w:vanish/>
          <w:sz w:val="20"/>
          <w:szCs w:val="20"/>
        </w:rPr>
        <w:t>-gaap:FairValueInputsLevel3Memberus-gaap:EstimateOfFairValueFairValueDisclosureMember2018-12-310000879101us-gaap:FairValueMeasurementsRecurringMember2019-06-300000879101us-gaap:FairValueInputsLevel1Memberus-gaap:FairValueMeasurementsRecurringMember2019-06-</w:t>
      </w:r>
      <w:r>
        <w:rPr>
          <w:rFonts w:eastAsia="Times New Roman"/>
          <w:vanish/>
          <w:sz w:val="20"/>
          <w:szCs w:val="20"/>
        </w:rPr>
        <w:t>300000879101us-gaap:FairValueInputsLevel2Memberus-gaap:FairValueMeasurementsRecurringMember2019-06-300000879101us-gaap:FairValueMeasurementsRecurringMember2018-12-310000879101us-gaap:FairValueInputsLevel1Memberus-gaap:FairValueMeasurementsRecurringMember20</w:t>
      </w:r>
      <w:r>
        <w:rPr>
          <w:rFonts w:eastAsia="Times New Roman"/>
          <w:vanish/>
          <w:sz w:val="20"/>
          <w:szCs w:val="20"/>
        </w:rPr>
        <w:t>18-12-310000879101us-gaap:FairValueInputsLevel2Memberus-gaap:FairValueMeasurementsRecurringMember2018-12-310000879101us-gaap:FairValueInputsLevel3Memberus-gaap:FairValueMeasurementsRecurringMember2018-12-310000879101us-gaap:FairValueMeasurementsNonrecurrin</w:t>
      </w:r>
      <w:r>
        <w:rPr>
          <w:rFonts w:eastAsia="Times New Roman"/>
          <w:vanish/>
          <w:sz w:val="20"/>
          <w:szCs w:val="20"/>
        </w:rPr>
        <w:t>gMember2019-06-300000879101us-gaap:FairValueInputsLevel1Memberus-gaap:FairValueMeasurementsNonrecurringMember2019-06-300000879101us-gaap:FairValueInputsLevel2Memberus-gaap:FairValueMeasurementsNonrecurringMember2019-06-300000879101us-gaap:FairValueInputsLe</w:t>
      </w:r>
      <w:r>
        <w:rPr>
          <w:rFonts w:eastAsia="Times New Roman"/>
          <w:vanish/>
          <w:sz w:val="20"/>
          <w:szCs w:val="20"/>
        </w:rPr>
        <w:t>vel3Memberus-gaap:FairValueMeasurementsNonrecurringMember2019-06-300000879101us-gaap:FairValueMeasurementsNonrecurringMember2018-12-310000879101us-gaap:FairValueInputsLevel1Memberus-gaap:FairValueMeasurementsNonrecurringMember2018-12-310000879101us-gaap:Fa</w:t>
      </w:r>
      <w:r>
        <w:rPr>
          <w:rFonts w:eastAsia="Times New Roman"/>
          <w:vanish/>
          <w:sz w:val="20"/>
          <w:szCs w:val="20"/>
        </w:rPr>
        <w:t>irValueInputsLevel2Memberus-gaap:FairValueMeasurementsNonrecurringMember2018-12-310000879101us-gaap:FairValueInputsLevel3Memberus-gaap:FairValueMeasurementsNonrecurringMember2018-12-310000879101us-gaap:MeasurementInputCapRateMembersrt:MinimumMember2019-06-</w:t>
      </w:r>
      <w:r>
        <w:rPr>
          <w:rFonts w:eastAsia="Times New Roman"/>
          <w:vanish/>
          <w:sz w:val="20"/>
          <w:szCs w:val="20"/>
        </w:rPr>
        <w:t>300000879101us-gaap:MeasurementInputCapRateMembersrt:MaximumMember2019-06-300000879101us-gaap:MeasurementInputDiscountRateMembersrt:MinimumMember2019-06-300000879101us-gaap:MeasurementInputDiscountRateMembersrt:MaximumMember2019-06-300000879101us-gaap:Empl</w:t>
      </w:r>
      <w:r>
        <w:rPr>
          <w:rFonts w:eastAsia="Times New Roman"/>
          <w:vanish/>
          <w:sz w:val="20"/>
          <w:szCs w:val="20"/>
        </w:rPr>
        <w:t>oyeeStockOptionMember2019-01-012019-06-300000879101us-gaap:EmployeeStockOptionMember2018-01-012018-06-300000879101us-gaap:RestrictedStockMember2018-04-012018-06-300000879101kim:SeriesIPreferredStockMember2019-06-300000879101kim:SeriesIPreferredStockMember2</w:t>
      </w:r>
      <w:r>
        <w:rPr>
          <w:rFonts w:eastAsia="Times New Roman"/>
          <w:vanish/>
          <w:sz w:val="20"/>
          <w:szCs w:val="20"/>
        </w:rPr>
        <w:t>019-01-012019-06-300000879101kim:SeriesJPreferredStockMember2019-06-300000879101kim:SeriesJPreferredStockMember2019-01-012019-06-300000879101kim:SeriesKPreferredStockMember2019-06-300000879101kim:SeriesKPreferredStockMember2019-01-012019-06-300000879101kim</w:t>
      </w:r>
      <w:r>
        <w:rPr>
          <w:rFonts w:eastAsia="Times New Roman"/>
          <w:vanish/>
          <w:sz w:val="20"/>
          <w:szCs w:val="20"/>
        </w:rPr>
        <w:t>:SeriesLPreferredStockMember2019-06-300000879101kim:SeriesLPreferredStockMember2019-01-012019-06-300000879101kim:SeriesMPreferredStockMember2019-06-300000879101kim:SeriesMPreferredStockMember2019-01-012019-06-300000879101kim:TotalMember2019-06-300000879101</w:t>
      </w:r>
      <w:r>
        <w:rPr>
          <w:rFonts w:eastAsia="Times New Roman"/>
          <w:vanish/>
          <w:sz w:val="20"/>
          <w:szCs w:val="20"/>
        </w:rPr>
        <w:t>kim:ShareRepurchaseProgramMember2018-02-280000879101kim:ShareRepurchaseProgramMember2019-01-012019-06-300000879101kim:ShareRepurchaseProgramMember2019-06-300000879101kim:SeriesIPreferredStockMember2019-04-012019-06-300000879101kim:SeriesIPreferredStockMemb</w:t>
      </w:r>
      <w:r>
        <w:rPr>
          <w:rFonts w:eastAsia="Times New Roman"/>
          <w:vanish/>
          <w:sz w:val="20"/>
          <w:szCs w:val="20"/>
        </w:rPr>
        <w:t>er2018-04-012018-06-300000879101kim:SeriesIPreferredStockMember2018-01-012018-06-300000879101kim:SeriesJPreferredStockMember2019-04-012019-06-300000879101kim:SeriesJPreferredStockMember2018-04-012018-06-300000879101kim:SeriesJPreferredStockMember2018-01-01</w:t>
      </w:r>
      <w:r>
        <w:rPr>
          <w:rFonts w:eastAsia="Times New Roman"/>
          <w:vanish/>
          <w:sz w:val="20"/>
          <w:szCs w:val="20"/>
        </w:rPr>
        <w:t>2018-06-300000879101kim:SeriesKPreferredStockMember2019-04-012019-06-300000879101kim:SeriesKPreferredStockMember2018-04-012018-06-300000879101kim:SeriesKPreferredStockMember2018-01-012018-06-300000879101kim:SeriesLPreferredStockMember2019-04-012019-06-3000</w:t>
      </w:r>
      <w:r>
        <w:rPr>
          <w:rFonts w:eastAsia="Times New Roman"/>
          <w:vanish/>
          <w:sz w:val="20"/>
          <w:szCs w:val="20"/>
        </w:rPr>
        <w:t>00879101kim:SeriesLPreferredStockMember2018-04-012018-06-300000879101kim:SeriesLPreferredStockMember2018-01-012018-06-300000879101kim:SeriesMPreferredStockMember2019-04-012019-06-300000879101kim:SeriesMPreferredStockMember2018-04-012018-06-300000879101kim:</w:t>
      </w:r>
      <w:r>
        <w:rPr>
          <w:rFonts w:eastAsia="Times New Roman"/>
          <w:vanish/>
          <w:sz w:val="20"/>
          <w:szCs w:val="20"/>
        </w:rPr>
        <w:t>SeriesMPreferredStockMember2018-01-012018-06-300000879101kim:IncomeMember2019-01-012019-06-30</w:t>
      </w:r>
    </w:p>
    <w:p w14:paraId="29620FEA" w14:textId="77777777" w:rsidR="00000000" w:rsidRDefault="00527094">
      <w:pPr>
        <w:divId w:val="271281829"/>
        <w:rPr>
          <w:rFonts w:eastAsia="Times New Roman"/>
          <w:sz w:val="20"/>
          <w:szCs w:val="20"/>
        </w:rPr>
      </w:pPr>
      <w:r>
        <w:rPr>
          <w:rFonts w:eastAsia="Times New Roman"/>
          <w:sz w:val="20"/>
          <w:szCs w:val="20"/>
        </w:rPr>
        <w:t xml:space="preserve">  </w:t>
      </w:r>
    </w:p>
    <w:p w14:paraId="32094A97" w14:textId="77777777" w:rsidR="00000000" w:rsidRDefault="00527094">
      <w:pPr>
        <w:pStyle w:val="a3"/>
        <w:spacing w:before="0" w:beforeAutospacing="0" w:after="0" w:afterAutospacing="0"/>
        <w:divId w:val="586231719"/>
        <w:rPr>
          <w:sz w:val="20"/>
          <w:szCs w:val="20"/>
        </w:rPr>
      </w:pPr>
      <w:r>
        <w:rPr>
          <w:sz w:val="20"/>
          <w:szCs w:val="20"/>
        </w:rPr>
        <w:t> </w:t>
      </w:r>
    </w:p>
    <w:p w14:paraId="297F60BE" w14:textId="77777777" w:rsidR="00000000" w:rsidRDefault="00527094">
      <w:pPr>
        <w:pStyle w:val="a3"/>
        <w:spacing w:before="0" w:beforeAutospacing="0" w:after="0" w:afterAutospacing="0"/>
        <w:divId w:val="586231719"/>
        <w:rPr>
          <w:sz w:val="20"/>
          <w:szCs w:val="20"/>
        </w:rPr>
      </w:pPr>
      <w:hyperlink w:anchor="toc" w:history="1">
        <w:r>
          <w:rPr>
            <w:rStyle w:val="a4"/>
            <w:sz w:val="20"/>
            <w:szCs w:val="20"/>
          </w:rPr>
          <w:t>Table of Contents</w:t>
        </w:r>
      </w:hyperlink>
    </w:p>
    <w:p w14:paraId="16AF235B" w14:textId="77777777" w:rsidR="00000000" w:rsidRDefault="00527094">
      <w:pPr>
        <w:divId w:val="586231719"/>
        <w:rPr>
          <w:rFonts w:eastAsia="Times New Roman"/>
          <w:sz w:val="20"/>
          <w:szCs w:val="20"/>
        </w:rPr>
      </w:pPr>
      <w:r>
        <w:rPr>
          <w:rFonts w:eastAsia="Times New Roman"/>
          <w:sz w:val="20"/>
          <w:szCs w:val="20"/>
        </w:rPr>
        <w:pict w14:anchorId="5B3C9653">
          <v:rect id="_x0000_i1025" style="width:0;height:1.5pt" o:hralign="center" o:hrstd="t" o:hr="t" fillcolor="#a0a0a0" stroked="f"/>
        </w:pict>
      </w:r>
    </w:p>
    <w:p w14:paraId="57EC14BA" w14:textId="77777777" w:rsidR="00000000" w:rsidRDefault="00527094">
      <w:pPr>
        <w:divId w:val="586231719"/>
        <w:rPr>
          <w:rFonts w:eastAsia="Times New Roman"/>
          <w:sz w:val="20"/>
          <w:szCs w:val="20"/>
        </w:rPr>
      </w:pPr>
      <w:r>
        <w:rPr>
          <w:rFonts w:eastAsia="Times New Roman"/>
          <w:sz w:val="20"/>
          <w:szCs w:val="20"/>
        </w:rPr>
        <w:pict w14:anchorId="3E5FD2B5">
          <v:rect id="_x0000_i1026" style="width:0;height:1.5pt" o:hralign="center" o:hrstd="t" o:hr="t" fillcolor="#a0a0a0" stroked="f"/>
        </w:pict>
      </w:r>
    </w:p>
    <w:p w14:paraId="16E40607" w14:textId="77777777" w:rsidR="00000000" w:rsidRDefault="00527094">
      <w:pPr>
        <w:pStyle w:val="a3"/>
        <w:spacing w:before="0" w:beforeAutospacing="0" w:after="0" w:afterAutospacing="0"/>
        <w:jc w:val="center"/>
        <w:divId w:val="586231719"/>
        <w:rPr>
          <w:sz w:val="20"/>
          <w:szCs w:val="20"/>
        </w:rPr>
      </w:pPr>
      <w:r>
        <w:rPr>
          <w:b/>
          <w:bCs/>
          <w:sz w:val="20"/>
          <w:szCs w:val="20"/>
        </w:rPr>
        <w:t> </w:t>
      </w:r>
    </w:p>
    <w:p w14:paraId="44C807F2" w14:textId="77777777" w:rsidR="00000000" w:rsidRDefault="00527094">
      <w:pPr>
        <w:pStyle w:val="a3"/>
        <w:spacing w:before="0" w:beforeAutospacing="0" w:after="0" w:afterAutospacing="0"/>
        <w:jc w:val="center"/>
        <w:divId w:val="586231719"/>
        <w:rPr>
          <w:sz w:val="20"/>
          <w:szCs w:val="20"/>
        </w:rPr>
      </w:pPr>
      <w:r>
        <w:rPr>
          <w:b/>
          <w:bCs/>
          <w:sz w:val="20"/>
          <w:szCs w:val="20"/>
        </w:rPr>
        <w:t>UNITED STATES</w:t>
      </w:r>
    </w:p>
    <w:p w14:paraId="48E59ABE" w14:textId="77777777" w:rsidR="00000000" w:rsidRDefault="00527094">
      <w:pPr>
        <w:pStyle w:val="a3"/>
        <w:spacing w:before="0" w:beforeAutospacing="0" w:after="0" w:afterAutospacing="0"/>
        <w:jc w:val="center"/>
        <w:divId w:val="586231719"/>
        <w:rPr>
          <w:sz w:val="20"/>
          <w:szCs w:val="20"/>
        </w:rPr>
      </w:pPr>
      <w:r>
        <w:rPr>
          <w:b/>
          <w:bCs/>
          <w:sz w:val="20"/>
          <w:szCs w:val="20"/>
        </w:rPr>
        <w:t xml:space="preserve">SECURITIES AND EXCHANGE </w:t>
      </w:r>
      <w:r>
        <w:rPr>
          <w:b/>
          <w:bCs/>
          <w:sz w:val="20"/>
          <w:szCs w:val="20"/>
        </w:rPr>
        <w:t>COMMISSION</w:t>
      </w:r>
    </w:p>
    <w:p w14:paraId="2B6E3DF8" w14:textId="77777777" w:rsidR="00000000" w:rsidRDefault="00527094">
      <w:pPr>
        <w:pStyle w:val="a3"/>
        <w:spacing w:before="0" w:beforeAutospacing="0" w:after="0" w:afterAutospacing="0"/>
        <w:jc w:val="center"/>
        <w:divId w:val="586231719"/>
        <w:rPr>
          <w:sz w:val="20"/>
          <w:szCs w:val="20"/>
        </w:rPr>
      </w:pPr>
      <w:r>
        <w:rPr>
          <w:b/>
          <w:bCs/>
          <w:sz w:val="20"/>
          <w:szCs w:val="20"/>
        </w:rPr>
        <w:t>Washington, D.C.  20549</w:t>
      </w:r>
    </w:p>
    <w:p w14:paraId="3F4C2FDB" w14:textId="77777777" w:rsidR="00000000" w:rsidRDefault="00527094">
      <w:pPr>
        <w:pStyle w:val="a3"/>
        <w:spacing w:before="0" w:beforeAutospacing="0" w:after="0" w:afterAutospacing="0"/>
        <w:jc w:val="center"/>
        <w:divId w:val="586231719"/>
        <w:rPr>
          <w:sz w:val="20"/>
          <w:szCs w:val="20"/>
        </w:rPr>
      </w:pPr>
      <w:r>
        <w:rPr>
          <w:b/>
          <w:bCs/>
          <w:sz w:val="20"/>
          <w:szCs w:val="20"/>
        </w:rPr>
        <w:t> </w:t>
      </w:r>
    </w:p>
    <w:p w14:paraId="68D4B973" w14:textId="77777777" w:rsidR="00000000" w:rsidRDefault="00527094">
      <w:pPr>
        <w:pStyle w:val="a3"/>
        <w:spacing w:before="0" w:beforeAutospacing="0" w:after="0" w:afterAutospacing="0"/>
        <w:jc w:val="center"/>
        <w:divId w:val="586231719"/>
        <w:rPr>
          <w:sz w:val="20"/>
          <w:szCs w:val="20"/>
        </w:rPr>
      </w:pPr>
      <w:r>
        <w:rPr>
          <w:b/>
          <w:bCs/>
          <w:sz w:val="20"/>
          <w:szCs w:val="20"/>
        </w:rPr>
        <w:t>FORM 10-Q</w:t>
      </w:r>
    </w:p>
    <w:p w14:paraId="43DB6943" w14:textId="77777777" w:rsidR="00000000" w:rsidRDefault="00527094">
      <w:pPr>
        <w:pStyle w:val="a3"/>
        <w:spacing w:before="0" w:beforeAutospacing="0" w:after="0" w:afterAutospacing="0"/>
        <w:divId w:val="58623171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28E7439F" w14:textId="77777777">
        <w:trPr>
          <w:divId w:val="586231719"/>
          <w:tblCellSpacing w:w="0" w:type="dxa"/>
        </w:trPr>
        <w:tc>
          <w:tcPr>
            <w:tcW w:w="720" w:type="dxa"/>
            <w:hideMark/>
          </w:tcPr>
          <w:p w14:paraId="53620C2D" w14:textId="77777777" w:rsidR="00000000" w:rsidRDefault="00527094">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14:paraId="7379F635" w14:textId="77777777" w:rsidR="00000000" w:rsidRDefault="00527094">
            <w:pPr>
              <w:pStyle w:val="a3"/>
              <w:spacing w:before="0" w:beforeAutospacing="0" w:after="0" w:afterAutospacing="0"/>
              <w:rPr>
                <w:sz w:val="20"/>
                <w:szCs w:val="20"/>
              </w:rPr>
            </w:pPr>
            <w:r>
              <w:rPr>
                <w:sz w:val="20"/>
                <w:szCs w:val="20"/>
              </w:rPr>
              <w:t>QUARTERLY REPORT PURSUANT TO SECTION 13 OR 15(d) OF THE SECURITIES EXCHANGE ACT OF 1934</w:t>
            </w:r>
          </w:p>
        </w:tc>
      </w:tr>
    </w:tbl>
    <w:p w14:paraId="4B19E1AF" w14:textId="77777777" w:rsidR="00000000" w:rsidRDefault="00527094">
      <w:pPr>
        <w:pStyle w:val="a3"/>
        <w:spacing w:before="0" w:beforeAutospacing="0" w:after="0" w:afterAutospacing="0"/>
        <w:divId w:val="586231719"/>
        <w:rPr>
          <w:sz w:val="20"/>
          <w:szCs w:val="20"/>
        </w:rPr>
      </w:pPr>
      <w:r>
        <w:rPr>
          <w:sz w:val="20"/>
          <w:szCs w:val="20"/>
        </w:rPr>
        <w:t> </w:t>
      </w:r>
    </w:p>
    <w:p w14:paraId="3AF3D5E2" w14:textId="77777777" w:rsidR="00000000" w:rsidRDefault="00527094">
      <w:pPr>
        <w:pStyle w:val="a3"/>
        <w:spacing w:before="0" w:beforeAutospacing="0" w:after="0" w:afterAutospacing="0"/>
        <w:jc w:val="center"/>
        <w:divId w:val="586231719"/>
        <w:rPr>
          <w:sz w:val="20"/>
          <w:szCs w:val="20"/>
        </w:rPr>
      </w:pPr>
      <w:r>
        <w:rPr>
          <w:b/>
          <w:bCs/>
          <w:sz w:val="20"/>
          <w:szCs w:val="20"/>
        </w:rPr>
        <w:t>For the quarterly period ended June 30, 2019</w:t>
      </w:r>
    </w:p>
    <w:p w14:paraId="37611ABD" w14:textId="77777777" w:rsidR="00000000" w:rsidRDefault="00527094">
      <w:pPr>
        <w:pStyle w:val="a3"/>
        <w:spacing w:before="0" w:beforeAutospacing="0" w:after="0" w:afterAutospacing="0"/>
        <w:divId w:val="586231719"/>
        <w:rPr>
          <w:sz w:val="20"/>
          <w:szCs w:val="20"/>
        </w:rPr>
      </w:pPr>
      <w:r>
        <w:rPr>
          <w:sz w:val="20"/>
          <w:szCs w:val="20"/>
        </w:rPr>
        <w:t> </w:t>
      </w:r>
    </w:p>
    <w:p w14:paraId="234BA41F" w14:textId="77777777" w:rsidR="00000000" w:rsidRDefault="00527094">
      <w:pPr>
        <w:pStyle w:val="a3"/>
        <w:spacing w:before="0" w:beforeAutospacing="0" w:after="0" w:afterAutospacing="0"/>
        <w:jc w:val="center"/>
        <w:divId w:val="586231719"/>
        <w:rPr>
          <w:sz w:val="20"/>
          <w:szCs w:val="20"/>
        </w:rPr>
      </w:pPr>
      <w:r>
        <w:rPr>
          <w:sz w:val="20"/>
          <w:szCs w:val="20"/>
        </w:rPr>
        <w:t>or</w:t>
      </w:r>
    </w:p>
    <w:p w14:paraId="27E3FC79" w14:textId="77777777" w:rsidR="00000000" w:rsidRDefault="00527094">
      <w:pPr>
        <w:pStyle w:val="a3"/>
        <w:spacing w:before="0" w:beforeAutospacing="0" w:after="0" w:afterAutospacing="0"/>
        <w:divId w:val="58623171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5EF54DF2" w14:textId="77777777">
        <w:trPr>
          <w:divId w:val="586231719"/>
          <w:tblCellSpacing w:w="0" w:type="dxa"/>
        </w:trPr>
        <w:tc>
          <w:tcPr>
            <w:tcW w:w="720" w:type="dxa"/>
            <w:hideMark/>
          </w:tcPr>
          <w:p w14:paraId="7059852C" w14:textId="77777777" w:rsidR="00000000" w:rsidRDefault="00527094">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14:paraId="3556D34F" w14:textId="77777777" w:rsidR="00000000" w:rsidRDefault="00527094">
            <w:pPr>
              <w:pStyle w:val="a3"/>
              <w:spacing w:before="0" w:beforeAutospacing="0" w:after="0" w:afterAutospacing="0"/>
              <w:rPr>
                <w:sz w:val="20"/>
                <w:szCs w:val="20"/>
              </w:rPr>
            </w:pPr>
            <w:r>
              <w:rPr>
                <w:sz w:val="20"/>
                <w:szCs w:val="20"/>
              </w:rPr>
              <w:t>TRANSITION REPORT PURSUANT TO SECTION 13 OR 15(d) OF THE SECURITIES EXCHANGE ACT OF 1934</w:t>
            </w:r>
          </w:p>
        </w:tc>
      </w:tr>
    </w:tbl>
    <w:p w14:paraId="03BC2B5D" w14:textId="77777777" w:rsidR="00000000" w:rsidRDefault="00527094">
      <w:pPr>
        <w:pStyle w:val="a3"/>
        <w:spacing w:before="0" w:beforeAutospacing="0" w:after="0" w:afterAutospacing="0"/>
        <w:divId w:val="586231719"/>
        <w:rPr>
          <w:sz w:val="20"/>
          <w:szCs w:val="20"/>
        </w:rPr>
      </w:pPr>
      <w:r>
        <w:rPr>
          <w:sz w:val="20"/>
          <w:szCs w:val="20"/>
        </w:rPr>
        <w:t> </w:t>
      </w:r>
    </w:p>
    <w:p w14:paraId="64D83838" w14:textId="77777777" w:rsidR="00000000" w:rsidRDefault="00527094">
      <w:pPr>
        <w:pStyle w:val="a3"/>
        <w:spacing w:before="0" w:beforeAutospacing="0" w:after="0" w:afterAutospacing="0"/>
        <w:jc w:val="center"/>
        <w:divId w:val="586231719"/>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14:paraId="55F1A757" w14:textId="77777777" w:rsidR="00000000" w:rsidRDefault="00527094">
      <w:pPr>
        <w:pStyle w:val="a3"/>
        <w:spacing w:before="0" w:beforeAutospacing="0" w:after="0" w:afterAutospacing="0"/>
        <w:divId w:val="586231719"/>
        <w:rPr>
          <w:sz w:val="20"/>
          <w:szCs w:val="20"/>
        </w:rPr>
      </w:pPr>
      <w:r>
        <w:rPr>
          <w:sz w:val="20"/>
          <w:szCs w:val="20"/>
        </w:rPr>
        <w:t> </w:t>
      </w:r>
    </w:p>
    <w:p w14:paraId="32AD9D22" w14:textId="77777777" w:rsidR="00000000" w:rsidRDefault="00527094">
      <w:pPr>
        <w:pStyle w:val="a3"/>
        <w:spacing w:before="0" w:beforeAutospacing="0" w:after="0" w:afterAutospacing="0"/>
        <w:jc w:val="center"/>
        <w:divId w:val="586231719"/>
        <w:rPr>
          <w:sz w:val="20"/>
          <w:szCs w:val="20"/>
        </w:rPr>
      </w:pPr>
      <w:r>
        <w:rPr>
          <w:sz w:val="20"/>
          <w:szCs w:val="20"/>
        </w:rPr>
        <w:t>Commission File Number:   </w:t>
      </w:r>
      <w:r>
        <w:rPr>
          <w:sz w:val="20"/>
          <w:szCs w:val="20"/>
          <w:u w:val="single"/>
        </w:rPr>
        <w:t>1-10899</w:t>
      </w:r>
    </w:p>
    <w:p w14:paraId="4971E3BD" w14:textId="77777777" w:rsidR="00000000" w:rsidRDefault="00527094">
      <w:pPr>
        <w:pStyle w:val="a3"/>
        <w:spacing w:before="0" w:beforeAutospacing="0" w:after="0" w:afterAutospacing="0"/>
        <w:divId w:val="586231719"/>
        <w:rPr>
          <w:sz w:val="20"/>
          <w:szCs w:val="20"/>
        </w:rPr>
      </w:pPr>
      <w:r>
        <w:rPr>
          <w:sz w:val="20"/>
          <w:szCs w:val="20"/>
        </w:rPr>
        <w:t> </w:t>
      </w:r>
    </w:p>
    <w:p w14:paraId="313AA0F4" w14:textId="77777777" w:rsidR="00000000" w:rsidRDefault="00527094">
      <w:pPr>
        <w:pStyle w:val="a3"/>
        <w:spacing w:before="0" w:beforeAutospacing="0" w:after="0" w:afterAutospacing="0"/>
        <w:jc w:val="center"/>
        <w:divId w:val="586231719"/>
        <w:rPr>
          <w:sz w:val="36"/>
          <w:szCs w:val="36"/>
        </w:rPr>
      </w:pPr>
      <w:r>
        <w:rPr>
          <w:b/>
          <w:bCs/>
          <w:sz w:val="36"/>
          <w:szCs w:val="36"/>
          <w:u w:val="single"/>
        </w:rPr>
        <w:t>Kimco Realty Corporation</w:t>
      </w:r>
    </w:p>
    <w:p w14:paraId="313D7B92" w14:textId="77777777" w:rsidR="00000000" w:rsidRDefault="00527094">
      <w:pPr>
        <w:pStyle w:val="a3"/>
        <w:spacing w:before="0" w:beforeAutospacing="0" w:after="0" w:afterAutospacing="0"/>
        <w:jc w:val="center"/>
        <w:divId w:val="586231719"/>
        <w:rPr>
          <w:sz w:val="20"/>
          <w:szCs w:val="20"/>
        </w:rPr>
      </w:pPr>
      <w:r>
        <w:rPr>
          <w:sz w:val="20"/>
          <w:szCs w:val="20"/>
        </w:rPr>
        <w:t>(Exact name of registrant as specif</w:t>
      </w:r>
      <w:r>
        <w:rPr>
          <w:sz w:val="20"/>
          <w:szCs w:val="20"/>
        </w:rPr>
        <w:t>ied in its charter)</w:t>
      </w:r>
    </w:p>
    <w:p w14:paraId="1EBA5C18" w14:textId="77777777" w:rsidR="00000000" w:rsidRDefault="00527094">
      <w:pPr>
        <w:pStyle w:val="a3"/>
        <w:spacing w:before="0" w:beforeAutospacing="0" w:after="0" w:afterAutospacing="0"/>
        <w:divId w:val="58623171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03"/>
        <w:gridCol w:w="507"/>
        <w:gridCol w:w="3896"/>
      </w:tblGrid>
      <w:tr w:rsidR="00000000" w14:paraId="38265A5E" w14:textId="77777777">
        <w:trPr>
          <w:divId w:val="586231719"/>
          <w:tblCellSpacing w:w="0" w:type="dxa"/>
        </w:trPr>
        <w:tc>
          <w:tcPr>
            <w:tcW w:w="2350" w:type="pct"/>
            <w:tcBorders>
              <w:bottom w:val="single" w:sz="6" w:space="0" w:color="000000"/>
            </w:tcBorders>
            <w:vAlign w:val="bottom"/>
            <w:hideMark/>
          </w:tcPr>
          <w:p w14:paraId="6E6BC634" w14:textId="77777777" w:rsidR="00000000" w:rsidRDefault="00527094">
            <w:pPr>
              <w:pStyle w:val="a3"/>
              <w:spacing w:before="0" w:beforeAutospacing="0" w:after="0" w:afterAutospacing="0"/>
              <w:jc w:val="center"/>
              <w:rPr>
                <w:sz w:val="20"/>
                <w:szCs w:val="20"/>
              </w:rPr>
            </w:pPr>
            <w:r>
              <w:rPr>
                <w:b/>
                <w:bCs/>
                <w:sz w:val="20"/>
                <w:szCs w:val="20"/>
              </w:rPr>
              <w:t>Maryland</w:t>
            </w:r>
          </w:p>
        </w:tc>
        <w:tc>
          <w:tcPr>
            <w:tcW w:w="305" w:type="pct"/>
            <w:vAlign w:val="bottom"/>
            <w:hideMark/>
          </w:tcPr>
          <w:p w14:paraId="379FAFA7" w14:textId="77777777" w:rsidR="00000000" w:rsidRDefault="00527094">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14:paraId="04226FC4" w14:textId="77777777" w:rsidR="00000000" w:rsidRDefault="00527094">
            <w:pPr>
              <w:pStyle w:val="a3"/>
              <w:spacing w:before="0" w:beforeAutospacing="0" w:after="0" w:afterAutospacing="0"/>
              <w:jc w:val="center"/>
              <w:rPr>
                <w:sz w:val="20"/>
                <w:szCs w:val="20"/>
              </w:rPr>
            </w:pPr>
            <w:r>
              <w:rPr>
                <w:b/>
                <w:bCs/>
                <w:sz w:val="20"/>
                <w:szCs w:val="20"/>
              </w:rPr>
              <w:t>13-2744380</w:t>
            </w:r>
          </w:p>
        </w:tc>
      </w:tr>
      <w:tr w:rsidR="00000000" w14:paraId="5E774B1C" w14:textId="77777777">
        <w:trPr>
          <w:divId w:val="586231719"/>
          <w:tblCellSpacing w:w="0" w:type="dxa"/>
        </w:trPr>
        <w:tc>
          <w:tcPr>
            <w:tcW w:w="2350" w:type="pct"/>
            <w:vAlign w:val="bottom"/>
            <w:hideMark/>
          </w:tcPr>
          <w:p w14:paraId="3265896A" w14:textId="77777777" w:rsidR="00000000" w:rsidRDefault="00527094">
            <w:pPr>
              <w:pStyle w:val="a3"/>
              <w:spacing w:before="0" w:beforeAutospacing="0" w:after="0" w:afterAutospacing="0"/>
              <w:jc w:val="center"/>
              <w:rPr>
                <w:sz w:val="20"/>
                <w:szCs w:val="20"/>
              </w:rPr>
            </w:pPr>
            <w:r>
              <w:rPr>
                <w:sz w:val="20"/>
                <w:szCs w:val="20"/>
              </w:rPr>
              <w:t>(State or other jurisdiction of incorporation or organization)</w:t>
            </w:r>
          </w:p>
        </w:tc>
        <w:tc>
          <w:tcPr>
            <w:tcW w:w="305" w:type="pct"/>
            <w:vAlign w:val="bottom"/>
            <w:hideMark/>
          </w:tcPr>
          <w:p w14:paraId="7C5562FF" w14:textId="77777777" w:rsidR="00000000" w:rsidRDefault="00527094">
            <w:pPr>
              <w:pStyle w:val="a3"/>
              <w:spacing w:before="0" w:beforeAutospacing="0" w:after="0" w:afterAutospacing="0"/>
              <w:rPr>
                <w:sz w:val="20"/>
                <w:szCs w:val="20"/>
              </w:rPr>
            </w:pPr>
            <w:r>
              <w:rPr>
                <w:sz w:val="20"/>
                <w:szCs w:val="20"/>
              </w:rPr>
              <w:t>  </w:t>
            </w:r>
          </w:p>
        </w:tc>
        <w:tc>
          <w:tcPr>
            <w:tcW w:w="2350" w:type="pct"/>
            <w:vAlign w:val="bottom"/>
            <w:hideMark/>
          </w:tcPr>
          <w:p w14:paraId="72C3D961" w14:textId="77777777" w:rsidR="00000000" w:rsidRDefault="00527094">
            <w:pPr>
              <w:pStyle w:val="a3"/>
              <w:spacing w:before="0" w:beforeAutospacing="0" w:after="0" w:afterAutospacing="0"/>
              <w:jc w:val="center"/>
              <w:rPr>
                <w:sz w:val="20"/>
                <w:szCs w:val="20"/>
              </w:rPr>
            </w:pPr>
            <w:r>
              <w:rPr>
                <w:sz w:val="20"/>
                <w:szCs w:val="20"/>
              </w:rPr>
              <w:t>(I.R.S. Employer Identification No.)</w:t>
            </w:r>
          </w:p>
        </w:tc>
      </w:tr>
    </w:tbl>
    <w:p w14:paraId="2189482A" w14:textId="77777777" w:rsidR="00000000" w:rsidRDefault="00527094">
      <w:pPr>
        <w:pStyle w:val="a3"/>
        <w:spacing w:before="0" w:beforeAutospacing="0" w:after="0" w:afterAutospacing="0"/>
        <w:divId w:val="586231719"/>
        <w:rPr>
          <w:sz w:val="20"/>
          <w:szCs w:val="20"/>
        </w:rPr>
      </w:pPr>
      <w:r>
        <w:rPr>
          <w:sz w:val="20"/>
          <w:szCs w:val="20"/>
        </w:rPr>
        <w:t> </w:t>
      </w:r>
    </w:p>
    <w:p w14:paraId="2AA248AD" w14:textId="77777777" w:rsidR="00000000" w:rsidRDefault="00527094">
      <w:pPr>
        <w:pStyle w:val="a3"/>
        <w:spacing w:before="0" w:beforeAutospacing="0" w:after="0" w:afterAutospacing="0"/>
        <w:jc w:val="center"/>
        <w:divId w:val="586231719"/>
        <w:rPr>
          <w:sz w:val="20"/>
          <w:szCs w:val="20"/>
        </w:rPr>
      </w:pPr>
      <w:r>
        <w:rPr>
          <w:b/>
          <w:bCs/>
          <w:sz w:val="20"/>
          <w:szCs w:val="20"/>
          <w:u w:val="single"/>
        </w:rPr>
        <w:t>3333 New Hyde Park Road, New Hyde Park, NY 11042</w:t>
      </w:r>
    </w:p>
    <w:p w14:paraId="2ECAF163" w14:textId="77777777" w:rsidR="00000000" w:rsidRDefault="00527094">
      <w:pPr>
        <w:pStyle w:val="a3"/>
        <w:spacing w:before="0" w:beforeAutospacing="0" w:after="0" w:afterAutospacing="0"/>
        <w:jc w:val="center"/>
        <w:divId w:val="586231719"/>
        <w:rPr>
          <w:sz w:val="20"/>
          <w:szCs w:val="20"/>
        </w:rPr>
      </w:pPr>
      <w:r>
        <w:rPr>
          <w:sz w:val="20"/>
          <w:szCs w:val="20"/>
        </w:rPr>
        <w:t>(Address of principal executive offices) (Zip Code)</w:t>
      </w:r>
    </w:p>
    <w:p w14:paraId="3A9B22F4" w14:textId="77777777" w:rsidR="00000000" w:rsidRDefault="00527094">
      <w:pPr>
        <w:pStyle w:val="a3"/>
        <w:spacing w:before="0" w:beforeAutospacing="0" w:after="0" w:afterAutospacing="0"/>
        <w:divId w:val="586231719"/>
        <w:rPr>
          <w:sz w:val="20"/>
          <w:szCs w:val="20"/>
        </w:rPr>
      </w:pPr>
      <w:r>
        <w:rPr>
          <w:sz w:val="20"/>
          <w:szCs w:val="20"/>
        </w:rPr>
        <w:t> </w:t>
      </w:r>
    </w:p>
    <w:p w14:paraId="6C98C91F" w14:textId="77777777" w:rsidR="00000000" w:rsidRDefault="00527094">
      <w:pPr>
        <w:pStyle w:val="a3"/>
        <w:spacing w:before="0" w:beforeAutospacing="0" w:after="0" w:afterAutospacing="0"/>
        <w:jc w:val="center"/>
        <w:divId w:val="586231719"/>
        <w:rPr>
          <w:sz w:val="20"/>
          <w:szCs w:val="20"/>
        </w:rPr>
      </w:pPr>
      <w:r>
        <w:rPr>
          <w:b/>
          <w:bCs/>
          <w:sz w:val="20"/>
          <w:szCs w:val="20"/>
          <w:u w:val="single"/>
        </w:rPr>
        <w:t>(516) 869-9000</w:t>
      </w:r>
    </w:p>
    <w:p w14:paraId="3C68AC56" w14:textId="77777777" w:rsidR="00000000" w:rsidRDefault="00527094">
      <w:pPr>
        <w:pStyle w:val="a3"/>
        <w:spacing w:before="0" w:beforeAutospacing="0" w:after="0" w:afterAutospacing="0"/>
        <w:jc w:val="center"/>
        <w:divId w:val="586231719"/>
        <w:rPr>
          <w:sz w:val="20"/>
          <w:szCs w:val="20"/>
        </w:rPr>
      </w:pPr>
      <w:r>
        <w:rPr>
          <w:sz w:val="20"/>
          <w:szCs w:val="20"/>
        </w:rPr>
        <w:t>(Registrant’s telephone number, including area code)</w:t>
      </w:r>
    </w:p>
    <w:p w14:paraId="16A845AC" w14:textId="77777777" w:rsidR="00000000" w:rsidRDefault="00527094">
      <w:pPr>
        <w:pStyle w:val="a3"/>
        <w:spacing w:before="0" w:beforeAutospacing="0" w:after="0" w:afterAutospacing="0"/>
        <w:divId w:val="586231719"/>
        <w:rPr>
          <w:sz w:val="20"/>
          <w:szCs w:val="20"/>
        </w:rPr>
      </w:pPr>
      <w:r>
        <w:rPr>
          <w:sz w:val="20"/>
          <w:szCs w:val="20"/>
        </w:rPr>
        <w:t> </w:t>
      </w:r>
    </w:p>
    <w:p w14:paraId="50859693" w14:textId="77777777" w:rsidR="00000000" w:rsidRDefault="00527094">
      <w:pPr>
        <w:pStyle w:val="a3"/>
        <w:spacing w:before="0" w:beforeAutospacing="0" w:after="0" w:afterAutospacing="0"/>
        <w:jc w:val="center"/>
        <w:divId w:val="586231719"/>
        <w:rPr>
          <w:sz w:val="20"/>
          <w:szCs w:val="20"/>
        </w:rPr>
      </w:pPr>
      <w:r>
        <w:rPr>
          <w:b/>
          <w:bCs/>
          <w:sz w:val="20"/>
          <w:szCs w:val="20"/>
          <w:u w:val="single"/>
        </w:rPr>
        <w:t>        N/A        </w:t>
      </w:r>
    </w:p>
    <w:p w14:paraId="2FEE5CFF" w14:textId="77777777" w:rsidR="00000000" w:rsidRDefault="00527094">
      <w:pPr>
        <w:pStyle w:val="a3"/>
        <w:spacing w:before="0" w:beforeAutospacing="0" w:after="0" w:afterAutospacing="0"/>
        <w:jc w:val="center"/>
        <w:divId w:val="586231719"/>
        <w:rPr>
          <w:sz w:val="20"/>
          <w:szCs w:val="20"/>
        </w:rPr>
      </w:pPr>
      <w:r>
        <w:rPr>
          <w:sz w:val="20"/>
          <w:szCs w:val="20"/>
          <w:u w:val="single"/>
        </w:rPr>
        <w:t>(Former name, former address and former fiscal year, if changed since last report)</w:t>
      </w:r>
    </w:p>
    <w:p w14:paraId="66726313" w14:textId="77777777" w:rsidR="00000000" w:rsidRDefault="00527094">
      <w:pPr>
        <w:pStyle w:val="a3"/>
        <w:spacing w:before="0" w:beforeAutospacing="0" w:after="0" w:afterAutospacing="0"/>
        <w:divId w:val="586231719"/>
        <w:rPr>
          <w:sz w:val="20"/>
          <w:szCs w:val="20"/>
        </w:rPr>
      </w:pPr>
      <w:r>
        <w:rPr>
          <w:sz w:val="20"/>
          <w:szCs w:val="20"/>
        </w:rPr>
        <w:t> </w:t>
      </w:r>
    </w:p>
    <w:p w14:paraId="4D4FB1D5" w14:textId="77777777" w:rsidR="00000000" w:rsidRDefault="00527094">
      <w:pPr>
        <w:pStyle w:val="a3"/>
        <w:spacing w:before="0" w:beforeAutospacing="0" w:after="0" w:afterAutospacing="0"/>
        <w:divId w:val="586231719"/>
        <w:rPr>
          <w:sz w:val="20"/>
          <w:szCs w:val="20"/>
        </w:rPr>
      </w:pPr>
      <w:r>
        <w:rPr>
          <w:sz w:val="20"/>
          <w:szCs w:val="20"/>
        </w:rPr>
        <w:t>Securities registered pursu</w:t>
      </w:r>
      <w:r>
        <w:rPr>
          <w:sz w:val="20"/>
          <w:szCs w:val="20"/>
        </w:rPr>
        <w:t>ant to Section 12(b) of the Act:</w:t>
      </w:r>
    </w:p>
    <w:tbl>
      <w:tblPr>
        <w:tblW w:w="4830" w:type="pct"/>
        <w:tblCellSpacing w:w="0" w:type="dxa"/>
        <w:tblCellMar>
          <w:left w:w="0" w:type="dxa"/>
          <w:right w:w="0" w:type="dxa"/>
        </w:tblCellMar>
        <w:tblLook w:val="04A0" w:firstRow="1" w:lastRow="0" w:firstColumn="1" w:lastColumn="0" w:noHBand="0" w:noVBand="1"/>
      </w:tblPr>
      <w:tblGrid>
        <w:gridCol w:w="5324"/>
        <w:gridCol w:w="834"/>
        <w:gridCol w:w="1866"/>
      </w:tblGrid>
      <w:tr w:rsidR="00000000" w14:paraId="7E4430AA" w14:textId="77777777">
        <w:trPr>
          <w:divId w:val="586231719"/>
          <w:tblCellSpacing w:w="0" w:type="dxa"/>
        </w:trPr>
        <w:tc>
          <w:tcPr>
            <w:tcW w:w="3320" w:type="pct"/>
            <w:vAlign w:val="center"/>
            <w:hideMark/>
          </w:tcPr>
          <w:p w14:paraId="056621BB" w14:textId="77777777" w:rsidR="00000000" w:rsidRDefault="00527094">
            <w:pPr>
              <w:pStyle w:val="a3"/>
              <w:spacing w:before="0" w:beforeAutospacing="0" w:after="0" w:afterAutospacing="0"/>
              <w:rPr>
                <w:sz w:val="20"/>
                <w:szCs w:val="20"/>
              </w:rPr>
            </w:pPr>
            <w:r>
              <w:rPr>
                <w:sz w:val="20"/>
                <w:szCs w:val="20"/>
                <w:u w:val="single"/>
              </w:rPr>
              <w:t>Title of each class</w:t>
            </w:r>
          </w:p>
        </w:tc>
        <w:tc>
          <w:tcPr>
            <w:tcW w:w="515" w:type="pct"/>
            <w:vAlign w:val="center"/>
            <w:hideMark/>
          </w:tcPr>
          <w:p w14:paraId="3A28C53F" w14:textId="77777777" w:rsidR="00000000" w:rsidRDefault="00527094">
            <w:pPr>
              <w:pStyle w:val="a3"/>
              <w:spacing w:before="0" w:beforeAutospacing="0" w:after="0" w:afterAutospacing="0"/>
              <w:jc w:val="center"/>
              <w:rPr>
                <w:sz w:val="20"/>
                <w:szCs w:val="20"/>
              </w:rPr>
            </w:pPr>
            <w:r>
              <w:rPr>
                <w:sz w:val="20"/>
                <w:szCs w:val="20"/>
                <w:u w:val="single"/>
              </w:rPr>
              <w:t xml:space="preserve">Trading </w:t>
            </w:r>
          </w:p>
        </w:tc>
        <w:tc>
          <w:tcPr>
            <w:tcW w:w="1165" w:type="pct"/>
            <w:vAlign w:val="center"/>
            <w:hideMark/>
          </w:tcPr>
          <w:p w14:paraId="4923D236" w14:textId="77777777" w:rsidR="00000000" w:rsidRDefault="00527094">
            <w:pPr>
              <w:pStyle w:val="a3"/>
              <w:spacing w:before="0" w:beforeAutospacing="0" w:after="0" w:afterAutospacing="0"/>
              <w:rPr>
                <w:sz w:val="20"/>
                <w:szCs w:val="20"/>
              </w:rPr>
            </w:pPr>
            <w:r>
              <w:rPr>
                <w:sz w:val="20"/>
                <w:szCs w:val="20"/>
                <w:u w:val="single"/>
              </w:rPr>
              <w:t>Name of each exchange on</w:t>
            </w:r>
          </w:p>
        </w:tc>
      </w:tr>
      <w:tr w:rsidR="00000000" w14:paraId="6D289B03" w14:textId="77777777">
        <w:trPr>
          <w:divId w:val="586231719"/>
          <w:tblCellSpacing w:w="0" w:type="dxa"/>
        </w:trPr>
        <w:tc>
          <w:tcPr>
            <w:tcW w:w="3320" w:type="pct"/>
            <w:vAlign w:val="center"/>
            <w:hideMark/>
          </w:tcPr>
          <w:p w14:paraId="190BDBCD" w14:textId="77777777" w:rsidR="00000000" w:rsidRDefault="00527094">
            <w:pPr>
              <w:rPr>
                <w:rFonts w:eastAsia="Times New Roman"/>
                <w:sz w:val="20"/>
                <w:szCs w:val="20"/>
              </w:rPr>
            </w:pPr>
            <w:r>
              <w:rPr>
                <w:rFonts w:eastAsia="Times New Roman"/>
                <w:sz w:val="20"/>
                <w:szCs w:val="20"/>
              </w:rPr>
              <w:t> </w:t>
            </w:r>
          </w:p>
        </w:tc>
        <w:tc>
          <w:tcPr>
            <w:tcW w:w="515" w:type="pct"/>
            <w:vAlign w:val="center"/>
            <w:hideMark/>
          </w:tcPr>
          <w:p w14:paraId="76FC0CA1" w14:textId="77777777" w:rsidR="00000000" w:rsidRDefault="00527094">
            <w:pPr>
              <w:jc w:val="center"/>
              <w:rPr>
                <w:rFonts w:eastAsia="Times New Roman"/>
                <w:sz w:val="20"/>
                <w:szCs w:val="20"/>
              </w:rPr>
            </w:pPr>
            <w:r>
              <w:rPr>
                <w:rFonts w:eastAsia="Times New Roman"/>
                <w:sz w:val="20"/>
                <w:szCs w:val="20"/>
                <w:u w:val="single"/>
              </w:rPr>
              <w:t>Symbol(s)</w:t>
            </w:r>
          </w:p>
        </w:tc>
        <w:tc>
          <w:tcPr>
            <w:tcW w:w="1165" w:type="pct"/>
            <w:vAlign w:val="center"/>
            <w:hideMark/>
          </w:tcPr>
          <w:p w14:paraId="3E7D6F6E" w14:textId="77777777" w:rsidR="00000000" w:rsidRDefault="00527094">
            <w:pPr>
              <w:pStyle w:val="a3"/>
              <w:spacing w:before="0" w:beforeAutospacing="0" w:after="0" w:afterAutospacing="0"/>
              <w:rPr>
                <w:sz w:val="20"/>
                <w:szCs w:val="20"/>
              </w:rPr>
            </w:pPr>
            <w:r>
              <w:rPr>
                <w:sz w:val="20"/>
                <w:szCs w:val="20"/>
                <w:u w:val="single"/>
              </w:rPr>
              <w:t>which registered</w:t>
            </w:r>
          </w:p>
        </w:tc>
      </w:tr>
      <w:tr w:rsidR="00000000" w14:paraId="6B82A0F2" w14:textId="77777777">
        <w:trPr>
          <w:divId w:val="586231719"/>
          <w:tblCellSpacing w:w="0" w:type="dxa"/>
        </w:trPr>
        <w:tc>
          <w:tcPr>
            <w:tcW w:w="3320" w:type="pct"/>
            <w:shd w:val="clear" w:color="auto" w:fill="CCEEFF"/>
            <w:vAlign w:val="center"/>
            <w:hideMark/>
          </w:tcPr>
          <w:p w14:paraId="49CFA9F1" w14:textId="77777777" w:rsidR="00000000" w:rsidRDefault="00527094">
            <w:pPr>
              <w:pStyle w:val="a3"/>
              <w:spacing w:before="0" w:beforeAutospacing="0" w:after="0" w:afterAutospacing="0"/>
              <w:rPr>
                <w:sz w:val="20"/>
                <w:szCs w:val="20"/>
              </w:rPr>
            </w:pPr>
            <w:r>
              <w:rPr>
                <w:sz w:val="20"/>
                <w:szCs w:val="20"/>
              </w:rPr>
              <w:t>Common Stock, par value $.01 per share.</w:t>
            </w:r>
          </w:p>
        </w:tc>
        <w:tc>
          <w:tcPr>
            <w:tcW w:w="515" w:type="pct"/>
            <w:shd w:val="clear" w:color="auto" w:fill="CCEEFF"/>
            <w:vAlign w:val="center"/>
            <w:hideMark/>
          </w:tcPr>
          <w:p w14:paraId="3EB75319" w14:textId="77777777" w:rsidR="00000000" w:rsidRDefault="00527094">
            <w:pPr>
              <w:pStyle w:val="a3"/>
              <w:spacing w:before="0" w:beforeAutospacing="0" w:after="0" w:afterAutospacing="0"/>
              <w:jc w:val="center"/>
              <w:rPr>
                <w:sz w:val="20"/>
                <w:szCs w:val="20"/>
              </w:rPr>
            </w:pPr>
            <w:r>
              <w:rPr>
                <w:sz w:val="20"/>
                <w:szCs w:val="20"/>
              </w:rPr>
              <w:t>KIM</w:t>
            </w:r>
          </w:p>
        </w:tc>
        <w:tc>
          <w:tcPr>
            <w:tcW w:w="1165" w:type="pct"/>
            <w:shd w:val="clear" w:color="auto" w:fill="CCEEFF"/>
            <w:vAlign w:val="center"/>
            <w:hideMark/>
          </w:tcPr>
          <w:p w14:paraId="19FBCA0A" w14:textId="77777777" w:rsidR="00000000" w:rsidRDefault="00527094">
            <w:pPr>
              <w:pStyle w:val="a3"/>
              <w:spacing w:before="0" w:beforeAutospacing="0" w:after="0" w:afterAutospacing="0"/>
              <w:rPr>
                <w:sz w:val="20"/>
                <w:szCs w:val="20"/>
              </w:rPr>
            </w:pPr>
            <w:r>
              <w:rPr>
                <w:sz w:val="20"/>
                <w:szCs w:val="20"/>
              </w:rPr>
              <w:t>New York Stock Exchange</w:t>
            </w:r>
          </w:p>
        </w:tc>
      </w:tr>
      <w:tr w:rsidR="00000000" w14:paraId="58B33ADC" w14:textId="77777777">
        <w:trPr>
          <w:divId w:val="586231719"/>
          <w:tblCellSpacing w:w="0" w:type="dxa"/>
        </w:trPr>
        <w:tc>
          <w:tcPr>
            <w:tcW w:w="3320" w:type="pct"/>
            <w:shd w:val="clear" w:color="auto" w:fill="FFFFFF"/>
            <w:vAlign w:val="center"/>
            <w:hideMark/>
          </w:tcPr>
          <w:p w14:paraId="0D65506A" w14:textId="77777777" w:rsidR="00000000" w:rsidRDefault="00527094">
            <w:pPr>
              <w:pStyle w:val="a3"/>
              <w:spacing w:before="0" w:beforeAutospacing="0" w:after="0" w:afterAutospacing="0"/>
              <w:rPr>
                <w:sz w:val="20"/>
                <w:szCs w:val="20"/>
              </w:rPr>
            </w:pPr>
            <w:r>
              <w:rPr>
                <w:sz w:val="20"/>
                <w:szCs w:val="20"/>
              </w:rPr>
              <w:t>Depositary Shares, each representing one-thousandth of a share of 6.000% Class I Cumulative Redeemable, Preferred Stock, $1.00 par value per share.</w:t>
            </w:r>
          </w:p>
        </w:tc>
        <w:tc>
          <w:tcPr>
            <w:tcW w:w="515" w:type="pct"/>
            <w:shd w:val="clear" w:color="auto" w:fill="FFFFFF"/>
            <w:vAlign w:val="center"/>
            <w:hideMark/>
          </w:tcPr>
          <w:p w14:paraId="02CAA696" w14:textId="77777777" w:rsidR="00000000" w:rsidRDefault="00527094">
            <w:pPr>
              <w:pStyle w:val="a3"/>
              <w:spacing w:before="0" w:beforeAutospacing="0" w:after="0" w:afterAutospacing="0"/>
              <w:jc w:val="center"/>
              <w:rPr>
                <w:sz w:val="20"/>
                <w:szCs w:val="20"/>
              </w:rPr>
            </w:pPr>
            <w:r>
              <w:rPr>
                <w:sz w:val="20"/>
                <w:szCs w:val="20"/>
              </w:rPr>
              <w:t>KIMprI</w:t>
            </w:r>
          </w:p>
        </w:tc>
        <w:tc>
          <w:tcPr>
            <w:tcW w:w="1165" w:type="pct"/>
            <w:shd w:val="clear" w:color="auto" w:fill="FFFFFF"/>
            <w:vAlign w:val="center"/>
            <w:hideMark/>
          </w:tcPr>
          <w:p w14:paraId="3365852F" w14:textId="77777777" w:rsidR="00000000" w:rsidRDefault="00527094">
            <w:pPr>
              <w:pStyle w:val="a3"/>
              <w:spacing w:before="0" w:beforeAutospacing="0" w:after="0" w:afterAutospacing="0"/>
              <w:rPr>
                <w:sz w:val="20"/>
                <w:szCs w:val="20"/>
              </w:rPr>
            </w:pPr>
            <w:r>
              <w:rPr>
                <w:sz w:val="20"/>
                <w:szCs w:val="20"/>
              </w:rPr>
              <w:t>New York Stock Exchange</w:t>
            </w:r>
          </w:p>
        </w:tc>
      </w:tr>
      <w:tr w:rsidR="00000000" w14:paraId="7195ED14" w14:textId="77777777">
        <w:trPr>
          <w:divId w:val="586231719"/>
          <w:tblCellSpacing w:w="0" w:type="dxa"/>
        </w:trPr>
        <w:tc>
          <w:tcPr>
            <w:tcW w:w="3320" w:type="pct"/>
            <w:shd w:val="clear" w:color="auto" w:fill="CCEEFF"/>
            <w:vAlign w:val="center"/>
            <w:hideMark/>
          </w:tcPr>
          <w:p w14:paraId="6EE5F225" w14:textId="77777777" w:rsidR="00000000" w:rsidRDefault="00527094">
            <w:pPr>
              <w:pStyle w:val="a3"/>
              <w:spacing w:before="0" w:beforeAutospacing="0" w:after="0" w:afterAutospacing="0"/>
              <w:rPr>
                <w:sz w:val="20"/>
                <w:szCs w:val="20"/>
              </w:rPr>
            </w:pPr>
            <w:r>
              <w:rPr>
                <w:sz w:val="20"/>
                <w:szCs w:val="20"/>
              </w:rPr>
              <w:t>Depositary Shares, each representing one-thousandth of a share of 5.500% Cla</w:t>
            </w:r>
            <w:r>
              <w:rPr>
                <w:sz w:val="20"/>
                <w:szCs w:val="20"/>
              </w:rPr>
              <w:t>ss J Cumulative Redeemable, Preferred Stock, $1.00 par value per share.</w:t>
            </w:r>
          </w:p>
        </w:tc>
        <w:tc>
          <w:tcPr>
            <w:tcW w:w="515" w:type="pct"/>
            <w:shd w:val="clear" w:color="auto" w:fill="CCEEFF"/>
            <w:vAlign w:val="center"/>
            <w:hideMark/>
          </w:tcPr>
          <w:p w14:paraId="068768AF" w14:textId="77777777" w:rsidR="00000000" w:rsidRDefault="00527094">
            <w:pPr>
              <w:pStyle w:val="a3"/>
              <w:spacing w:before="0" w:beforeAutospacing="0" w:after="0" w:afterAutospacing="0"/>
              <w:jc w:val="center"/>
              <w:rPr>
                <w:sz w:val="20"/>
                <w:szCs w:val="20"/>
              </w:rPr>
            </w:pPr>
            <w:r>
              <w:rPr>
                <w:sz w:val="20"/>
                <w:szCs w:val="20"/>
              </w:rPr>
              <w:t>KIMprJ</w:t>
            </w:r>
          </w:p>
        </w:tc>
        <w:tc>
          <w:tcPr>
            <w:tcW w:w="1165" w:type="pct"/>
            <w:shd w:val="clear" w:color="auto" w:fill="CCEEFF"/>
            <w:vAlign w:val="center"/>
            <w:hideMark/>
          </w:tcPr>
          <w:p w14:paraId="13C7C324" w14:textId="77777777" w:rsidR="00000000" w:rsidRDefault="00527094">
            <w:pPr>
              <w:pStyle w:val="a3"/>
              <w:spacing w:before="0" w:beforeAutospacing="0" w:after="0" w:afterAutospacing="0"/>
              <w:rPr>
                <w:sz w:val="20"/>
                <w:szCs w:val="20"/>
              </w:rPr>
            </w:pPr>
            <w:r>
              <w:rPr>
                <w:sz w:val="20"/>
                <w:szCs w:val="20"/>
              </w:rPr>
              <w:t>New York Stock Exchange</w:t>
            </w:r>
          </w:p>
        </w:tc>
      </w:tr>
      <w:tr w:rsidR="00000000" w14:paraId="4B69AA58" w14:textId="77777777">
        <w:trPr>
          <w:divId w:val="586231719"/>
          <w:tblCellSpacing w:w="0" w:type="dxa"/>
        </w:trPr>
        <w:tc>
          <w:tcPr>
            <w:tcW w:w="3320" w:type="pct"/>
            <w:shd w:val="clear" w:color="auto" w:fill="FFFFFF"/>
            <w:vAlign w:val="center"/>
            <w:hideMark/>
          </w:tcPr>
          <w:p w14:paraId="1FB51087" w14:textId="77777777" w:rsidR="00000000" w:rsidRDefault="00527094">
            <w:pPr>
              <w:pStyle w:val="a3"/>
              <w:spacing w:before="0" w:beforeAutospacing="0" w:after="0" w:afterAutospacing="0"/>
              <w:rPr>
                <w:sz w:val="20"/>
                <w:szCs w:val="20"/>
              </w:rPr>
            </w:pPr>
            <w:r>
              <w:rPr>
                <w:sz w:val="20"/>
                <w:szCs w:val="20"/>
              </w:rPr>
              <w:t>Depositary Shares, each representing one-thousandth of a share of 5.625% Class K Cumulative Redeemable, Preferred Stock, $1.00 par value per share.</w:t>
            </w:r>
          </w:p>
        </w:tc>
        <w:tc>
          <w:tcPr>
            <w:tcW w:w="515" w:type="pct"/>
            <w:shd w:val="clear" w:color="auto" w:fill="FFFFFF"/>
            <w:vAlign w:val="center"/>
            <w:hideMark/>
          </w:tcPr>
          <w:p w14:paraId="0047D30E" w14:textId="77777777" w:rsidR="00000000" w:rsidRDefault="00527094">
            <w:pPr>
              <w:pStyle w:val="a3"/>
              <w:spacing w:before="0" w:beforeAutospacing="0" w:after="0" w:afterAutospacing="0"/>
              <w:jc w:val="center"/>
              <w:rPr>
                <w:sz w:val="20"/>
                <w:szCs w:val="20"/>
              </w:rPr>
            </w:pPr>
            <w:r>
              <w:rPr>
                <w:sz w:val="20"/>
                <w:szCs w:val="20"/>
              </w:rPr>
              <w:t>KIMp</w:t>
            </w:r>
            <w:r>
              <w:rPr>
                <w:sz w:val="20"/>
                <w:szCs w:val="20"/>
              </w:rPr>
              <w:t>rK</w:t>
            </w:r>
          </w:p>
        </w:tc>
        <w:tc>
          <w:tcPr>
            <w:tcW w:w="1165" w:type="pct"/>
            <w:shd w:val="clear" w:color="auto" w:fill="FFFFFF"/>
            <w:vAlign w:val="center"/>
            <w:hideMark/>
          </w:tcPr>
          <w:p w14:paraId="5E78628D" w14:textId="77777777" w:rsidR="00000000" w:rsidRDefault="00527094">
            <w:pPr>
              <w:pStyle w:val="a3"/>
              <w:spacing w:before="0" w:beforeAutospacing="0" w:after="0" w:afterAutospacing="0"/>
              <w:rPr>
                <w:sz w:val="20"/>
                <w:szCs w:val="20"/>
              </w:rPr>
            </w:pPr>
            <w:r>
              <w:rPr>
                <w:sz w:val="20"/>
                <w:szCs w:val="20"/>
              </w:rPr>
              <w:t>New York Stock Exchange</w:t>
            </w:r>
          </w:p>
        </w:tc>
      </w:tr>
      <w:tr w:rsidR="00000000" w14:paraId="2A2B847D" w14:textId="77777777">
        <w:trPr>
          <w:divId w:val="586231719"/>
          <w:tblCellSpacing w:w="0" w:type="dxa"/>
        </w:trPr>
        <w:tc>
          <w:tcPr>
            <w:tcW w:w="3320" w:type="pct"/>
            <w:shd w:val="clear" w:color="auto" w:fill="CCEEFF"/>
            <w:vAlign w:val="center"/>
            <w:hideMark/>
          </w:tcPr>
          <w:p w14:paraId="2FB8C225" w14:textId="77777777" w:rsidR="00000000" w:rsidRDefault="00527094">
            <w:pPr>
              <w:pStyle w:val="a3"/>
              <w:spacing w:before="0" w:beforeAutospacing="0" w:after="0" w:afterAutospacing="0"/>
              <w:rPr>
                <w:sz w:val="20"/>
                <w:szCs w:val="20"/>
              </w:rPr>
            </w:pPr>
            <w:r>
              <w:rPr>
                <w:sz w:val="20"/>
                <w:szCs w:val="20"/>
              </w:rPr>
              <w:lastRenderedPageBreak/>
              <w:t>Depositary Shares, each representing one-thousandth of a share of 5.125% Class L Cumulative Redeemable, Preferred Stock, $1.00 par value per share.</w:t>
            </w:r>
          </w:p>
        </w:tc>
        <w:tc>
          <w:tcPr>
            <w:tcW w:w="515" w:type="pct"/>
            <w:shd w:val="clear" w:color="auto" w:fill="CCEEFF"/>
            <w:vAlign w:val="center"/>
            <w:hideMark/>
          </w:tcPr>
          <w:p w14:paraId="5DFCC68D" w14:textId="77777777" w:rsidR="00000000" w:rsidRDefault="00527094">
            <w:pPr>
              <w:pStyle w:val="a3"/>
              <w:spacing w:before="0" w:beforeAutospacing="0" w:after="0" w:afterAutospacing="0"/>
              <w:jc w:val="center"/>
              <w:rPr>
                <w:sz w:val="20"/>
                <w:szCs w:val="20"/>
              </w:rPr>
            </w:pPr>
            <w:r>
              <w:rPr>
                <w:sz w:val="20"/>
                <w:szCs w:val="20"/>
              </w:rPr>
              <w:t>KIMprL</w:t>
            </w:r>
          </w:p>
        </w:tc>
        <w:tc>
          <w:tcPr>
            <w:tcW w:w="1165" w:type="pct"/>
            <w:shd w:val="clear" w:color="auto" w:fill="CCEEFF"/>
            <w:vAlign w:val="center"/>
            <w:hideMark/>
          </w:tcPr>
          <w:p w14:paraId="455A0981" w14:textId="77777777" w:rsidR="00000000" w:rsidRDefault="00527094">
            <w:pPr>
              <w:pStyle w:val="a3"/>
              <w:spacing w:before="0" w:beforeAutospacing="0" w:after="0" w:afterAutospacing="0"/>
              <w:rPr>
                <w:sz w:val="20"/>
                <w:szCs w:val="20"/>
              </w:rPr>
            </w:pPr>
            <w:r>
              <w:rPr>
                <w:sz w:val="20"/>
                <w:szCs w:val="20"/>
              </w:rPr>
              <w:t>New York Stock Exchange</w:t>
            </w:r>
          </w:p>
        </w:tc>
      </w:tr>
      <w:tr w:rsidR="00000000" w14:paraId="0697A34F" w14:textId="77777777">
        <w:trPr>
          <w:divId w:val="586231719"/>
          <w:tblCellSpacing w:w="0" w:type="dxa"/>
        </w:trPr>
        <w:tc>
          <w:tcPr>
            <w:tcW w:w="3320" w:type="pct"/>
            <w:shd w:val="clear" w:color="auto" w:fill="FFFFFF"/>
            <w:vAlign w:val="center"/>
            <w:hideMark/>
          </w:tcPr>
          <w:p w14:paraId="62867517" w14:textId="77777777" w:rsidR="00000000" w:rsidRDefault="00527094">
            <w:pPr>
              <w:pStyle w:val="a3"/>
              <w:spacing w:before="0" w:beforeAutospacing="0" w:after="0" w:afterAutospacing="0"/>
              <w:rPr>
                <w:sz w:val="20"/>
                <w:szCs w:val="20"/>
              </w:rPr>
            </w:pPr>
            <w:r>
              <w:rPr>
                <w:sz w:val="20"/>
                <w:szCs w:val="20"/>
              </w:rPr>
              <w:t>Depositary Shares, each representing one-thousan</w:t>
            </w:r>
            <w:r>
              <w:rPr>
                <w:sz w:val="20"/>
                <w:szCs w:val="20"/>
              </w:rPr>
              <w:t>dth of a share of 5.250% Class M Cumulative Redeemable, Preferred Stock, $1.00 par value per share.</w:t>
            </w:r>
          </w:p>
        </w:tc>
        <w:tc>
          <w:tcPr>
            <w:tcW w:w="515" w:type="pct"/>
            <w:shd w:val="clear" w:color="auto" w:fill="FFFFFF"/>
            <w:vAlign w:val="center"/>
            <w:hideMark/>
          </w:tcPr>
          <w:p w14:paraId="5B46F0B6" w14:textId="77777777" w:rsidR="00000000" w:rsidRDefault="00527094">
            <w:pPr>
              <w:pStyle w:val="a3"/>
              <w:spacing w:before="0" w:beforeAutospacing="0" w:after="0" w:afterAutospacing="0"/>
              <w:jc w:val="center"/>
              <w:rPr>
                <w:sz w:val="20"/>
                <w:szCs w:val="20"/>
              </w:rPr>
            </w:pPr>
            <w:r>
              <w:rPr>
                <w:sz w:val="20"/>
                <w:szCs w:val="20"/>
              </w:rPr>
              <w:t>KIMprM</w:t>
            </w:r>
          </w:p>
        </w:tc>
        <w:tc>
          <w:tcPr>
            <w:tcW w:w="1165" w:type="pct"/>
            <w:shd w:val="clear" w:color="auto" w:fill="FFFFFF"/>
            <w:vAlign w:val="center"/>
            <w:hideMark/>
          </w:tcPr>
          <w:p w14:paraId="4B8D4B89" w14:textId="77777777" w:rsidR="00000000" w:rsidRDefault="00527094">
            <w:pPr>
              <w:pStyle w:val="a3"/>
              <w:spacing w:before="0" w:beforeAutospacing="0" w:after="0" w:afterAutospacing="0"/>
              <w:rPr>
                <w:sz w:val="20"/>
                <w:szCs w:val="20"/>
              </w:rPr>
            </w:pPr>
            <w:r>
              <w:rPr>
                <w:sz w:val="20"/>
                <w:szCs w:val="20"/>
              </w:rPr>
              <w:t>New York Stock Exchange</w:t>
            </w:r>
          </w:p>
        </w:tc>
      </w:tr>
    </w:tbl>
    <w:p w14:paraId="0260CDB1" w14:textId="77777777" w:rsidR="00000000" w:rsidRDefault="00527094">
      <w:pPr>
        <w:pStyle w:val="a3"/>
        <w:spacing w:before="0" w:beforeAutospacing="0" w:after="0" w:afterAutospacing="0"/>
        <w:divId w:val="586231719"/>
        <w:rPr>
          <w:sz w:val="20"/>
          <w:szCs w:val="20"/>
        </w:rPr>
      </w:pPr>
      <w:r>
        <w:rPr>
          <w:sz w:val="20"/>
          <w:szCs w:val="20"/>
        </w:rPr>
        <w:t> </w:t>
      </w:r>
    </w:p>
    <w:p w14:paraId="56BFB76C" w14:textId="77777777" w:rsidR="00000000" w:rsidRDefault="00527094">
      <w:pPr>
        <w:pStyle w:val="a3"/>
        <w:spacing w:before="0" w:beforeAutospacing="0" w:after="0" w:afterAutospacing="0"/>
        <w:ind w:firstLine="360"/>
        <w:divId w:val="586231719"/>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3EC85F4" w14:textId="77777777" w:rsidR="00000000" w:rsidRDefault="00527094">
      <w:pPr>
        <w:pStyle w:val="a3"/>
        <w:spacing w:before="0" w:beforeAutospacing="0" w:after="0" w:afterAutospacing="0"/>
        <w:divId w:val="586231719"/>
        <w:rPr>
          <w:sz w:val="20"/>
          <w:szCs w:val="20"/>
        </w:rPr>
      </w:pPr>
      <w:r>
        <w:rPr>
          <w:sz w:val="20"/>
          <w:szCs w:val="20"/>
        </w:rPr>
        <w:t> </w:t>
      </w:r>
    </w:p>
    <w:p w14:paraId="73DB9257" w14:textId="77777777" w:rsidR="00000000" w:rsidRDefault="00527094">
      <w:pPr>
        <w:pStyle w:val="a3"/>
        <w:spacing w:before="0" w:beforeAutospacing="0" w:after="0" w:afterAutospacing="0"/>
        <w:ind w:firstLine="360"/>
        <w:divId w:val="586231719"/>
        <w:rPr>
          <w:sz w:val="20"/>
          <w:szCs w:val="20"/>
        </w:rPr>
      </w:pPr>
      <w:r>
        <w:rPr>
          <w:sz w:val="20"/>
          <w:szCs w:val="20"/>
        </w:rPr>
        <w:t xml:space="preserve">Indicate by check mark whether the registrant has submitted electronically, every Interactive Data File required to be submitted pursuant to Rule 405 </w:t>
      </w:r>
      <w:r>
        <w:rPr>
          <w:sz w:val="20"/>
          <w:szCs w:val="20"/>
        </w:rPr>
        <w:t xml:space="preserve">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98A165B" w14:textId="77777777" w:rsidR="00000000" w:rsidRDefault="00527094">
      <w:pPr>
        <w:pStyle w:val="a3"/>
        <w:spacing w:before="0" w:beforeAutospacing="0" w:after="0" w:afterAutospacing="0"/>
        <w:divId w:val="586231719"/>
        <w:rPr>
          <w:sz w:val="20"/>
          <w:szCs w:val="20"/>
        </w:rPr>
      </w:pPr>
      <w:r>
        <w:rPr>
          <w:sz w:val="20"/>
          <w:szCs w:val="20"/>
        </w:rPr>
        <w:t> </w:t>
      </w:r>
    </w:p>
    <w:p w14:paraId="5188798C" w14:textId="77777777" w:rsidR="00000000" w:rsidRDefault="00527094">
      <w:pPr>
        <w:pStyle w:val="a3"/>
        <w:spacing w:before="0" w:beforeAutospacing="0" w:after="0" w:afterAutospacing="0"/>
        <w:ind w:firstLine="360"/>
        <w:divId w:val="586231719"/>
        <w:rPr>
          <w:sz w:val="20"/>
          <w:szCs w:val="20"/>
        </w:rPr>
      </w:pPr>
      <w:r>
        <w:rPr>
          <w:sz w:val="20"/>
          <w:szCs w:val="20"/>
        </w:rPr>
        <w:t>Indicate by check mark whether the registrant is a large accelerated filer, an</w:t>
      </w:r>
      <w:r>
        <w:rPr>
          <w:sz w:val="20"/>
          <w:szCs w:val="20"/>
        </w:rPr>
        <w:t xml:space="preserve"> accelerated filer, a non-accelerated filer, a smaller reporting company, or an emerging growth company. See the definitions of “large accelerated filer,” “accelerated filer,” “smaller reporting company,” and “emerging growth company” in Rule 12-b-2 of the</w:t>
      </w:r>
      <w:r>
        <w:rPr>
          <w:sz w:val="20"/>
          <w:szCs w:val="20"/>
        </w:rPr>
        <w:t xml:space="preserve"> Exchange Act.</w:t>
      </w:r>
    </w:p>
    <w:p w14:paraId="7BABDD8D" w14:textId="77777777" w:rsidR="00000000" w:rsidRDefault="00527094">
      <w:pPr>
        <w:pStyle w:val="a3"/>
        <w:spacing w:before="0" w:beforeAutospacing="0" w:after="0" w:afterAutospacing="0"/>
        <w:divId w:val="586231719"/>
        <w:rPr>
          <w:sz w:val="20"/>
          <w:szCs w:val="20"/>
        </w:rPr>
      </w:pPr>
      <w:r>
        <w:rPr>
          <w:sz w:val="20"/>
          <w:szCs w:val="20"/>
        </w:rPr>
        <w:t> </w:t>
      </w:r>
    </w:p>
    <w:tbl>
      <w:tblPr>
        <w:tblW w:w="4835" w:type="pct"/>
        <w:tblCellSpacing w:w="0" w:type="dxa"/>
        <w:tblCellMar>
          <w:left w:w="0" w:type="dxa"/>
          <w:right w:w="0" w:type="dxa"/>
        </w:tblCellMar>
        <w:tblLook w:val="04A0" w:firstRow="1" w:lastRow="0" w:firstColumn="1" w:lastColumn="0" w:noHBand="0" w:noVBand="1"/>
      </w:tblPr>
      <w:tblGrid>
        <w:gridCol w:w="2128"/>
        <w:gridCol w:w="964"/>
        <w:gridCol w:w="2032"/>
        <w:gridCol w:w="209"/>
        <w:gridCol w:w="691"/>
        <w:gridCol w:w="1663"/>
        <w:gridCol w:w="345"/>
      </w:tblGrid>
      <w:tr w:rsidR="00000000" w14:paraId="652E4302" w14:textId="77777777">
        <w:trPr>
          <w:divId w:val="586231719"/>
          <w:tblCellSpacing w:w="0" w:type="dxa"/>
        </w:trPr>
        <w:tc>
          <w:tcPr>
            <w:tcW w:w="1325" w:type="pct"/>
            <w:vAlign w:val="bottom"/>
            <w:hideMark/>
          </w:tcPr>
          <w:p w14:paraId="0B5F676E" w14:textId="77777777" w:rsidR="00000000" w:rsidRDefault="00527094">
            <w:pPr>
              <w:pStyle w:val="a3"/>
              <w:spacing w:before="0" w:beforeAutospacing="0" w:after="0" w:afterAutospacing="0"/>
              <w:rPr>
                <w:sz w:val="20"/>
                <w:szCs w:val="20"/>
              </w:rPr>
            </w:pPr>
            <w:r>
              <w:rPr>
                <w:sz w:val="20"/>
                <w:szCs w:val="20"/>
              </w:rPr>
              <w:t>Large accelerated filer</w:t>
            </w:r>
          </w:p>
        </w:tc>
        <w:tc>
          <w:tcPr>
            <w:tcW w:w="600" w:type="pct"/>
            <w:vAlign w:val="bottom"/>
            <w:hideMark/>
          </w:tcPr>
          <w:p w14:paraId="660FAE84" w14:textId="77777777" w:rsidR="00000000" w:rsidRDefault="00527094">
            <w:pPr>
              <w:pStyle w:val="a3"/>
              <w:spacing w:before="0" w:beforeAutospacing="0" w:after="0" w:afterAutospacing="0"/>
              <w:rPr>
                <w:sz w:val="20"/>
                <w:szCs w:val="20"/>
              </w:rPr>
            </w:pPr>
            <w:r>
              <w:rPr>
                <w:rFonts w:ascii="Segoe UI Symbol" w:hAnsi="Segoe UI Symbol" w:cs="Segoe UI Symbol"/>
                <w:sz w:val="20"/>
                <w:szCs w:val="20"/>
              </w:rPr>
              <w:t>☒</w:t>
            </w:r>
          </w:p>
        </w:tc>
        <w:tc>
          <w:tcPr>
            <w:tcW w:w="1260" w:type="pct"/>
            <w:vAlign w:val="bottom"/>
            <w:hideMark/>
          </w:tcPr>
          <w:p w14:paraId="02A6E9B4" w14:textId="77777777" w:rsidR="00000000" w:rsidRDefault="00527094">
            <w:pPr>
              <w:pStyle w:val="a3"/>
              <w:spacing w:before="0" w:beforeAutospacing="0" w:after="0" w:afterAutospacing="0"/>
              <w:rPr>
                <w:sz w:val="20"/>
                <w:szCs w:val="20"/>
              </w:rPr>
            </w:pPr>
            <w:r>
              <w:rPr>
                <w:sz w:val="20"/>
                <w:szCs w:val="20"/>
              </w:rPr>
              <w:t>Accelerated filer</w:t>
            </w:r>
          </w:p>
        </w:tc>
        <w:tc>
          <w:tcPr>
            <w:tcW w:w="130" w:type="pct"/>
            <w:vAlign w:val="bottom"/>
            <w:hideMark/>
          </w:tcPr>
          <w:p w14:paraId="58605982" w14:textId="77777777" w:rsidR="00000000" w:rsidRDefault="00527094">
            <w:pPr>
              <w:pStyle w:val="a3"/>
              <w:spacing w:before="0" w:beforeAutospacing="0" w:after="0" w:afterAutospacing="0"/>
              <w:rPr>
                <w:sz w:val="20"/>
                <w:szCs w:val="20"/>
              </w:rPr>
            </w:pPr>
            <w:r>
              <w:rPr>
                <w:rFonts w:ascii="Segoe UI Symbol" w:hAnsi="Segoe UI Symbol" w:cs="Segoe UI Symbol"/>
                <w:sz w:val="20"/>
                <w:szCs w:val="20"/>
              </w:rPr>
              <w:t>☐</w:t>
            </w:r>
          </w:p>
        </w:tc>
        <w:tc>
          <w:tcPr>
            <w:tcW w:w="430" w:type="pct"/>
            <w:hideMark/>
          </w:tcPr>
          <w:p w14:paraId="0356B623" w14:textId="77777777" w:rsidR="00000000" w:rsidRDefault="00527094">
            <w:pPr>
              <w:rPr>
                <w:rFonts w:eastAsia="Times New Roman"/>
                <w:sz w:val="20"/>
                <w:szCs w:val="20"/>
              </w:rPr>
            </w:pPr>
            <w:r>
              <w:rPr>
                <w:rFonts w:eastAsia="Times New Roman"/>
                <w:sz w:val="20"/>
                <w:szCs w:val="20"/>
              </w:rPr>
              <w:t> </w:t>
            </w:r>
          </w:p>
        </w:tc>
        <w:tc>
          <w:tcPr>
            <w:tcW w:w="1035" w:type="pct"/>
            <w:hideMark/>
          </w:tcPr>
          <w:p w14:paraId="30960208" w14:textId="77777777" w:rsidR="00000000" w:rsidRDefault="00527094">
            <w:pPr>
              <w:pStyle w:val="a3"/>
              <w:spacing w:before="0" w:beforeAutospacing="0" w:after="0" w:afterAutospacing="0"/>
              <w:rPr>
                <w:sz w:val="20"/>
                <w:szCs w:val="20"/>
              </w:rPr>
            </w:pPr>
            <w:r>
              <w:rPr>
                <w:sz w:val="20"/>
                <w:szCs w:val="20"/>
              </w:rPr>
              <w:t>Non-accelerated filer</w:t>
            </w:r>
          </w:p>
        </w:tc>
        <w:tc>
          <w:tcPr>
            <w:tcW w:w="215" w:type="pct"/>
            <w:hideMark/>
          </w:tcPr>
          <w:p w14:paraId="05D8B1EB" w14:textId="77777777" w:rsidR="00000000" w:rsidRDefault="00527094">
            <w:pPr>
              <w:pStyle w:val="a3"/>
              <w:spacing w:before="0" w:beforeAutospacing="0" w:after="0" w:afterAutospacing="0"/>
              <w:jc w:val="right"/>
              <w:rPr>
                <w:sz w:val="20"/>
                <w:szCs w:val="20"/>
              </w:rPr>
            </w:pPr>
            <w:r>
              <w:rPr>
                <w:rFonts w:ascii="Segoe UI Symbol" w:hAnsi="Segoe UI Symbol" w:cs="Segoe UI Symbol"/>
                <w:sz w:val="20"/>
                <w:szCs w:val="20"/>
              </w:rPr>
              <w:t>☐</w:t>
            </w:r>
          </w:p>
        </w:tc>
      </w:tr>
      <w:tr w:rsidR="00000000" w14:paraId="755E9324" w14:textId="77777777">
        <w:trPr>
          <w:divId w:val="586231719"/>
          <w:tblCellSpacing w:w="0" w:type="dxa"/>
        </w:trPr>
        <w:tc>
          <w:tcPr>
            <w:tcW w:w="1325" w:type="pct"/>
            <w:vAlign w:val="bottom"/>
            <w:hideMark/>
          </w:tcPr>
          <w:p w14:paraId="3ACD9E3C" w14:textId="77777777" w:rsidR="00000000" w:rsidRDefault="00527094">
            <w:pPr>
              <w:pStyle w:val="a3"/>
              <w:spacing w:before="0" w:beforeAutospacing="0" w:after="0" w:afterAutospacing="0"/>
              <w:rPr>
                <w:sz w:val="20"/>
                <w:szCs w:val="20"/>
              </w:rPr>
            </w:pPr>
            <w:r>
              <w:rPr>
                <w:sz w:val="20"/>
                <w:szCs w:val="20"/>
              </w:rPr>
              <w:t>Smaller reporting company</w:t>
            </w:r>
          </w:p>
        </w:tc>
        <w:tc>
          <w:tcPr>
            <w:tcW w:w="600" w:type="pct"/>
            <w:vAlign w:val="bottom"/>
            <w:hideMark/>
          </w:tcPr>
          <w:p w14:paraId="7D3C3CF5" w14:textId="77777777" w:rsidR="00000000" w:rsidRDefault="00527094">
            <w:pPr>
              <w:pStyle w:val="a3"/>
              <w:spacing w:before="0" w:beforeAutospacing="0" w:after="0" w:afterAutospacing="0"/>
              <w:rPr>
                <w:sz w:val="20"/>
                <w:szCs w:val="20"/>
              </w:rPr>
            </w:pPr>
            <w:r>
              <w:rPr>
                <w:rFonts w:ascii="Segoe UI Symbol" w:hAnsi="Segoe UI Symbol" w:cs="Segoe UI Symbol"/>
                <w:sz w:val="20"/>
                <w:szCs w:val="20"/>
              </w:rPr>
              <w:t>☐</w:t>
            </w:r>
          </w:p>
        </w:tc>
        <w:tc>
          <w:tcPr>
            <w:tcW w:w="1260" w:type="pct"/>
            <w:vAlign w:val="bottom"/>
            <w:hideMark/>
          </w:tcPr>
          <w:p w14:paraId="0AFB890E" w14:textId="77777777" w:rsidR="00000000" w:rsidRDefault="00527094">
            <w:pPr>
              <w:pStyle w:val="a3"/>
              <w:spacing w:before="0" w:beforeAutospacing="0" w:after="0" w:afterAutospacing="0"/>
              <w:rPr>
                <w:sz w:val="20"/>
                <w:szCs w:val="20"/>
              </w:rPr>
            </w:pPr>
            <w:r>
              <w:rPr>
                <w:sz w:val="20"/>
                <w:szCs w:val="20"/>
              </w:rPr>
              <w:t>Emerging growth company</w:t>
            </w:r>
          </w:p>
        </w:tc>
        <w:tc>
          <w:tcPr>
            <w:tcW w:w="130" w:type="pct"/>
            <w:vAlign w:val="bottom"/>
            <w:hideMark/>
          </w:tcPr>
          <w:p w14:paraId="6EC58FE9" w14:textId="77777777" w:rsidR="00000000" w:rsidRDefault="00527094">
            <w:pPr>
              <w:pStyle w:val="a3"/>
              <w:spacing w:before="0" w:beforeAutospacing="0" w:after="0" w:afterAutospacing="0"/>
              <w:rPr>
                <w:sz w:val="20"/>
                <w:szCs w:val="20"/>
              </w:rPr>
            </w:pPr>
            <w:r>
              <w:rPr>
                <w:rFonts w:ascii="Segoe UI Symbol" w:hAnsi="Segoe UI Symbol" w:cs="Segoe UI Symbol"/>
                <w:sz w:val="20"/>
                <w:szCs w:val="20"/>
              </w:rPr>
              <w:t>☐</w:t>
            </w:r>
          </w:p>
        </w:tc>
        <w:tc>
          <w:tcPr>
            <w:tcW w:w="430" w:type="pct"/>
            <w:hideMark/>
          </w:tcPr>
          <w:p w14:paraId="2C2ED5D5" w14:textId="77777777" w:rsidR="00000000" w:rsidRDefault="00527094">
            <w:pPr>
              <w:rPr>
                <w:rFonts w:eastAsia="Times New Roman"/>
                <w:sz w:val="20"/>
                <w:szCs w:val="20"/>
              </w:rPr>
            </w:pPr>
            <w:r>
              <w:rPr>
                <w:rFonts w:eastAsia="Times New Roman"/>
                <w:sz w:val="20"/>
                <w:szCs w:val="20"/>
              </w:rPr>
              <w:t> </w:t>
            </w:r>
          </w:p>
        </w:tc>
        <w:tc>
          <w:tcPr>
            <w:tcW w:w="1035" w:type="pct"/>
            <w:hideMark/>
          </w:tcPr>
          <w:p w14:paraId="1BCE0D58" w14:textId="77777777" w:rsidR="00000000" w:rsidRDefault="00527094">
            <w:pPr>
              <w:rPr>
                <w:rFonts w:eastAsia="Times New Roman"/>
                <w:sz w:val="20"/>
                <w:szCs w:val="20"/>
              </w:rPr>
            </w:pPr>
            <w:r>
              <w:rPr>
                <w:rFonts w:eastAsia="Times New Roman"/>
                <w:sz w:val="20"/>
                <w:szCs w:val="20"/>
              </w:rPr>
              <w:t> </w:t>
            </w:r>
          </w:p>
        </w:tc>
        <w:tc>
          <w:tcPr>
            <w:tcW w:w="215" w:type="pct"/>
            <w:hideMark/>
          </w:tcPr>
          <w:p w14:paraId="4AE2AEF4" w14:textId="77777777" w:rsidR="00000000" w:rsidRDefault="00527094">
            <w:pPr>
              <w:rPr>
                <w:rFonts w:eastAsia="Times New Roman"/>
                <w:sz w:val="20"/>
                <w:szCs w:val="20"/>
              </w:rPr>
            </w:pPr>
            <w:r>
              <w:rPr>
                <w:rFonts w:eastAsia="Times New Roman"/>
                <w:sz w:val="20"/>
                <w:szCs w:val="20"/>
              </w:rPr>
              <w:t> </w:t>
            </w:r>
          </w:p>
        </w:tc>
      </w:tr>
      <w:tr w:rsidR="00000000" w14:paraId="53EE08C3" w14:textId="77777777">
        <w:trPr>
          <w:divId w:val="586231719"/>
          <w:tblCellSpacing w:w="0" w:type="dxa"/>
        </w:trPr>
        <w:tc>
          <w:tcPr>
            <w:tcW w:w="3190" w:type="pct"/>
            <w:gridSpan w:val="3"/>
            <w:vAlign w:val="bottom"/>
            <w:hideMark/>
          </w:tcPr>
          <w:p w14:paraId="483FB760" w14:textId="77777777" w:rsidR="00000000" w:rsidRDefault="00527094">
            <w:pPr>
              <w:rPr>
                <w:rFonts w:eastAsia="Times New Roman"/>
                <w:sz w:val="20"/>
                <w:szCs w:val="20"/>
              </w:rPr>
            </w:pPr>
            <w:r>
              <w:rPr>
                <w:rFonts w:eastAsia="Times New Roman"/>
                <w:sz w:val="20"/>
                <w:szCs w:val="20"/>
              </w:rPr>
              <w:t> </w:t>
            </w:r>
          </w:p>
        </w:tc>
        <w:tc>
          <w:tcPr>
            <w:tcW w:w="130" w:type="pct"/>
            <w:hideMark/>
          </w:tcPr>
          <w:p w14:paraId="4F6ABBE9" w14:textId="77777777" w:rsidR="00000000" w:rsidRDefault="00527094">
            <w:pPr>
              <w:pStyle w:val="a3"/>
              <w:spacing w:before="0" w:beforeAutospacing="0" w:after="0" w:afterAutospacing="0"/>
              <w:rPr>
                <w:sz w:val="20"/>
                <w:szCs w:val="20"/>
              </w:rPr>
            </w:pPr>
            <w:r>
              <w:rPr>
                <w:sz w:val="20"/>
                <w:szCs w:val="20"/>
              </w:rPr>
              <w:t>  </w:t>
            </w:r>
          </w:p>
        </w:tc>
        <w:tc>
          <w:tcPr>
            <w:tcW w:w="430" w:type="pct"/>
            <w:hideMark/>
          </w:tcPr>
          <w:p w14:paraId="4CB7B1E9" w14:textId="77777777" w:rsidR="00000000" w:rsidRDefault="00527094">
            <w:pPr>
              <w:rPr>
                <w:rFonts w:eastAsia="Times New Roman"/>
                <w:sz w:val="20"/>
                <w:szCs w:val="20"/>
              </w:rPr>
            </w:pPr>
            <w:r>
              <w:rPr>
                <w:rFonts w:eastAsia="Times New Roman"/>
                <w:sz w:val="20"/>
                <w:szCs w:val="20"/>
              </w:rPr>
              <w:t> </w:t>
            </w:r>
          </w:p>
        </w:tc>
        <w:tc>
          <w:tcPr>
            <w:tcW w:w="1035" w:type="pct"/>
            <w:hideMark/>
          </w:tcPr>
          <w:p w14:paraId="3E31106F" w14:textId="77777777" w:rsidR="00000000" w:rsidRDefault="00527094">
            <w:pPr>
              <w:rPr>
                <w:rFonts w:eastAsia="Times New Roman"/>
                <w:sz w:val="20"/>
                <w:szCs w:val="20"/>
              </w:rPr>
            </w:pPr>
            <w:r>
              <w:rPr>
                <w:rFonts w:eastAsia="Times New Roman"/>
                <w:sz w:val="20"/>
                <w:szCs w:val="20"/>
              </w:rPr>
              <w:t> </w:t>
            </w:r>
          </w:p>
        </w:tc>
        <w:tc>
          <w:tcPr>
            <w:tcW w:w="215" w:type="pct"/>
            <w:hideMark/>
          </w:tcPr>
          <w:p w14:paraId="7B505587" w14:textId="77777777" w:rsidR="00000000" w:rsidRDefault="00527094">
            <w:pPr>
              <w:rPr>
                <w:rFonts w:eastAsia="Times New Roman"/>
                <w:sz w:val="20"/>
                <w:szCs w:val="20"/>
              </w:rPr>
            </w:pPr>
            <w:r>
              <w:rPr>
                <w:rFonts w:eastAsia="Times New Roman"/>
                <w:sz w:val="20"/>
                <w:szCs w:val="20"/>
              </w:rPr>
              <w:t> </w:t>
            </w:r>
          </w:p>
        </w:tc>
      </w:tr>
    </w:tbl>
    <w:p w14:paraId="6DD31041" w14:textId="77777777" w:rsidR="00000000" w:rsidRDefault="00527094">
      <w:pPr>
        <w:pStyle w:val="a3"/>
        <w:spacing w:before="0" w:beforeAutospacing="0" w:after="0" w:afterAutospacing="0"/>
        <w:ind w:firstLine="360"/>
        <w:divId w:val="586231719"/>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552391A3" w14:textId="77777777" w:rsidR="00000000" w:rsidRDefault="00527094">
      <w:pPr>
        <w:pStyle w:val="a3"/>
        <w:spacing w:before="0" w:beforeAutospacing="0" w:after="0" w:afterAutospacing="0"/>
        <w:divId w:val="586231719"/>
        <w:rPr>
          <w:sz w:val="20"/>
          <w:szCs w:val="20"/>
        </w:rPr>
      </w:pPr>
      <w:r>
        <w:rPr>
          <w:sz w:val="20"/>
          <w:szCs w:val="20"/>
        </w:rPr>
        <w:t> </w:t>
      </w:r>
    </w:p>
    <w:p w14:paraId="5096F627" w14:textId="77777777" w:rsidR="00000000" w:rsidRDefault="00527094">
      <w:pPr>
        <w:pStyle w:val="a3"/>
        <w:spacing w:before="0" w:beforeAutospacing="0" w:after="0" w:afterAutospacing="0"/>
        <w:ind w:firstLine="360"/>
        <w:divId w:val="586231719"/>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A6E0B23" w14:textId="77777777" w:rsidR="00000000" w:rsidRDefault="00527094">
      <w:pPr>
        <w:pStyle w:val="a3"/>
        <w:spacing w:before="0" w:beforeAutospacing="0" w:after="0" w:afterAutospacing="0"/>
        <w:ind w:firstLine="360"/>
        <w:divId w:val="586231719"/>
        <w:rPr>
          <w:sz w:val="20"/>
          <w:szCs w:val="20"/>
        </w:rPr>
      </w:pPr>
      <w:r>
        <w:rPr>
          <w:sz w:val="20"/>
          <w:szCs w:val="20"/>
        </w:rPr>
        <w:t> </w:t>
      </w:r>
    </w:p>
    <w:p w14:paraId="7AAE16CD" w14:textId="77777777" w:rsidR="00000000" w:rsidRDefault="00527094">
      <w:pPr>
        <w:pStyle w:val="a3"/>
        <w:spacing w:before="0" w:beforeAutospacing="0" w:after="0" w:afterAutospacing="0"/>
        <w:jc w:val="center"/>
        <w:divId w:val="586231719"/>
        <w:rPr>
          <w:sz w:val="20"/>
          <w:szCs w:val="20"/>
        </w:rPr>
      </w:pPr>
      <w:r>
        <w:rPr>
          <w:sz w:val="20"/>
          <w:szCs w:val="20"/>
        </w:rPr>
        <w:t>As of July 15, 2019, the registrant had 422,097,406 shares of common stock outstanding.</w:t>
      </w:r>
    </w:p>
    <w:p w14:paraId="03ADB58E" w14:textId="77777777" w:rsidR="00000000" w:rsidRDefault="00527094">
      <w:pPr>
        <w:pStyle w:val="a3"/>
        <w:spacing w:before="0" w:beforeAutospacing="0" w:after="0" w:afterAutospacing="0"/>
        <w:jc w:val="center"/>
        <w:divId w:val="586231719"/>
        <w:rPr>
          <w:sz w:val="20"/>
          <w:szCs w:val="20"/>
        </w:rPr>
      </w:pPr>
      <w:r>
        <w:rPr>
          <w:sz w:val="20"/>
          <w:szCs w:val="20"/>
        </w:rPr>
        <w:t> </w:t>
      </w:r>
    </w:p>
    <w:p w14:paraId="3A1ABE76" w14:textId="77777777" w:rsidR="00000000" w:rsidRDefault="00527094">
      <w:pPr>
        <w:rPr>
          <w:rFonts w:eastAsia="Times New Roman"/>
          <w:sz w:val="20"/>
          <w:szCs w:val="20"/>
        </w:rPr>
      </w:pPr>
      <w:r>
        <w:rPr>
          <w:rFonts w:eastAsia="Times New Roman"/>
          <w:sz w:val="20"/>
          <w:szCs w:val="20"/>
        </w:rPr>
        <w:pict w14:anchorId="7D233A73">
          <v:rect id="_x0000_i1027" style="width:0;height:1.5pt" o:hralign="center" o:hrstd="t" o:hr="t" fillcolor="#a0a0a0" stroked="f"/>
        </w:pict>
      </w:r>
    </w:p>
    <w:p w14:paraId="2F097F59" w14:textId="77777777" w:rsidR="00000000" w:rsidRDefault="00527094">
      <w:pPr>
        <w:rPr>
          <w:rFonts w:eastAsia="Times New Roman"/>
          <w:sz w:val="20"/>
          <w:szCs w:val="20"/>
        </w:rPr>
      </w:pPr>
      <w:r>
        <w:rPr>
          <w:rFonts w:eastAsia="Times New Roman"/>
          <w:sz w:val="20"/>
          <w:szCs w:val="20"/>
        </w:rPr>
        <w:pict w14:anchorId="4B863FAB">
          <v:rect id="_x0000_i1028" style="width:0;height:1.5pt" o:hralign="center" o:hrstd="t" o:hr="t" fillcolor="#a0a0a0" stroked="f"/>
        </w:pict>
      </w:r>
    </w:p>
    <w:p w14:paraId="1A6741F1" w14:textId="77777777" w:rsidR="00000000" w:rsidRDefault="00527094">
      <w:pPr>
        <w:pStyle w:val="a3"/>
        <w:spacing w:before="0" w:beforeAutospacing="0" w:after="0" w:afterAutospacing="0"/>
        <w:jc w:val="center"/>
        <w:rPr>
          <w:sz w:val="20"/>
          <w:szCs w:val="20"/>
        </w:rPr>
      </w:pPr>
      <w:r>
        <w:rPr>
          <w:sz w:val="20"/>
          <w:szCs w:val="20"/>
        </w:rPr>
        <w:t> </w:t>
      </w:r>
    </w:p>
    <w:p w14:paraId="06596E68" w14:textId="77777777" w:rsidR="00000000" w:rsidRDefault="00527094">
      <w:pPr>
        <w:jc w:val="center"/>
        <w:divId w:val="895160730"/>
        <w:rPr>
          <w:rFonts w:eastAsia="Times New Roman"/>
          <w:sz w:val="20"/>
          <w:szCs w:val="20"/>
        </w:rPr>
      </w:pPr>
      <w:r>
        <w:rPr>
          <w:rFonts w:eastAsia="Times New Roman"/>
          <w:sz w:val="20"/>
          <w:szCs w:val="20"/>
        </w:rPr>
        <w:t xml:space="preserve">  </w:t>
      </w:r>
    </w:p>
    <w:p w14:paraId="2FED3392" w14:textId="77777777" w:rsidR="00000000" w:rsidRDefault="00527094">
      <w:pPr>
        <w:divId w:val="895160730"/>
        <w:rPr>
          <w:rFonts w:eastAsia="Times New Roman"/>
          <w:sz w:val="20"/>
          <w:szCs w:val="20"/>
        </w:rPr>
      </w:pPr>
      <w:r>
        <w:rPr>
          <w:rFonts w:eastAsia="Times New Roman"/>
          <w:sz w:val="20"/>
          <w:szCs w:val="20"/>
        </w:rPr>
        <w:pict w14:anchorId="7845608E">
          <v:rect id="_x0000_i1029" style="width:0;height:1.5pt" o:hralign="center" o:hrstd="t" o:hr="t" fillcolor="#a0a0a0" stroked="f"/>
        </w:pict>
      </w:r>
    </w:p>
    <w:p w14:paraId="39E02CD3" w14:textId="77777777" w:rsidR="00000000" w:rsidRDefault="00527094">
      <w:pPr>
        <w:divId w:val="8951607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8246AC0" w14:textId="77777777" w:rsidR="00000000" w:rsidRDefault="00527094">
      <w:pPr>
        <w:divId w:val="1346249183"/>
        <w:rPr>
          <w:rFonts w:eastAsia="Times New Roman"/>
          <w:sz w:val="20"/>
          <w:szCs w:val="20"/>
        </w:rPr>
      </w:pPr>
      <w:r>
        <w:rPr>
          <w:rFonts w:eastAsia="Times New Roman"/>
          <w:sz w:val="20"/>
          <w:szCs w:val="20"/>
        </w:rPr>
        <w:t xml:space="preserve">  </w:t>
      </w:r>
    </w:p>
    <w:p w14:paraId="58202842" w14:textId="77777777" w:rsidR="00000000" w:rsidRDefault="00527094">
      <w:pPr>
        <w:pStyle w:val="a3"/>
        <w:spacing w:before="0" w:beforeAutospacing="0" w:after="0" w:afterAutospacing="0"/>
        <w:jc w:val="center"/>
        <w:rPr>
          <w:sz w:val="20"/>
          <w:szCs w:val="20"/>
        </w:rPr>
      </w:pPr>
      <w:hyperlink w:anchor="balance" w:history="1">
        <w:r>
          <w:rPr>
            <w:rStyle w:val="a4"/>
            <w:sz w:val="20"/>
            <w:szCs w:val="20"/>
          </w:rPr>
          <w:t>PART I - FINANCIAL INFORMATION</w:t>
        </w:r>
      </w:hyperlink>
    </w:p>
    <w:p w14:paraId="64B54404" w14:textId="77777777" w:rsidR="00000000" w:rsidRDefault="0052709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45"/>
        <w:gridCol w:w="7219"/>
        <w:gridCol w:w="242"/>
      </w:tblGrid>
      <w:tr w:rsidR="00000000" w14:paraId="62F53478" w14:textId="77777777">
        <w:trPr>
          <w:tblCellSpacing w:w="0" w:type="dxa"/>
        </w:trPr>
        <w:tc>
          <w:tcPr>
            <w:tcW w:w="300" w:type="pct"/>
            <w:hideMark/>
          </w:tcPr>
          <w:p w14:paraId="18FF37B4" w14:textId="77777777" w:rsidR="00000000" w:rsidRDefault="00527094">
            <w:pPr>
              <w:pStyle w:val="a3"/>
              <w:spacing w:before="0" w:beforeAutospacing="0" w:after="0" w:afterAutospacing="0"/>
              <w:rPr>
                <w:sz w:val="20"/>
                <w:szCs w:val="20"/>
              </w:rPr>
            </w:pPr>
            <w:hyperlink w:anchor="balance" w:history="1">
              <w:r>
                <w:rPr>
                  <w:rStyle w:val="a4"/>
                  <w:sz w:val="20"/>
                  <w:szCs w:val="20"/>
                </w:rPr>
                <w:t>Item 1.</w:t>
              </w:r>
            </w:hyperlink>
          </w:p>
        </w:tc>
        <w:tc>
          <w:tcPr>
            <w:tcW w:w="4450" w:type="pct"/>
            <w:hideMark/>
          </w:tcPr>
          <w:p w14:paraId="1208BD99" w14:textId="77777777" w:rsidR="00000000" w:rsidRDefault="00527094">
            <w:pPr>
              <w:pStyle w:val="a3"/>
              <w:spacing w:before="0" w:beforeAutospacing="0" w:after="0" w:afterAutospacing="0"/>
              <w:rPr>
                <w:sz w:val="20"/>
                <w:szCs w:val="20"/>
              </w:rPr>
            </w:pPr>
            <w:hyperlink w:anchor="balance" w:history="1">
              <w:r>
                <w:rPr>
                  <w:rStyle w:val="a4"/>
                  <w:sz w:val="20"/>
                  <w:szCs w:val="20"/>
                </w:rPr>
                <w:t>Financial Statements.</w:t>
              </w:r>
            </w:hyperlink>
          </w:p>
        </w:tc>
        <w:tc>
          <w:tcPr>
            <w:tcW w:w="250" w:type="pct"/>
            <w:hideMark/>
          </w:tcPr>
          <w:p w14:paraId="745E5BD0" w14:textId="77777777" w:rsidR="00000000" w:rsidRDefault="00527094">
            <w:pPr>
              <w:pStyle w:val="a3"/>
              <w:spacing w:before="0" w:beforeAutospacing="0" w:after="0" w:afterAutospacing="0"/>
              <w:rPr>
                <w:sz w:val="20"/>
                <w:szCs w:val="20"/>
              </w:rPr>
            </w:pPr>
            <w:r>
              <w:rPr>
                <w:sz w:val="20"/>
                <w:szCs w:val="20"/>
              </w:rPr>
              <w:t>  </w:t>
            </w:r>
          </w:p>
        </w:tc>
      </w:tr>
      <w:tr w:rsidR="00000000" w14:paraId="063989AA" w14:textId="77777777">
        <w:trPr>
          <w:tblCellSpacing w:w="0" w:type="dxa"/>
        </w:trPr>
        <w:tc>
          <w:tcPr>
            <w:tcW w:w="300" w:type="pct"/>
            <w:hideMark/>
          </w:tcPr>
          <w:p w14:paraId="73EACDCF"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11E685D3" w14:textId="77777777" w:rsidR="00000000" w:rsidRDefault="00527094">
            <w:pPr>
              <w:pStyle w:val="a3"/>
              <w:spacing w:before="0" w:beforeAutospacing="0" w:after="0" w:afterAutospacing="0"/>
              <w:rPr>
                <w:sz w:val="20"/>
                <w:szCs w:val="20"/>
              </w:rPr>
            </w:pPr>
            <w:r>
              <w:rPr>
                <w:sz w:val="20"/>
                <w:szCs w:val="20"/>
              </w:rPr>
              <w:t>  </w:t>
            </w:r>
          </w:p>
        </w:tc>
        <w:tc>
          <w:tcPr>
            <w:tcW w:w="250" w:type="pct"/>
            <w:hideMark/>
          </w:tcPr>
          <w:p w14:paraId="53A89A6F" w14:textId="77777777" w:rsidR="00000000" w:rsidRDefault="00527094">
            <w:pPr>
              <w:pStyle w:val="a3"/>
              <w:spacing w:before="0" w:beforeAutospacing="0" w:after="0" w:afterAutospacing="0"/>
              <w:rPr>
                <w:sz w:val="20"/>
                <w:szCs w:val="20"/>
              </w:rPr>
            </w:pPr>
            <w:r>
              <w:rPr>
                <w:sz w:val="20"/>
                <w:szCs w:val="20"/>
              </w:rPr>
              <w:t>  </w:t>
            </w:r>
          </w:p>
        </w:tc>
      </w:tr>
      <w:tr w:rsidR="00000000" w14:paraId="52622CD6" w14:textId="77777777">
        <w:trPr>
          <w:tblCellSpacing w:w="0" w:type="dxa"/>
        </w:trPr>
        <w:tc>
          <w:tcPr>
            <w:tcW w:w="300" w:type="pct"/>
            <w:gridSpan w:val="2"/>
            <w:hideMark/>
          </w:tcPr>
          <w:p w14:paraId="68630377" w14:textId="77777777" w:rsidR="00000000" w:rsidRDefault="00527094">
            <w:pPr>
              <w:pStyle w:val="a3"/>
              <w:spacing w:before="0" w:beforeAutospacing="0" w:after="0" w:afterAutospacing="0"/>
              <w:rPr>
                <w:sz w:val="20"/>
                <w:szCs w:val="20"/>
              </w:rPr>
            </w:pPr>
            <w:r>
              <w:rPr>
                <w:sz w:val="20"/>
                <w:szCs w:val="20"/>
              </w:rPr>
              <w:t>Condensed Consolidated Financial Statements of Kimco Realty Corporation and Subsidiaries (Unaudited) -</w:t>
            </w:r>
          </w:p>
        </w:tc>
        <w:tc>
          <w:tcPr>
            <w:tcW w:w="250" w:type="pct"/>
            <w:hideMark/>
          </w:tcPr>
          <w:p w14:paraId="3988DBB9" w14:textId="77777777" w:rsidR="00000000" w:rsidRDefault="00527094">
            <w:pPr>
              <w:pStyle w:val="a3"/>
              <w:spacing w:before="0" w:beforeAutospacing="0" w:after="0" w:afterAutospacing="0"/>
              <w:rPr>
                <w:sz w:val="20"/>
                <w:szCs w:val="20"/>
              </w:rPr>
            </w:pPr>
            <w:r>
              <w:rPr>
                <w:sz w:val="20"/>
                <w:szCs w:val="20"/>
              </w:rPr>
              <w:t>  </w:t>
            </w:r>
          </w:p>
        </w:tc>
      </w:tr>
      <w:tr w:rsidR="00000000" w14:paraId="001E13A2" w14:textId="77777777">
        <w:trPr>
          <w:tblCellSpacing w:w="0" w:type="dxa"/>
        </w:trPr>
        <w:tc>
          <w:tcPr>
            <w:tcW w:w="300" w:type="pct"/>
            <w:hideMark/>
          </w:tcPr>
          <w:p w14:paraId="1B5EE569"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2293B48E" w14:textId="77777777" w:rsidR="00000000" w:rsidRDefault="00527094">
            <w:pPr>
              <w:pStyle w:val="a3"/>
              <w:spacing w:before="0" w:beforeAutospacing="0" w:after="0" w:afterAutospacing="0"/>
              <w:rPr>
                <w:sz w:val="20"/>
                <w:szCs w:val="20"/>
              </w:rPr>
            </w:pPr>
            <w:r>
              <w:rPr>
                <w:sz w:val="20"/>
                <w:szCs w:val="20"/>
              </w:rPr>
              <w:t>  </w:t>
            </w:r>
          </w:p>
        </w:tc>
        <w:tc>
          <w:tcPr>
            <w:tcW w:w="250" w:type="pct"/>
            <w:hideMark/>
          </w:tcPr>
          <w:p w14:paraId="17826309" w14:textId="77777777" w:rsidR="00000000" w:rsidRDefault="00527094">
            <w:pPr>
              <w:pStyle w:val="a3"/>
              <w:spacing w:before="0" w:beforeAutospacing="0" w:after="0" w:afterAutospacing="0"/>
              <w:rPr>
                <w:sz w:val="20"/>
                <w:szCs w:val="20"/>
              </w:rPr>
            </w:pPr>
            <w:r>
              <w:rPr>
                <w:sz w:val="20"/>
                <w:szCs w:val="20"/>
              </w:rPr>
              <w:t>  </w:t>
            </w:r>
          </w:p>
        </w:tc>
      </w:tr>
      <w:tr w:rsidR="00000000" w14:paraId="0B117808" w14:textId="77777777">
        <w:trPr>
          <w:tblCellSpacing w:w="0" w:type="dxa"/>
        </w:trPr>
        <w:tc>
          <w:tcPr>
            <w:tcW w:w="300" w:type="pct"/>
            <w:hideMark/>
          </w:tcPr>
          <w:p w14:paraId="1CE3ECA5"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6EFA31A8" w14:textId="77777777" w:rsidR="00000000" w:rsidRDefault="00527094">
            <w:pPr>
              <w:pStyle w:val="a3"/>
              <w:spacing w:before="0" w:beforeAutospacing="0" w:after="0" w:afterAutospacing="0"/>
              <w:rPr>
                <w:sz w:val="20"/>
                <w:szCs w:val="20"/>
              </w:rPr>
            </w:pPr>
            <w:hyperlink w:anchor="balance" w:history="1">
              <w:r>
                <w:rPr>
                  <w:rStyle w:val="a4"/>
                  <w:sz w:val="20"/>
                  <w:szCs w:val="20"/>
                </w:rPr>
                <w:t>Condensed Consolidated Balance Sheets as of June 30, 2019 and December 31, 2018</w:t>
              </w:r>
            </w:hyperlink>
          </w:p>
        </w:tc>
        <w:tc>
          <w:tcPr>
            <w:tcW w:w="250" w:type="pct"/>
            <w:hideMark/>
          </w:tcPr>
          <w:p w14:paraId="0F4FFFB5" w14:textId="77777777" w:rsidR="00000000" w:rsidRDefault="00527094">
            <w:pPr>
              <w:pStyle w:val="a3"/>
              <w:spacing w:before="0" w:beforeAutospacing="0" w:after="0" w:afterAutospacing="0"/>
              <w:jc w:val="right"/>
              <w:rPr>
                <w:sz w:val="20"/>
                <w:szCs w:val="20"/>
              </w:rPr>
            </w:pPr>
            <w:r>
              <w:rPr>
                <w:sz w:val="20"/>
                <w:szCs w:val="20"/>
              </w:rPr>
              <w:t>3</w:t>
            </w:r>
          </w:p>
        </w:tc>
      </w:tr>
      <w:tr w:rsidR="00000000" w14:paraId="3C1BC2B9" w14:textId="77777777">
        <w:trPr>
          <w:tblCellSpacing w:w="0" w:type="dxa"/>
        </w:trPr>
        <w:tc>
          <w:tcPr>
            <w:tcW w:w="300" w:type="pct"/>
            <w:hideMark/>
          </w:tcPr>
          <w:p w14:paraId="38368401"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1E72DD94" w14:textId="77777777" w:rsidR="00000000" w:rsidRDefault="00527094">
            <w:pPr>
              <w:pStyle w:val="a3"/>
              <w:spacing w:before="0" w:beforeAutospacing="0" w:after="0" w:afterAutospacing="0"/>
              <w:rPr>
                <w:sz w:val="20"/>
                <w:szCs w:val="20"/>
              </w:rPr>
            </w:pPr>
            <w:r>
              <w:rPr>
                <w:sz w:val="20"/>
                <w:szCs w:val="20"/>
              </w:rPr>
              <w:t>  </w:t>
            </w:r>
          </w:p>
        </w:tc>
        <w:tc>
          <w:tcPr>
            <w:tcW w:w="250" w:type="pct"/>
            <w:vAlign w:val="bottom"/>
            <w:hideMark/>
          </w:tcPr>
          <w:p w14:paraId="37AB279F" w14:textId="77777777" w:rsidR="00000000" w:rsidRDefault="00527094">
            <w:pPr>
              <w:rPr>
                <w:rFonts w:eastAsia="Times New Roman"/>
                <w:sz w:val="20"/>
                <w:szCs w:val="20"/>
              </w:rPr>
            </w:pPr>
            <w:r>
              <w:rPr>
                <w:rFonts w:eastAsia="Times New Roman"/>
                <w:sz w:val="20"/>
                <w:szCs w:val="20"/>
              </w:rPr>
              <w:t> </w:t>
            </w:r>
          </w:p>
        </w:tc>
      </w:tr>
      <w:tr w:rsidR="00000000" w14:paraId="280072AE" w14:textId="77777777">
        <w:trPr>
          <w:tblCellSpacing w:w="0" w:type="dxa"/>
        </w:trPr>
        <w:tc>
          <w:tcPr>
            <w:tcW w:w="300" w:type="pct"/>
            <w:hideMark/>
          </w:tcPr>
          <w:p w14:paraId="100A0362"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6B3087B6" w14:textId="77777777" w:rsidR="00000000" w:rsidRDefault="00527094">
            <w:pPr>
              <w:pStyle w:val="a3"/>
              <w:spacing w:before="0" w:beforeAutospacing="0" w:after="0" w:afterAutospacing="0"/>
              <w:rPr>
                <w:sz w:val="20"/>
                <w:szCs w:val="20"/>
              </w:rPr>
            </w:pPr>
            <w:hyperlink w:anchor="income" w:history="1">
              <w:r>
                <w:rPr>
                  <w:rStyle w:val="a4"/>
                  <w:sz w:val="20"/>
                  <w:szCs w:val="20"/>
                </w:rPr>
                <w:t>Condensed Consolidated Statements of Income for the Three and Six Months Ended June 30, 2019 and 2018</w:t>
              </w:r>
            </w:hyperlink>
          </w:p>
        </w:tc>
        <w:tc>
          <w:tcPr>
            <w:tcW w:w="250" w:type="pct"/>
            <w:hideMark/>
          </w:tcPr>
          <w:p w14:paraId="3FD34B67" w14:textId="77777777" w:rsidR="00000000" w:rsidRDefault="00527094">
            <w:pPr>
              <w:pStyle w:val="a3"/>
              <w:spacing w:before="0" w:beforeAutospacing="0" w:after="0" w:afterAutospacing="0"/>
              <w:jc w:val="right"/>
              <w:rPr>
                <w:sz w:val="20"/>
                <w:szCs w:val="20"/>
              </w:rPr>
            </w:pPr>
            <w:r>
              <w:rPr>
                <w:sz w:val="20"/>
                <w:szCs w:val="20"/>
              </w:rPr>
              <w:t>4</w:t>
            </w:r>
          </w:p>
        </w:tc>
      </w:tr>
      <w:tr w:rsidR="00000000" w14:paraId="63E3D04F" w14:textId="77777777">
        <w:trPr>
          <w:tblCellSpacing w:w="0" w:type="dxa"/>
        </w:trPr>
        <w:tc>
          <w:tcPr>
            <w:tcW w:w="300" w:type="pct"/>
            <w:hideMark/>
          </w:tcPr>
          <w:p w14:paraId="343C42E5"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06DF2230" w14:textId="77777777" w:rsidR="00000000" w:rsidRDefault="00527094">
            <w:pPr>
              <w:rPr>
                <w:rFonts w:eastAsia="Times New Roman"/>
                <w:sz w:val="20"/>
                <w:szCs w:val="20"/>
              </w:rPr>
            </w:pPr>
            <w:r>
              <w:rPr>
                <w:rFonts w:eastAsia="Times New Roman"/>
                <w:sz w:val="20"/>
                <w:szCs w:val="20"/>
              </w:rPr>
              <w:t> </w:t>
            </w:r>
          </w:p>
        </w:tc>
        <w:tc>
          <w:tcPr>
            <w:tcW w:w="250" w:type="pct"/>
            <w:vAlign w:val="bottom"/>
            <w:hideMark/>
          </w:tcPr>
          <w:p w14:paraId="392F3A7E" w14:textId="77777777" w:rsidR="00000000" w:rsidRDefault="00527094">
            <w:pPr>
              <w:rPr>
                <w:rFonts w:eastAsia="Times New Roman"/>
                <w:sz w:val="20"/>
                <w:szCs w:val="20"/>
              </w:rPr>
            </w:pPr>
            <w:r>
              <w:rPr>
                <w:rFonts w:eastAsia="Times New Roman"/>
                <w:sz w:val="20"/>
                <w:szCs w:val="20"/>
              </w:rPr>
              <w:t> </w:t>
            </w:r>
          </w:p>
        </w:tc>
      </w:tr>
      <w:tr w:rsidR="00000000" w14:paraId="7DC7A027" w14:textId="77777777">
        <w:trPr>
          <w:tblCellSpacing w:w="0" w:type="dxa"/>
        </w:trPr>
        <w:tc>
          <w:tcPr>
            <w:tcW w:w="300" w:type="pct"/>
            <w:hideMark/>
          </w:tcPr>
          <w:p w14:paraId="35BB4D0D"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6D87CA34" w14:textId="77777777" w:rsidR="00000000" w:rsidRDefault="00527094">
            <w:pPr>
              <w:pStyle w:val="a3"/>
              <w:spacing w:before="0" w:beforeAutospacing="0" w:after="0" w:afterAutospacing="0"/>
              <w:rPr>
                <w:sz w:val="20"/>
                <w:szCs w:val="20"/>
              </w:rPr>
            </w:pPr>
            <w:hyperlink w:anchor="comp_income" w:history="1">
              <w:r>
                <w:rPr>
                  <w:rStyle w:val="a4"/>
                  <w:sz w:val="20"/>
                  <w:szCs w:val="20"/>
                </w:rPr>
                <w:t>Condensed Consolidated Statements of Comprehensive Income for the Three and Six Months Ended June 30, 2019 and 2018</w:t>
              </w:r>
            </w:hyperlink>
          </w:p>
        </w:tc>
        <w:tc>
          <w:tcPr>
            <w:tcW w:w="250" w:type="pct"/>
            <w:hideMark/>
          </w:tcPr>
          <w:p w14:paraId="0D652EF8" w14:textId="77777777" w:rsidR="00000000" w:rsidRDefault="00527094">
            <w:pPr>
              <w:pStyle w:val="a3"/>
              <w:spacing w:before="0" w:beforeAutospacing="0" w:after="0" w:afterAutospacing="0"/>
              <w:jc w:val="right"/>
              <w:rPr>
                <w:sz w:val="20"/>
                <w:szCs w:val="20"/>
              </w:rPr>
            </w:pPr>
            <w:r>
              <w:rPr>
                <w:sz w:val="20"/>
                <w:szCs w:val="20"/>
              </w:rPr>
              <w:t>5</w:t>
            </w:r>
          </w:p>
        </w:tc>
      </w:tr>
      <w:tr w:rsidR="00000000" w14:paraId="3E009089" w14:textId="77777777">
        <w:trPr>
          <w:tblCellSpacing w:w="0" w:type="dxa"/>
        </w:trPr>
        <w:tc>
          <w:tcPr>
            <w:tcW w:w="300" w:type="pct"/>
            <w:hideMark/>
          </w:tcPr>
          <w:p w14:paraId="6E5803FB"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419DB24A" w14:textId="77777777" w:rsidR="00000000" w:rsidRDefault="00527094">
            <w:pPr>
              <w:rPr>
                <w:rFonts w:eastAsia="Times New Roman"/>
                <w:sz w:val="20"/>
                <w:szCs w:val="20"/>
              </w:rPr>
            </w:pPr>
            <w:r>
              <w:rPr>
                <w:rFonts w:eastAsia="Times New Roman"/>
                <w:sz w:val="20"/>
                <w:szCs w:val="20"/>
              </w:rPr>
              <w:t> </w:t>
            </w:r>
          </w:p>
        </w:tc>
        <w:tc>
          <w:tcPr>
            <w:tcW w:w="250" w:type="pct"/>
            <w:vAlign w:val="bottom"/>
            <w:hideMark/>
          </w:tcPr>
          <w:p w14:paraId="59CD8F55" w14:textId="77777777" w:rsidR="00000000" w:rsidRDefault="00527094">
            <w:pPr>
              <w:rPr>
                <w:rFonts w:eastAsia="Times New Roman"/>
                <w:sz w:val="20"/>
                <w:szCs w:val="20"/>
              </w:rPr>
            </w:pPr>
            <w:r>
              <w:rPr>
                <w:rFonts w:eastAsia="Times New Roman"/>
                <w:sz w:val="20"/>
                <w:szCs w:val="20"/>
              </w:rPr>
              <w:t> </w:t>
            </w:r>
          </w:p>
        </w:tc>
      </w:tr>
      <w:tr w:rsidR="00000000" w14:paraId="245A5492" w14:textId="77777777">
        <w:trPr>
          <w:tblCellSpacing w:w="0" w:type="dxa"/>
        </w:trPr>
        <w:tc>
          <w:tcPr>
            <w:tcW w:w="300" w:type="pct"/>
            <w:hideMark/>
          </w:tcPr>
          <w:p w14:paraId="36B5BDBF"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753D2A64" w14:textId="77777777" w:rsidR="00000000" w:rsidRDefault="00527094">
            <w:pPr>
              <w:pStyle w:val="a3"/>
              <w:spacing w:before="0" w:beforeAutospacing="0" w:after="0" w:afterAutospacing="0"/>
              <w:rPr>
                <w:sz w:val="20"/>
                <w:szCs w:val="20"/>
              </w:rPr>
            </w:pPr>
            <w:hyperlink w:anchor="equity" w:history="1">
              <w:r>
                <w:rPr>
                  <w:rStyle w:val="a4"/>
                  <w:sz w:val="20"/>
                  <w:szCs w:val="20"/>
                </w:rPr>
                <w:t xml:space="preserve">Condensed Consolidated Statements of Changes in Equity for the </w:t>
              </w:r>
              <w:r>
                <w:rPr>
                  <w:rStyle w:val="a4"/>
                  <w:sz w:val="20"/>
                  <w:szCs w:val="20"/>
                </w:rPr>
                <w:t>Three Months Ended June 30, 2019 and 2018</w:t>
              </w:r>
            </w:hyperlink>
          </w:p>
        </w:tc>
        <w:tc>
          <w:tcPr>
            <w:tcW w:w="250" w:type="pct"/>
            <w:hideMark/>
          </w:tcPr>
          <w:p w14:paraId="46902EA5" w14:textId="77777777" w:rsidR="00000000" w:rsidRDefault="00527094">
            <w:pPr>
              <w:pStyle w:val="a3"/>
              <w:spacing w:before="0" w:beforeAutospacing="0" w:after="0" w:afterAutospacing="0"/>
              <w:jc w:val="right"/>
              <w:rPr>
                <w:sz w:val="20"/>
                <w:szCs w:val="20"/>
              </w:rPr>
            </w:pPr>
            <w:r>
              <w:rPr>
                <w:sz w:val="20"/>
                <w:szCs w:val="20"/>
              </w:rPr>
              <w:t>6</w:t>
            </w:r>
          </w:p>
        </w:tc>
      </w:tr>
      <w:tr w:rsidR="00000000" w14:paraId="3933281D" w14:textId="77777777">
        <w:trPr>
          <w:tblCellSpacing w:w="0" w:type="dxa"/>
        </w:trPr>
        <w:tc>
          <w:tcPr>
            <w:tcW w:w="300" w:type="pct"/>
            <w:hideMark/>
          </w:tcPr>
          <w:p w14:paraId="386B3CB5" w14:textId="77777777" w:rsidR="00000000" w:rsidRDefault="00527094">
            <w:pPr>
              <w:pStyle w:val="a3"/>
              <w:spacing w:before="0" w:beforeAutospacing="0" w:after="0" w:afterAutospacing="0"/>
              <w:rPr>
                <w:sz w:val="20"/>
                <w:szCs w:val="20"/>
              </w:rPr>
            </w:pPr>
            <w:r>
              <w:rPr>
                <w:sz w:val="20"/>
                <w:szCs w:val="20"/>
              </w:rPr>
              <w:lastRenderedPageBreak/>
              <w:t>  </w:t>
            </w:r>
          </w:p>
        </w:tc>
        <w:tc>
          <w:tcPr>
            <w:tcW w:w="4450" w:type="pct"/>
            <w:hideMark/>
          </w:tcPr>
          <w:p w14:paraId="0504B32A" w14:textId="77777777" w:rsidR="00000000" w:rsidRDefault="00527094">
            <w:pPr>
              <w:rPr>
                <w:rFonts w:eastAsia="Times New Roman"/>
                <w:sz w:val="20"/>
                <w:szCs w:val="20"/>
              </w:rPr>
            </w:pPr>
            <w:r>
              <w:rPr>
                <w:rFonts w:eastAsia="Times New Roman"/>
                <w:sz w:val="20"/>
                <w:szCs w:val="20"/>
              </w:rPr>
              <w:t> </w:t>
            </w:r>
          </w:p>
        </w:tc>
        <w:tc>
          <w:tcPr>
            <w:tcW w:w="250" w:type="pct"/>
            <w:vAlign w:val="bottom"/>
            <w:hideMark/>
          </w:tcPr>
          <w:p w14:paraId="205A09B5" w14:textId="77777777" w:rsidR="00000000" w:rsidRDefault="00527094">
            <w:pPr>
              <w:rPr>
                <w:rFonts w:eastAsia="Times New Roman"/>
                <w:sz w:val="20"/>
                <w:szCs w:val="20"/>
              </w:rPr>
            </w:pPr>
            <w:r>
              <w:rPr>
                <w:rFonts w:eastAsia="Times New Roman"/>
                <w:sz w:val="20"/>
                <w:szCs w:val="20"/>
              </w:rPr>
              <w:t> </w:t>
            </w:r>
          </w:p>
        </w:tc>
      </w:tr>
      <w:tr w:rsidR="00000000" w14:paraId="0BE00DF8" w14:textId="77777777">
        <w:trPr>
          <w:tblCellSpacing w:w="0" w:type="dxa"/>
        </w:trPr>
        <w:tc>
          <w:tcPr>
            <w:tcW w:w="300" w:type="pct"/>
            <w:hideMark/>
          </w:tcPr>
          <w:p w14:paraId="7A96C5AF" w14:textId="77777777" w:rsidR="00000000" w:rsidRDefault="00527094">
            <w:pPr>
              <w:rPr>
                <w:rFonts w:eastAsia="Times New Roman"/>
                <w:sz w:val="20"/>
                <w:szCs w:val="20"/>
              </w:rPr>
            </w:pPr>
            <w:r>
              <w:rPr>
                <w:rFonts w:eastAsia="Times New Roman"/>
                <w:sz w:val="20"/>
                <w:szCs w:val="20"/>
              </w:rPr>
              <w:t> </w:t>
            </w:r>
          </w:p>
        </w:tc>
        <w:tc>
          <w:tcPr>
            <w:tcW w:w="4450" w:type="pct"/>
            <w:hideMark/>
          </w:tcPr>
          <w:p w14:paraId="052AD306" w14:textId="77777777" w:rsidR="00000000" w:rsidRDefault="00527094">
            <w:pPr>
              <w:pStyle w:val="a3"/>
              <w:spacing w:before="0" w:beforeAutospacing="0" w:after="0" w:afterAutospacing="0"/>
              <w:rPr>
                <w:sz w:val="20"/>
                <w:szCs w:val="20"/>
              </w:rPr>
            </w:pPr>
            <w:hyperlink w:anchor="comp_equity2" w:history="1">
              <w:r>
                <w:rPr>
                  <w:rStyle w:val="a4"/>
                  <w:sz w:val="20"/>
                  <w:szCs w:val="20"/>
                </w:rPr>
                <w:t>Condensed Consolidated Statements of Changes in Equity for the Six Months Ended June 30, 2019 and 2018</w:t>
              </w:r>
            </w:hyperlink>
          </w:p>
        </w:tc>
        <w:tc>
          <w:tcPr>
            <w:tcW w:w="250" w:type="pct"/>
            <w:hideMark/>
          </w:tcPr>
          <w:p w14:paraId="56EE37D0" w14:textId="77777777" w:rsidR="00000000" w:rsidRDefault="00527094">
            <w:pPr>
              <w:pStyle w:val="a3"/>
              <w:spacing w:before="0" w:beforeAutospacing="0" w:after="0" w:afterAutospacing="0"/>
              <w:jc w:val="right"/>
              <w:rPr>
                <w:sz w:val="20"/>
                <w:szCs w:val="20"/>
              </w:rPr>
            </w:pPr>
            <w:r>
              <w:rPr>
                <w:sz w:val="20"/>
                <w:szCs w:val="20"/>
              </w:rPr>
              <w:t>7</w:t>
            </w:r>
          </w:p>
        </w:tc>
      </w:tr>
      <w:tr w:rsidR="00000000" w14:paraId="0A765994" w14:textId="77777777">
        <w:trPr>
          <w:tblCellSpacing w:w="0" w:type="dxa"/>
        </w:trPr>
        <w:tc>
          <w:tcPr>
            <w:tcW w:w="300" w:type="pct"/>
            <w:hideMark/>
          </w:tcPr>
          <w:p w14:paraId="2D8489AF" w14:textId="77777777" w:rsidR="00000000" w:rsidRDefault="00527094">
            <w:pPr>
              <w:rPr>
                <w:rFonts w:eastAsia="Times New Roman"/>
                <w:sz w:val="20"/>
                <w:szCs w:val="20"/>
              </w:rPr>
            </w:pPr>
            <w:r>
              <w:rPr>
                <w:rFonts w:eastAsia="Times New Roman"/>
                <w:sz w:val="20"/>
                <w:szCs w:val="20"/>
              </w:rPr>
              <w:t> </w:t>
            </w:r>
          </w:p>
        </w:tc>
        <w:tc>
          <w:tcPr>
            <w:tcW w:w="4450" w:type="pct"/>
            <w:hideMark/>
          </w:tcPr>
          <w:p w14:paraId="50A2C6F4" w14:textId="77777777" w:rsidR="00000000" w:rsidRDefault="00527094">
            <w:pPr>
              <w:rPr>
                <w:rFonts w:eastAsia="Times New Roman"/>
                <w:sz w:val="20"/>
                <w:szCs w:val="20"/>
              </w:rPr>
            </w:pPr>
            <w:r>
              <w:rPr>
                <w:rFonts w:eastAsia="Times New Roman"/>
                <w:sz w:val="20"/>
                <w:szCs w:val="20"/>
              </w:rPr>
              <w:t> </w:t>
            </w:r>
          </w:p>
        </w:tc>
        <w:tc>
          <w:tcPr>
            <w:tcW w:w="250" w:type="pct"/>
            <w:vAlign w:val="bottom"/>
            <w:hideMark/>
          </w:tcPr>
          <w:p w14:paraId="0FB76A51" w14:textId="77777777" w:rsidR="00000000" w:rsidRDefault="00527094">
            <w:pPr>
              <w:rPr>
                <w:rFonts w:eastAsia="Times New Roman"/>
                <w:sz w:val="20"/>
                <w:szCs w:val="20"/>
              </w:rPr>
            </w:pPr>
            <w:r>
              <w:rPr>
                <w:rFonts w:eastAsia="Times New Roman"/>
                <w:sz w:val="20"/>
                <w:szCs w:val="20"/>
              </w:rPr>
              <w:t> </w:t>
            </w:r>
          </w:p>
        </w:tc>
      </w:tr>
      <w:tr w:rsidR="00000000" w14:paraId="3CC5265A" w14:textId="77777777">
        <w:trPr>
          <w:tblCellSpacing w:w="0" w:type="dxa"/>
        </w:trPr>
        <w:tc>
          <w:tcPr>
            <w:tcW w:w="300" w:type="pct"/>
            <w:hideMark/>
          </w:tcPr>
          <w:p w14:paraId="7957466C" w14:textId="77777777" w:rsidR="00000000" w:rsidRDefault="00527094">
            <w:pPr>
              <w:pStyle w:val="a3"/>
              <w:spacing w:before="0" w:beforeAutospacing="0" w:after="0" w:afterAutospacing="0"/>
              <w:rPr>
                <w:sz w:val="20"/>
                <w:szCs w:val="20"/>
              </w:rPr>
            </w:pPr>
            <w:r>
              <w:rPr>
                <w:sz w:val="20"/>
                <w:szCs w:val="20"/>
              </w:rPr>
              <w:t>  </w:t>
            </w:r>
          </w:p>
        </w:tc>
        <w:tc>
          <w:tcPr>
            <w:tcW w:w="4450" w:type="pct"/>
            <w:hideMark/>
          </w:tcPr>
          <w:p w14:paraId="24359E43" w14:textId="77777777" w:rsidR="00000000" w:rsidRDefault="00527094">
            <w:pPr>
              <w:pStyle w:val="a3"/>
              <w:spacing w:before="0" w:beforeAutospacing="0" w:after="0" w:afterAutospacing="0"/>
              <w:rPr>
                <w:sz w:val="20"/>
                <w:szCs w:val="20"/>
              </w:rPr>
            </w:pPr>
            <w:hyperlink w:anchor="cash_flows" w:history="1">
              <w:r>
                <w:rPr>
                  <w:rStyle w:val="a4"/>
                  <w:sz w:val="20"/>
                  <w:szCs w:val="20"/>
                </w:rPr>
                <w:t>Condensed Consolidated Statements of Cash Flows for the Six Months Ended June 30, 2019 and 2018</w:t>
              </w:r>
            </w:hyperlink>
          </w:p>
        </w:tc>
        <w:tc>
          <w:tcPr>
            <w:tcW w:w="250" w:type="pct"/>
            <w:hideMark/>
          </w:tcPr>
          <w:p w14:paraId="38054216" w14:textId="77777777" w:rsidR="00000000" w:rsidRDefault="00527094">
            <w:pPr>
              <w:pStyle w:val="a3"/>
              <w:spacing w:before="0" w:beforeAutospacing="0" w:after="0" w:afterAutospacing="0"/>
              <w:jc w:val="right"/>
              <w:rPr>
                <w:sz w:val="20"/>
                <w:szCs w:val="20"/>
              </w:rPr>
            </w:pPr>
            <w:r>
              <w:rPr>
                <w:sz w:val="20"/>
                <w:szCs w:val="20"/>
              </w:rPr>
              <w:t>8</w:t>
            </w:r>
          </w:p>
        </w:tc>
      </w:tr>
      <w:tr w:rsidR="00000000" w14:paraId="2ADB2FC6" w14:textId="77777777">
        <w:trPr>
          <w:tblCellSpacing w:w="0" w:type="dxa"/>
        </w:trPr>
        <w:tc>
          <w:tcPr>
            <w:tcW w:w="300" w:type="pct"/>
            <w:hideMark/>
          </w:tcPr>
          <w:p w14:paraId="725D14CC" w14:textId="77777777" w:rsidR="00000000" w:rsidRDefault="00527094">
            <w:pPr>
              <w:rPr>
                <w:rFonts w:eastAsia="Times New Roman"/>
                <w:sz w:val="20"/>
                <w:szCs w:val="20"/>
              </w:rPr>
            </w:pPr>
            <w:r>
              <w:rPr>
                <w:rFonts w:eastAsia="Times New Roman"/>
                <w:sz w:val="20"/>
                <w:szCs w:val="20"/>
              </w:rPr>
              <w:t> </w:t>
            </w:r>
          </w:p>
        </w:tc>
        <w:tc>
          <w:tcPr>
            <w:tcW w:w="4450" w:type="pct"/>
            <w:hideMark/>
          </w:tcPr>
          <w:p w14:paraId="77F3C899" w14:textId="77777777" w:rsidR="00000000" w:rsidRDefault="00527094">
            <w:pPr>
              <w:rPr>
                <w:rFonts w:eastAsia="Times New Roman"/>
                <w:sz w:val="20"/>
                <w:szCs w:val="20"/>
              </w:rPr>
            </w:pPr>
            <w:r>
              <w:rPr>
                <w:rFonts w:eastAsia="Times New Roman"/>
                <w:sz w:val="20"/>
                <w:szCs w:val="20"/>
              </w:rPr>
              <w:t> </w:t>
            </w:r>
          </w:p>
        </w:tc>
        <w:tc>
          <w:tcPr>
            <w:tcW w:w="250" w:type="pct"/>
            <w:hideMark/>
          </w:tcPr>
          <w:p w14:paraId="5E638466" w14:textId="77777777" w:rsidR="00000000" w:rsidRDefault="00527094">
            <w:pPr>
              <w:rPr>
                <w:rFonts w:eastAsia="Times New Roman"/>
                <w:sz w:val="20"/>
                <w:szCs w:val="20"/>
              </w:rPr>
            </w:pPr>
            <w:r>
              <w:rPr>
                <w:rFonts w:eastAsia="Times New Roman"/>
                <w:sz w:val="20"/>
                <w:szCs w:val="20"/>
              </w:rPr>
              <w:t> </w:t>
            </w:r>
          </w:p>
        </w:tc>
      </w:tr>
      <w:tr w:rsidR="00000000" w14:paraId="380E9964" w14:textId="77777777">
        <w:trPr>
          <w:tblCellSpacing w:w="0" w:type="dxa"/>
        </w:trPr>
        <w:tc>
          <w:tcPr>
            <w:tcW w:w="300" w:type="pct"/>
            <w:gridSpan w:val="2"/>
            <w:hideMark/>
          </w:tcPr>
          <w:p w14:paraId="35C475EE" w14:textId="77777777" w:rsidR="00000000" w:rsidRDefault="00527094">
            <w:pPr>
              <w:rPr>
                <w:rFonts w:eastAsia="Times New Roman"/>
                <w:sz w:val="20"/>
                <w:szCs w:val="20"/>
              </w:rPr>
            </w:pPr>
            <w:hyperlink w:anchor="notes" w:history="1">
              <w:r>
                <w:rPr>
                  <w:rStyle w:val="a4"/>
                  <w:rFonts w:eastAsia="Times New Roman"/>
                  <w:sz w:val="20"/>
                  <w:szCs w:val="20"/>
                </w:rPr>
                <w:t>Notes to Condensed Consolidated Financial Statements.</w:t>
              </w:r>
            </w:hyperlink>
          </w:p>
        </w:tc>
        <w:tc>
          <w:tcPr>
            <w:tcW w:w="250" w:type="pct"/>
            <w:hideMark/>
          </w:tcPr>
          <w:p w14:paraId="4CECEB60" w14:textId="77777777" w:rsidR="00000000" w:rsidRDefault="00527094">
            <w:pPr>
              <w:jc w:val="right"/>
              <w:rPr>
                <w:rFonts w:eastAsia="Times New Roman"/>
                <w:sz w:val="20"/>
                <w:szCs w:val="20"/>
              </w:rPr>
            </w:pPr>
            <w:r>
              <w:rPr>
                <w:rFonts w:eastAsia="Times New Roman"/>
                <w:sz w:val="20"/>
                <w:szCs w:val="20"/>
              </w:rPr>
              <w:t>9</w:t>
            </w:r>
          </w:p>
        </w:tc>
      </w:tr>
      <w:tr w:rsidR="00000000" w14:paraId="71CDFBA9" w14:textId="77777777">
        <w:trPr>
          <w:tblCellSpacing w:w="0" w:type="dxa"/>
        </w:trPr>
        <w:tc>
          <w:tcPr>
            <w:tcW w:w="300" w:type="pct"/>
            <w:hideMark/>
          </w:tcPr>
          <w:p w14:paraId="231F712A" w14:textId="77777777" w:rsidR="00000000" w:rsidRDefault="00527094">
            <w:pPr>
              <w:rPr>
                <w:rFonts w:eastAsia="Times New Roman"/>
                <w:sz w:val="20"/>
                <w:szCs w:val="20"/>
              </w:rPr>
            </w:pPr>
            <w:r>
              <w:rPr>
                <w:rFonts w:eastAsia="Times New Roman"/>
                <w:sz w:val="20"/>
                <w:szCs w:val="20"/>
              </w:rPr>
              <w:t> </w:t>
            </w:r>
          </w:p>
        </w:tc>
        <w:tc>
          <w:tcPr>
            <w:tcW w:w="4450" w:type="pct"/>
            <w:hideMark/>
          </w:tcPr>
          <w:p w14:paraId="084517F3" w14:textId="77777777" w:rsidR="00000000" w:rsidRDefault="00527094">
            <w:pPr>
              <w:rPr>
                <w:rFonts w:eastAsia="Times New Roman"/>
                <w:sz w:val="20"/>
                <w:szCs w:val="20"/>
              </w:rPr>
            </w:pPr>
            <w:r>
              <w:rPr>
                <w:rFonts w:eastAsia="Times New Roman"/>
                <w:sz w:val="20"/>
                <w:szCs w:val="20"/>
              </w:rPr>
              <w:t> </w:t>
            </w:r>
          </w:p>
        </w:tc>
        <w:tc>
          <w:tcPr>
            <w:tcW w:w="250" w:type="pct"/>
            <w:hideMark/>
          </w:tcPr>
          <w:p w14:paraId="5DB487E3" w14:textId="77777777" w:rsidR="00000000" w:rsidRDefault="00527094">
            <w:pPr>
              <w:rPr>
                <w:rFonts w:eastAsia="Times New Roman"/>
                <w:sz w:val="20"/>
                <w:szCs w:val="20"/>
              </w:rPr>
            </w:pPr>
            <w:r>
              <w:rPr>
                <w:rFonts w:eastAsia="Times New Roman"/>
                <w:sz w:val="20"/>
                <w:szCs w:val="20"/>
              </w:rPr>
              <w:t> </w:t>
            </w:r>
          </w:p>
        </w:tc>
      </w:tr>
      <w:tr w:rsidR="00000000" w14:paraId="4942B0AC" w14:textId="77777777">
        <w:trPr>
          <w:tblCellSpacing w:w="0" w:type="dxa"/>
        </w:trPr>
        <w:tc>
          <w:tcPr>
            <w:tcW w:w="300" w:type="pct"/>
            <w:hideMark/>
          </w:tcPr>
          <w:p w14:paraId="063C6754" w14:textId="77777777" w:rsidR="00000000" w:rsidRDefault="00527094">
            <w:pPr>
              <w:rPr>
                <w:rFonts w:eastAsia="Times New Roman"/>
                <w:sz w:val="20"/>
                <w:szCs w:val="20"/>
              </w:rPr>
            </w:pPr>
            <w:hyperlink w:anchor="2" w:history="1">
              <w:r>
                <w:rPr>
                  <w:rStyle w:val="a4"/>
                  <w:rFonts w:eastAsia="Times New Roman"/>
                  <w:sz w:val="20"/>
                  <w:szCs w:val="20"/>
                </w:rPr>
                <w:t>Item 2.</w:t>
              </w:r>
            </w:hyperlink>
          </w:p>
        </w:tc>
        <w:tc>
          <w:tcPr>
            <w:tcW w:w="4450" w:type="pct"/>
            <w:hideMark/>
          </w:tcPr>
          <w:p w14:paraId="5654A867" w14:textId="77777777" w:rsidR="00000000" w:rsidRDefault="00527094">
            <w:pPr>
              <w:pStyle w:val="a3"/>
              <w:spacing w:before="0" w:beforeAutospacing="0" w:after="0" w:afterAutospacing="0"/>
              <w:rPr>
                <w:sz w:val="20"/>
                <w:szCs w:val="20"/>
              </w:rPr>
            </w:pPr>
            <w:hyperlink w:anchor="2" w:history="1">
              <w:r>
                <w:rPr>
                  <w:rStyle w:val="a4"/>
                  <w:sz w:val="20"/>
                  <w:szCs w:val="20"/>
                </w:rPr>
                <w:t>Management's Discussion and Analysis of Financial Condition and Results of Operations.</w:t>
              </w:r>
            </w:hyperlink>
          </w:p>
        </w:tc>
        <w:tc>
          <w:tcPr>
            <w:tcW w:w="250" w:type="pct"/>
            <w:hideMark/>
          </w:tcPr>
          <w:p w14:paraId="08CD5BAD" w14:textId="77777777" w:rsidR="00000000" w:rsidRDefault="00527094">
            <w:pPr>
              <w:pStyle w:val="a3"/>
              <w:spacing w:before="0" w:beforeAutospacing="0" w:after="0" w:afterAutospacing="0"/>
              <w:jc w:val="right"/>
              <w:rPr>
                <w:sz w:val="20"/>
                <w:szCs w:val="20"/>
              </w:rPr>
            </w:pPr>
            <w:r>
              <w:rPr>
                <w:sz w:val="20"/>
                <w:szCs w:val="20"/>
              </w:rPr>
              <w:t>23</w:t>
            </w:r>
          </w:p>
        </w:tc>
      </w:tr>
      <w:tr w:rsidR="00000000" w14:paraId="177EFB1B" w14:textId="77777777">
        <w:trPr>
          <w:tblCellSpacing w:w="0" w:type="dxa"/>
        </w:trPr>
        <w:tc>
          <w:tcPr>
            <w:tcW w:w="300" w:type="pct"/>
            <w:hideMark/>
          </w:tcPr>
          <w:p w14:paraId="1E809280" w14:textId="77777777" w:rsidR="00000000" w:rsidRDefault="00527094">
            <w:pPr>
              <w:rPr>
                <w:rFonts w:eastAsia="Times New Roman"/>
                <w:sz w:val="20"/>
                <w:szCs w:val="20"/>
              </w:rPr>
            </w:pPr>
            <w:r>
              <w:rPr>
                <w:rFonts w:eastAsia="Times New Roman"/>
                <w:sz w:val="20"/>
                <w:szCs w:val="20"/>
              </w:rPr>
              <w:t> </w:t>
            </w:r>
          </w:p>
        </w:tc>
        <w:tc>
          <w:tcPr>
            <w:tcW w:w="4450" w:type="pct"/>
            <w:hideMark/>
          </w:tcPr>
          <w:p w14:paraId="4580EE13" w14:textId="77777777" w:rsidR="00000000" w:rsidRDefault="00527094">
            <w:pPr>
              <w:rPr>
                <w:rFonts w:eastAsia="Times New Roman"/>
                <w:sz w:val="20"/>
                <w:szCs w:val="20"/>
              </w:rPr>
            </w:pPr>
            <w:r>
              <w:rPr>
                <w:rFonts w:eastAsia="Times New Roman"/>
                <w:sz w:val="20"/>
                <w:szCs w:val="20"/>
              </w:rPr>
              <w:t> </w:t>
            </w:r>
          </w:p>
        </w:tc>
        <w:tc>
          <w:tcPr>
            <w:tcW w:w="250" w:type="pct"/>
            <w:hideMark/>
          </w:tcPr>
          <w:p w14:paraId="7E3A23DE" w14:textId="77777777" w:rsidR="00000000" w:rsidRDefault="00527094">
            <w:pPr>
              <w:rPr>
                <w:rFonts w:eastAsia="Times New Roman"/>
                <w:sz w:val="20"/>
                <w:szCs w:val="20"/>
              </w:rPr>
            </w:pPr>
            <w:r>
              <w:rPr>
                <w:rFonts w:eastAsia="Times New Roman"/>
                <w:sz w:val="20"/>
                <w:szCs w:val="20"/>
              </w:rPr>
              <w:t> </w:t>
            </w:r>
          </w:p>
        </w:tc>
      </w:tr>
      <w:tr w:rsidR="00000000" w14:paraId="7F98882F" w14:textId="77777777">
        <w:trPr>
          <w:tblCellSpacing w:w="0" w:type="dxa"/>
        </w:trPr>
        <w:tc>
          <w:tcPr>
            <w:tcW w:w="300" w:type="pct"/>
            <w:hideMark/>
          </w:tcPr>
          <w:p w14:paraId="7D73ED3B" w14:textId="77777777" w:rsidR="00000000" w:rsidRDefault="00527094">
            <w:pPr>
              <w:rPr>
                <w:rFonts w:eastAsia="Times New Roman"/>
                <w:sz w:val="20"/>
                <w:szCs w:val="20"/>
              </w:rPr>
            </w:pPr>
            <w:hyperlink w:anchor="3" w:history="1">
              <w:r>
                <w:rPr>
                  <w:rStyle w:val="a4"/>
                  <w:rFonts w:eastAsia="Times New Roman"/>
                  <w:sz w:val="20"/>
                  <w:szCs w:val="20"/>
                </w:rPr>
                <w:t>Item 3.</w:t>
              </w:r>
            </w:hyperlink>
          </w:p>
        </w:tc>
        <w:tc>
          <w:tcPr>
            <w:tcW w:w="4450" w:type="pct"/>
            <w:hideMark/>
          </w:tcPr>
          <w:p w14:paraId="6360FA00" w14:textId="77777777" w:rsidR="00000000" w:rsidRDefault="00527094">
            <w:pPr>
              <w:pStyle w:val="a3"/>
              <w:spacing w:before="0" w:beforeAutospacing="0" w:after="0" w:afterAutospacing="0"/>
              <w:rPr>
                <w:sz w:val="20"/>
                <w:szCs w:val="20"/>
              </w:rPr>
            </w:pPr>
            <w:hyperlink w:anchor="3" w:history="1">
              <w:r>
                <w:rPr>
                  <w:rStyle w:val="a4"/>
                  <w:sz w:val="20"/>
                  <w:szCs w:val="20"/>
                </w:rPr>
                <w:t>Quantitative and Qualitative Disclosures About Market Risk.</w:t>
              </w:r>
            </w:hyperlink>
          </w:p>
        </w:tc>
        <w:tc>
          <w:tcPr>
            <w:tcW w:w="250" w:type="pct"/>
            <w:hideMark/>
          </w:tcPr>
          <w:p w14:paraId="1A63BEB9" w14:textId="77777777" w:rsidR="00000000" w:rsidRDefault="00527094">
            <w:pPr>
              <w:pStyle w:val="a3"/>
              <w:spacing w:before="0" w:beforeAutospacing="0" w:after="0" w:afterAutospacing="0"/>
              <w:jc w:val="right"/>
              <w:rPr>
                <w:sz w:val="20"/>
                <w:szCs w:val="20"/>
              </w:rPr>
            </w:pPr>
            <w:r>
              <w:rPr>
                <w:sz w:val="20"/>
                <w:szCs w:val="20"/>
              </w:rPr>
              <w:t>34</w:t>
            </w:r>
          </w:p>
        </w:tc>
      </w:tr>
      <w:tr w:rsidR="00000000" w14:paraId="13E6355D" w14:textId="77777777">
        <w:trPr>
          <w:tblCellSpacing w:w="0" w:type="dxa"/>
        </w:trPr>
        <w:tc>
          <w:tcPr>
            <w:tcW w:w="300" w:type="pct"/>
            <w:hideMark/>
          </w:tcPr>
          <w:p w14:paraId="19AD7022" w14:textId="77777777" w:rsidR="00000000" w:rsidRDefault="00527094">
            <w:pPr>
              <w:rPr>
                <w:rFonts w:eastAsia="Times New Roman"/>
                <w:sz w:val="20"/>
                <w:szCs w:val="20"/>
              </w:rPr>
            </w:pPr>
            <w:r>
              <w:rPr>
                <w:rFonts w:eastAsia="Times New Roman"/>
                <w:sz w:val="20"/>
                <w:szCs w:val="20"/>
              </w:rPr>
              <w:t> </w:t>
            </w:r>
          </w:p>
        </w:tc>
        <w:tc>
          <w:tcPr>
            <w:tcW w:w="4450" w:type="pct"/>
            <w:hideMark/>
          </w:tcPr>
          <w:p w14:paraId="2DB381F9" w14:textId="77777777" w:rsidR="00000000" w:rsidRDefault="00527094">
            <w:pPr>
              <w:rPr>
                <w:rFonts w:eastAsia="Times New Roman"/>
                <w:sz w:val="20"/>
                <w:szCs w:val="20"/>
              </w:rPr>
            </w:pPr>
            <w:r>
              <w:rPr>
                <w:rFonts w:eastAsia="Times New Roman"/>
                <w:sz w:val="20"/>
                <w:szCs w:val="20"/>
              </w:rPr>
              <w:t> </w:t>
            </w:r>
          </w:p>
        </w:tc>
        <w:tc>
          <w:tcPr>
            <w:tcW w:w="250" w:type="pct"/>
            <w:hideMark/>
          </w:tcPr>
          <w:p w14:paraId="5A8DFB15" w14:textId="77777777" w:rsidR="00000000" w:rsidRDefault="00527094">
            <w:pPr>
              <w:rPr>
                <w:rFonts w:eastAsia="Times New Roman"/>
                <w:sz w:val="20"/>
                <w:szCs w:val="20"/>
              </w:rPr>
            </w:pPr>
            <w:r>
              <w:rPr>
                <w:rFonts w:eastAsia="Times New Roman"/>
                <w:sz w:val="20"/>
                <w:szCs w:val="20"/>
              </w:rPr>
              <w:t> </w:t>
            </w:r>
          </w:p>
        </w:tc>
      </w:tr>
      <w:tr w:rsidR="00000000" w14:paraId="28BFF81E" w14:textId="77777777">
        <w:trPr>
          <w:tblCellSpacing w:w="0" w:type="dxa"/>
        </w:trPr>
        <w:tc>
          <w:tcPr>
            <w:tcW w:w="300" w:type="pct"/>
            <w:hideMark/>
          </w:tcPr>
          <w:p w14:paraId="0199F75F" w14:textId="77777777" w:rsidR="00000000" w:rsidRDefault="00527094">
            <w:pPr>
              <w:rPr>
                <w:rFonts w:eastAsia="Times New Roman"/>
                <w:sz w:val="20"/>
                <w:szCs w:val="20"/>
              </w:rPr>
            </w:pPr>
            <w:hyperlink w:anchor="4" w:history="1">
              <w:r>
                <w:rPr>
                  <w:rStyle w:val="a4"/>
                  <w:rFonts w:eastAsia="Times New Roman"/>
                  <w:sz w:val="20"/>
                  <w:szCs w:val="20"/>
                </w:rPr>
                <w:t>Item 4. </w:t>
              </w:r>
            </w:hyperlink>
          </w:p>
        </w:tc>
        <w:tc>
          <w:tcPr>
            <w:tcW w:w="4450" w:type="pct"/>
            <w:hideMark/>
          </w:tcPr>
          <w:p w14:paraId="0AB3AF0A" w14:textId="77777777" w:rsidR="00000000" w:rsidRDefault="00527094">
            <w:pPr>
              <w:pStyle w:val="a3"/>
              <w:spacing w:before="0" w:beforeAutospacing="0" w:after="0" w:afterAutospacing="0"/>
              <w:rPr>
                <w:sz w:val="20"/>
                <w:szCs w:val="20"/>
              </w:rPr>
            </w:pPr>
            <w:hyperlink w:anchor="4" w:history="1">
              <w:r>
                <w:rPr>
                  <w:rStyle w:val="a4"/>
                  <w:sz w:val="20"/>
                  <w:szCs w:val="20"/>
                </w:rPr>
                <w:t>Controls and Procedures.</w:t>
              </w:r>
            </w:hyperlink>
          </w:p>
        </w:tc>
        <w:tc>
          <w:tcPr>
            <w:tcW w:w="250" w:type="pct"/>
            <w:hideMark/>
          </w:tcPr>
          <w:p w14:paraId="2A4EB69A" w14:textId="77777777" w:rsidR="00000000" w:rsidRDefault="00527094">
            <w:pPr>
              <w:pStyle w:val="a3"/>
              <w:spacing w:before="0" w:beforeAutospacing="0" w:after="0" w:afterAutospacing="0"/>
              <w:jc w:val="right"/>
              <w:rPr>
                <w:sz w:val="20"/>
                <w:szCs w:val="20"/>
              </w:rPr>
            </w:pPr>
            <w:r>
              <w:rPr>
                <w:sz w:val="20"/>
                <w:szCs w:val="20"/>
              </w:rPr>
              <w:t>34</w:t>
            </w:r>
          </w:p>
        </w:tc>
      </w:tr>
      <w:tr w:rsidR="00000000" w14:paraId="42149E64" w14:textId="77777777">
        <w:trPr>
          <w:tblCellSpacing w:w="0" w:type="dxa"/>
        </w:trPr>
        <w:tc>
          <w:tcPr>
            <w:tcW w:w="4750" w:type="pct"/>
            <w:gridSpan w:val="3"/>
            <w:hideMark/>
          </w:tcPr>
          <w:p w14:paraId="679E61A3" w14:textId="77777777" w:rsidR="00000000" w:rsidRDefault="00527094">
            <w:pPr>
              <w:rPr>
                <w:rFonts w:eastAsia="Times New Roman"/>
                <w:sz w:val="20"/>
                <w:szCs w:val="20"/>
              </w:rPr>
            </w:pPr>
            <w:r>
              <w:rPr>
                <w:rFonts w:eastAsia="Times New Roman"/>
                <w:sz w:val="20"/>
                <w:szCs w:val="20"/>
              </w:rPr>
              <w:t> </w:t>
            </w:r>
          </w:p>
        </w:tc>
      </w:tr>
      <w:tr w:rsidR="00000000" w14:paraId="1390665F" w14:textId="77777777">
        <w:trPr>
          <w:tblCellSpacing w:w="0" w:type="dxa"/>
        </w:trPr>
        <w:tc>
          <w:tcPr>
            <w:tcW w:w="4750" w:type="pct"/>
            <w:gridSpan w:val="3"/>
            <w:hideMark/>
          </w:tcPr>
          <w:p w14:paraId="2C0D4157" w14:textId="77777777" w:rsidR="00000000" w:rsidRDefault="00527094">
            <w:pPr>
              <w:pStyle w:val="a3"/>
              <w:spacing w:before="0" w:beforeAutospacing="0" w:after="0" w:afterAutospacing="0"/>
              <w:jc w:val="center"/>
              <w:rPr>
                <w:sz w:val="20"/>
                <w:szCs w:val="20"/>
              </w:rPr>
            </w:pPr>
            <w:hyperlink w:anchor="part_2" w:history="1">
              <w:r>
                <w:rPr>
                  <w:rStyle w:val="a4"/>
                  <w:sz w:val="20"/>
                  <w:szCs w:val="20"/>
                </w:rPr>
                <w:t>PART II - OTHER INFORMATION</w:t>
              </w:r>
            </w:hyperlink>
          </w:p>
        </w:tc>
      </w:tr>
      <w:tr w:rsidR="00000000" w14:paraId="08739E6F" w14:textId="77777777">
        <w:trPr>
          <w:tblCellSpacing w:w="0" w:type="dxa"/>
        </w:trPr>
        <w:tc>
          <w:tcPr>
            <w:tcW w:w="4750" w:type="pct"/>
            <w:gridSpan w:val="3"/>
            <w:hideMark/>
          </w:tcPr>
          <w:p w14:paraId="25B41418" w14:textId="77777777" w:rsidR="00000000" w:rsidRDefault="00527094">
            <w:pPr>
              <w:rPr>
                <w:rFonts w:eastAsia="Times New Roman"/>
                <w:sz w:val="20"/>
                <w:szCs w:val="20"/>
              </w:rPr>
            </w:pPr>
            <w:r>
              <w:rPr>
                <w:rFonts w:eastAsia="Times New Roman"/>
                <w:sz w:val="20"/>
                <w:szCs w:val="20"/>
              </w:rPr>
              <w:t> </w:t>
            </w:r>
          </w:p>
        </w:tc>
      </w:tr>
      <w:tr w:rsidR="00000000" w14:paraId="4050FDA1" w14:textId="77777777">
        <w:trPr>
          <w:tblCellSpacing w:w="0" w:type="dxa"/>
        </w:trPr>
        <w:tc>
          <w:tcPr>
            <w:tcW w:w="300" w:type="pct"/>
            <w:hideMark/>
          </w:tcPr>
          <w:p w14:paraId="5691C743" w14:textId="77777777" w:rsidR="00000000" w:rsidRDefault="00527094">
            <w:pPr>
              <w:rPr>
                <w:rFonts w:eastAsia="Times New Roman"/>
                <w:sz w:val="20"/>
                <w:szCs w:val="20"/>
              </w:rPr>
            </w:pPr>
            <w:hyperlink w:anchor="1" w:history="1">
              <w:r>
                <w:rPr>
                  <w:rStyle w:val="a4"/>
                  <w:rFonts w:eastAsia="Times New Roman"/>
                  <w:sz w:val="20"/>
                  <w:szCs w:val="20"/>
                </w:rPr>
                <w:t>Item 1. </w:t>
              </w:r>
            </w:hyperlink>
          </w:p>
        </w:tc>
        <w:tc>
          <w:tcPr>
            <w:tcW w:w="4450" w:type="pct"/>
            <w:hideMark/>
          </w:tcPr>
          <w:p w14:paraId="3196455C" w14:textId="77777777" w:rsidR="00000000" w:rsidRDefault="00527094">
            <w:pPr>
              <w:pStyle w:val="a3"/>
              <w:spacing w:before="0" w:beforeAutospacing="0" w:after="0" w:afterAutospacing="0"/>
              <w:rPr>
                <w:sz w:val="20"/>
                <w:szCs w:val="20"/>
              </w:rPr>
            </w:pPr>
            <w:hyperlink w:anchor="1" w:history="1">
              <w:r>
                <w:rPr>
                  <w:rStyle w:val="a4"/>
                  <w:sz w:val="20"/>
                  <w:szCs w:val="20"/>
                </w:rPr>
                <w:t>Legal Proceedings.</w:t>
              </w:r>
            </w:hyperlink>
          </w:p>
        </w:tc>
        <w:tc>
          <w:tcPr>
            <w:tcW w:w="250" w:type="pct"/>
            <w:hideMark/>
          </w:tcPr>
          <w:p w14:paraId="6CEFA31A" w14:textId="77777777" w:rsidR="00000000" w:rsidRDefault="00527094">
            <w:pPr>
              <w:pStyle w:val="a3"/>
              <w:spacing w:before="0" w:beforeAutospacing="0" w:after="0" w:afterAutospacing="0"/>
              <w:jc w:val="right"/>
              <w:rPr>
                <w:sz w:val="20"/>
                <w:szCs w:val="20"/>
              </w:rPr>
            </w:pPr>
            <w:r>
              <w:rPr>
                <w:sz w:val="20"/>
                <w:szCs w:val="20"/>
              </w:rPr>
              <w:t>35</w:t>
            </w:r>
          </w:p>
        </w:tc>
      </w:tr>
      <w:tr w:rsidR="00000000" w14:paraId="080381BD" w14:textId="77777777">
        <w:trPr>
          <w:tblCellSpacing w:w="0" w:type="dxa"/>
        </w:trPr>
        <w:tc>
          <w:tcPr>
            <w:tcW w:w="300" w:type="pct"/>
            <w:hideMark/>
          </w:tcPr>
          <w:p w14:paraId="7E1ED397" w14:textId="77777777" w:rsidR="00000000" w:rsidRDefault="00527094">
            <w:pPr>
              <w:rPr>
                <w:rFonts w:eastAsia="Times New Roman"/>
                <w:sz w:val="20"/>
                <w:szCs w:val="20"/>
              </w:rPr>
            </w:pPr>
            <w:r>
              <w:rPr>
                <w:rFonts w:eastAsia="Times New Roman"/>
                <w:sz w:val="20"/>
                <w:szCs w:val="20"/>
              </w:rPr>
              <w:t> </w:t>
            </w:r>
          </w:p>
        </w:tc>
        <w:tc>
          <w:tcPr>
            <w:tcW w:w="4450" w:type="pct"/>
            <w:hideMark/>
          </w:tcPr>
          <w:p w14:paraId="7FA83A58" w14:textId="77777777" w:rsidR="00000000" w:rsidRDefault="00527094">
            <w:pPr>
              <w:rPr>
                <w:rFonts w:eastAsia="Times New Roman"/>
                <w:sz w:val="20"/>
                <w:szCs w:val="20"/>
              </w:rPr>
            </w:pPr>
            <w:r>
              <w:rPr>
                <w:rFonts w:eastAsia="Times New Roman"/>
                <w:sz w:val="20"/>
                <w:szCs w:val="20"/>
              </w:rPr>
              <w:t> </w:t>
            </w:r>
          </w:p>
        </w:tc>
        <w:tc>
          <w:tcPr>
            <w:tcW w:w="250" w:type="pct"/>
            <w:hideMark/>
          </w:tcPr>
          <w:p w14:paraId="73D330C9" w14:textId="77777777" w:rsidR="00000000" w:rsidRDefault="00527094">
            <w:pPr>
              <w:rPr>
                <w:rFonts w:eastAsia="Times New Roman"/>
                <w:sz w:val="20"/>
                <w:szCs w:val="20"/>
              </w:rPr>
            </w:pPr>
            <w:r>
              <w:rPr>
                <w:rFonts w:eastAsia="Times New Roman"/>
                <w:sz w:val="20"/>
                <w:szCs w:val="20"/>
              </w:rPr>
              <w:t> </w:t>
            </w:r>
          </w:p>
        </w:tc>
      </w:tr>
      <w:tr w:rsidR="00000000" w14:paraId="4FB10D04" w14:textId="77777777">
        <w:trPr>
          <w:tblCellSpacing w:w="0" w:type="dxa"/>
        </w:trPr>
        <w:tc>
          <w:tcPr>
            <w:tcW w:w="300" w:type="pct"/>
            <w:hideMark/>
          </w:tcPr>
          <w:p w14:paraId="0994E6BC" w14:textId="77777777" w:rsidR="00000000" w:rsidRDefault="00527094">
            <w:pPr>
              <w:rPr>
                <w:rFonts w:eastAsia="Times New Roman"/>
                <w:sz w:val="20"/>
                <w:szCs w:val="20"/>
              </w:rPr>
            </w:pPr>
            <w:hyperlink w:anchor="1a" w:history="1">
              <w:r>
                <w:rPr>
                  <w:rStyle w:val="a4"/>
                  <w:rFonts w:eastAsia="Times New Roman"/>
                  <w:sz w:val="20"/>
                  <w:szCs w:val="20"/>
                </w:rPr>
                <w:t>Item 1A. </w:t>
              </w:r>
            </w:hyperlink>
          </w:p>
        </w:tc>
        <w:tc>
          <w:tcPr>
            <w:tcW w:w="4450" w:type="pct"/>
            <w:hideMark/>
          </w:tcPr>
          <w:p w14:paraId="3064812E" w14:textId="77777777" w:rsidR="00000000" w:rsidRDefault="00527094">
            <w:pPr>
              <w:pStyle w:val="a3"/>
              <w:spacing w:before="0" w:beforeAutospacing="0" w:after="0" w:afterAutospacing="0"/>
              <w:rPr>
                <w:sz w:val="20"/>
                <w:szCs w:val="20"/>
              </w:rPr>
            </w:pPr>
            <w:hyperlink w:anchor="1a" w:history="1">
              <w:r>
                <w:rPr>
                  <w:rStyle w:val="a4"/>
                  <w:sz w:val="20"/>
                  <w:szCs w:val="20"/>
                </w:rPr>
                <w:t>Risk Factors.</w:t>
              </w:r>
            </w:hyperlink>
          </w:p>
        </w:tc>
        <w:tc>
          <w:tcPr>
            <w:tcW w:w="250" w:type="pct"/>
            <w:hideMark/>
          </w:tcPr>
          <w:p w14:paraId="1ABC951C" w14:textId="77777777" w:rsidR="00000000" w:rsidRDefault="00527094">
            <w:pPr>
              <w:pStyle w:val="a3"/>
              <w:spacing w:before="0" w:beforeAutospacing="0" w:after="0" w:afterAutospacing="0"/>
              <w:jc w:val="right"/>
              <w:rPr>
                <w:sz w:val="20"/>
                <w:szCs w:val="20"/>
              </w:rPr>
            </w:pPr>
            <w:r>
              <w:rPr>
                <w:sz w:val="20"/>
                <w:szCs w:val="20"/>
              </w:rPr>
              <w:t>35</w:t>
            </w:r>
          </w:p>
        </w:tc>
      </w:tr>
      <w:tr w:rsidR="00000000" w14:paraId="54AF08A9" w14:textId="77777777">
        <w:trPr>
          <w:tblCellSpacing w:w="0" w:type="dxa"/>
        </w:trPr>
        <w:tc>
          <w:tcPr>
            <w:tcW w:w="300" w:type="pct"/>
            <w:hideMark/>
          </w:tcPr>
          <w:p w14:paraId="564D34FC" w14:textId="77777777" w:rsidR="00000000" w:rsidRDefault="00527094">
            <w:pPr>
              <w:rPr>
                <w:rFonts w:eastAsia="Times New Roman"/>
                <w:sz w:val="20"/>
                <w:szCs w:val="20"/>
              </w:rPr>
            </w:pPr>
            <w:r>
              <w:rPr>
                <w:rFonts w:eastAsia="Times New Roman"/>
                <w:sz w:val="20"/>
                <w:szCs w:val="20"/>
              </w:rPr>
              <w:t> </w:t>
            </w:r>
          </w:p>
        </w:tc>
        <w:tc>
          <w:tcPr>
            <w:tcW w:w="4450" w:type="pct"/>
            <w:hideMark/>
          </w:tcPr>
          <w:p w14:paraId="6AF67BEA" w14:textId="77777777" w:rsidR="00000000" w:rsidRDefault="00527094">
            <w:pPr>
              <w:rPr>
                <w:rFonts w:eastAsia="Times New Roman"/>
                <w:sz w:val="20"/>
                <w:szCs w:val="20"/>
              </w:rPr>
            </w:pPr>
            <w:r>
              <w:rPr>
                <w:rFonts w:eastAsia="Times New Roman"/>
                <w:sz w:val="20"/>
                <w:szCs w:val="20"/>
              </w:rPr>
              <w:t> </w:t>
            </w:r>
          </w:p>
        </w:tc>
        <w:tc>
          <w:tcPr>
            <w:tcW w:w="250" w:type="pct"/>
            <w:hideMark/>
          </w:tcPr>
          <w:p w14:paraId="0CFCAE15" w14:textId="77777777" w:rsidR="00000000" w:rsidRDefault="00527094">
            <w:pPr>
              <w:rPr>
                <w:rFonts w:eastAsia="Times New Roman"/>
                <w:sz w:val="20"/>
                <w:szCs w:val="20"/>
              </w:rPr>
            </w:pPr>
            <w:r>
              <w:rPr>
                <w:rFonts w:eastAsia="Times New Roman"/>
                <w:sz w:val="20"/>
                <w:szCs w:val="20"/>
              </w:rPr>
              <w:t> </w:t>
            </w:r>
          </w:p>
        </w:tc>
      </w:tr>
      <w:tr w:rsidR="00000000" w14:paraId="712B2701" w14:textId="77777777">
        <w:trPr>
          <w:tblCellSpacing w:w="0" w:type="dxa"/>
        </w:trPr>
        <w:tc>
          <w:tcPr>
            <w:tcW w:w="300" w:type="pct"/>
            <w:hideMark/>
          </w:tcPr>
          <w:p w14:paraId="59EC1B9A" w14:textId="77777777" w:rsidR="00000000" w:rsidRDefault="00527094">
            <w:pPr>
              <w:rPr>
                <w:rFonts w:eastAsia="Times New Roman"/>
                <w:sz w:val="20"/>
                <w:szCs w:val="20"/>
              </w:rPr>
            </w:pPr>
            <w:hyperlink w:anchor="2_2" w:history="1">
              <w:r>
                <w:rPr>
                  <w:rStyle w:val="a4"/>
                  <w:rFonts w:eastAsia="Times New Roman"/>
                  <w:sz w:val="20"/>
                  <w:szCs w:val="20"/>
                </w:rPr>
                <w:t>Item 2.</w:t>
              </w:r>
            </w:hyperlink>
          </w:p>
        </w:tc>
        <w:tc>
          <w:tcPr>
            <w:tcW w:w="4450" w:type="pct"/>
            <w:hideMark/>
          </w:tcPr>
          <w:p w14:paraId="51EBC57A" w14:textId="77777777" w:rsidR="00000000" w:rsidRDefault="00527094">
            <w:pPr>
              <w:pStyle w:val="a3"/>
              <w:spacing w:before="0" w:beforeAutospacing="0" w:after="0" w:afterAutospacing="0"/>
              <w:rPr>
                <w:sz w:val="20"/>
                <w:szCs w:val="20"/>
              </w:rPr>
            </w:pPr>
            <w:hyperlink w:anchor="2_2" w:history="1">
              <w:r>
                <w:rPr>
                  <w:rStyle w:val="a4"/>
                  <w:sz w:val="20"/>
                  <w:szCs w:val="20"/>
                </w:rPr>
                <w:t>Unregistered Sales of Equity Securities and Use of Proceeds.</w:t>
              </w:r>
            </w:hyperlink>
          </w:p>
        </w:tc>
        <w:tc>
          <w:tcPr>
            <w:tcW w:w="250" w:type="pct"/>
            <w:hideMark/>
          </w:tcPr>
          <w:p w14:paraId="5D03ADB0" w14:textId="77777777" w:rsidR="00000000" w:rsidRDefault="00527094">
            <w:pPr>
              <w:pStyle w:val="a3"/>
              <w:spacing w:before="0" w:beforeAutospacing="0" w:after="0" w:afterAutospacing="0"/>
              <w:jc w:val="right"/>
              <w:rPr>
                <w:sz w:val="20"/>
                <w:szCs w:val="20"/>
              </w:rPr>
            </w:pPr>
            <w:r>
              <w:rPr>
                <w:sz w:val="20"/>
                <w:szCs w:val="20"/>
              </w:rPr>
              <w:t>35</w:t>
            </w:r>
          </w:p>
        </w:tc>
      </w:tr>
      <w:tr w:rsidR="00000000" w14:paraId="3B0FD9CB" w14:textId="77777777">
        <w:trPr>
          <w:tblCellSpacing w:w="0" w:type="dxa"/>
        </w:trPr>
        <w:tc>
          <w:tcPr>
            <w:tcW w:w="300" w:type="pct"/>
            <w:hideMark/>
          </w:tcPr>
          <w:p w14:paraId="1F844B0D" w14:textId="77777777" w:rsidR="00000000" w:rsidRDefault="00527094">
            <w:pPr>
              <w:rPr>
                <w:rFonts w:eastAsia="Times New Roman"/>
                <w:sz w:val="20"/>
                <w:szCs w:val="20"/>
              </w:rPr>
            </w:pPr>
            <w:r>
              <w:rPr>
                <w:rFonts w:eastAsia="Times New Roman"/>
                <w:sz w:val="20"/>
                <w:szCs w:val="20"/>
              </w:rPr>
              <w:t> </w:t>
            </w:r>
          </w:p>
        </w:tc>
        <w:tc>
          <w:tcPr>
            <w:tcW w:w="4450" w:type="pct"/>
            <w:hideMark/>
          </w:tcPr>
          <w:p w14:paraId="313FE49A" w14:textId="77777777" w:rsidR="00000000" w:rsidRDefault="00527094">
            <w:pPr>
              <w:rPr>
                <w:rFonts w:eastAsia="Times New Roman"/>
                <w:sz w:val="20"/>
                <w:szCs w:val="20"/>
              </w:rPr>
            </w:pPr>
            <w:r>
              <w:rPr>
                <w:rFonts w:eastAsia="Times New Roman"/>
                <w:sz w:val="20"/>
                <w:szCs w:val="20"/>
              </w:rPr>
              <w:t> </w:t>
            </w:r>
          </w:p>
        </w:tc>
        <w:tc>
          <w:tcPr>
            <w:tcW w:w="250" w:type="pct"/>
            <w:hideMark/>
          </w:tcPr>
          <w:p w14:paraId="7B31A83B" w14:textId="77777777" w:rsidR="00000000" w:rsidRDefault="00527094">
            <w:pPr>
              <w:rPr>
                <w:rFonts w:eastAsia="Times New Roman"/>
                <w:sz w:val="20"/>
                <w:szCs w:val="20"/>
              </w:rPr>
            </w:pPr>
            <w:r>
              <w:rPr>
                <w:rFonts w:eastAsia="Times New Roman"/>
                <w:sz w:val="20"/>
                <w:szCs w:val="20"/>
              </w:rPr>
              <w:t> </w:t>
            </w:r>
          </w:p>
        </w:tc>
      </w:tr>
      <w:tr w:rsidR="00000000" w14:paraId="476F2931" w14:textId="77777777">
        <w:trPr>
          <w:tblCellSpacing w:w="0" w:type="dxa"/>
        </w:trPr>
        <w:tc>
          <w:tcPr>
            <w:tcW w:w="300" w:type="pct"/>
            <w:hideMark/>
          </w:tcPr>
          <w:p w14:paraId="6A230C0C" w14:textId="77777777" w:rsidR="00000000" w:rsidRDefault="00527094">
            <w:pPr>
              <w:rPr>
                <w:rFonts w:eastAsia="Times New Roman"/>
                <w:sz w:val="20"/>
                <w:szCs w:val="20"/>
              </w:rPr>
            </w:pPr>
            <w:hyperlink w:anchor="2_3" w:history="1">
              <w:r>
                <w:rPr>
                  <w:rStyle w:val="a4"/>
                  <w:rFonts w:eastAsia="Times New Roman"/>
                  <w:sz w:val="20"/>
                  <w:szCs w:val="20"/>
                </w:rPr>
                <w:t>Item 3.</w:t>
              </w:r>
            </w:hyperlink>
          </w:p>
        </w:tc>
        <w:tc>
          <w:tcPr>
            <w:tcW w:w="4450" w:type="pct"/>
            <w:hideMark/>
          </w:tcPr>
          <w:p w14:paraId="5D921740" w14:textId="77777777" w:rsidR="00000000" w:rsidRDefault="00527094">
            <w:pPr>
              <w:pStyle w:val="a3"/>
              <w:spacing w:before="0" w:beforeAutospacing="0" w:after="0" w:afterAutospacing="0"/>
              <w:rPr>
                <w:sz w:val="20"/>
                <w:szCs w:val="20"/>
              </w:rPr>
            </w:pPr>
            <w:hyperlink w:anchor="2_3" w:history="1">
              <w:r>
                <w:rPr>
                  <w:rStyle w:val="a4"/>
                  <w:sz w:val="20"/>
                  <w:szCs w:val="20"/>
                </w:rPr>
                <w:t>Defaults Upon Senior Securities.</w:t>
              </w:r>
            </w:hyperlink>
          </w:p>
        </w:tc>
        <w:tc>
          <w:tcPr>
            <w:tcW w:w="250" w:type="pct"/>
            <w:hideMark/>
          </w:tcPr>
          <w:p w14:paraId="4892EBDC" w14:textId="77777777" w:rsidR="00000000" w:rsidRDefault="00527094">
            <w:pPr>
              <w:pStyle w:val="a3"/>
              <w:spacing w:before="0" w:beforeAutospacing="0" w:after="0" w:afterAutospacing="0"/>
              <w:jc w:val="right"/>
              <w:rPr>
                <w:sz w:val="20"/>
                <w:szCs w:val="20"/>
              </w:rPr>
            </w:pPr>
            <w:r>
              <w:rPr>
                <w:sz w:val="20"/>
                <w:szCs w:val="20"/>
              </w:rPr>
              <w:t>35</w:t>
            </w:r>
          </w:p>
        </w:tc>
      </w:tr>
      <w:tr w:rsidR="00000000" w14:paraId="53249AA1" w14:textId="77777777">
        <w:trPr>
          <w:tblCellSpacing w:w="0" w:type="dxa"/>
        </w:trPr>
        <w:tc>
          <w:tcPr>
            <w:tcW w:w="300" w:type="pct"/>
            <w:hideMark/>
          </w:tcPr>
          <w:p w14:paraId="0E8C2794" w14:textId="77777777" w:rsidR="00000000" w:rsidRDefault="00527094">
            <w:pPr>
              <w:rPr>
                <w:rFonts w:eastAsia="Times New Roman"/>
                <w:sz w:val="20"/>
                <w:szCs w:val="20"/>
              </w:rPr>
            </w:pPr>
            <w:r>
              <w:rPr>
                <w:rFonts w:eastAsia="Times New Roman"/>
                <w:sz w:val="20"/>
                <w:szCs w:val="20"/>
              </w:rPr>
              <w:t> </w:t>
            </w:r>
          </w:p>
        </w:tc>
        <w:tc>
          <w:tcPr>
            <w:tcW w:w="4450" w:type="pct"/>
            <w:hideMark/>
          </w:tcPr>
          <w:p w14:paraId="31D70606" w14:textId="77777777" w:rsidR="00000000" w:rsidRDefault="00527094">
            <w:pPr>
              <w:rPr>
                <w:rFonts w:eastAsia="Times New Roman"/>
                <w:sz w:val="20"/>
                <w:szCs w:val="20"/>
              </w:rPr>
            </w:pPr>
            <w:r>
              <w:rPr>
                <w:rFonts w:eastAsia="Times New Roman"/>
                <w:sz w:val="20"/>
                <w:szCs w:val="20"/>
              </w:rPr>
              <w:t> </w:t>
            </w:r>
          </w:p>
        </w:tc>
        <w:tc>
          <w:tcPr>
            <w:tcW w:w="250" w:type="pct"/>
            <w:hideMark/>
          </w:tcPr>
          <w:p w14:paraId="210EE2EE" w14:textId="77777777" w:rsidR="00000000" w:rsidRDefault="00527094">
            <w:pPr>
              <w:rPr>
                <w:rFonts w:eastAsia="Times New Roman"/>
                <w:sz w:val="20"/>
                <w:szCs w:val="20"/>
              </w:rPr>
            </w:pPr>
            <w:r>
              <w:rPr>
                <w:rFonts w:eastAsia="Times New Roman"/>
                <w:sz w:val="20"/>
                <w:szCs w:val="20"/>
              </w:rPr>
              <w:t> </w:t>
            </w:r>
          </w:p>
        </w:tc>
      </w:tr>
      <w:tr w:rsidR="00000000" w14:paraId="20414D7C" w14:textId="77777777">
        <w:trPr>
          <w:tblCellSpacing w:w="0" w:type="dxa"/>
        </w:trPr>
        <w:tc>
          <w:tcPr>
            <w:tcW w:w="300" w:type="pct"/>
            <w:hideMark/>
          </w:tcPr>
          <w:p w14:paraId="3E4CE7FB" w14:textId="77777777" w:rsidR="00000000" w:rsidRDefault="00527094">
            <w:pPr>
              <w:rPr>
                <w:rFonts w:eastAsia="Times New Roman"/>
                <w:sz w:val="20"/>
                <w:szCs w:val="20"/>
              </w:rPr>
            </w:pPr>
            <w:hyperlink w:anchor="2_4" w:history="1">
              <w:r>
                <w:rPr>
                  <w:rStyle w:val="a4"/>
                  <w:rFonts w:eastAsia="Times New Roman"/>
                  <w:sz w:val="20"/>
                  <w:szCs w:val="20"/>
                </w:rPr>
                <w:t>Item 4.</w:t>
              </w:r>
            </w:hyperlink>
          </w:p>
        </w:tc>
        <w:tc>
          <w:tcPr>
            <w:tcW w:w="4450" w:type="pct"/>
            <w:hideMark/>
          </w:tcPr>
          <w:p w14:paraId="276C6BB1" w14:textId="77777777" w:rsidR="00000000" w:rsidRDefault="00527094">
            <w:pPr>
              <w:pStyle w:val="a3"/>
              <w:spacing w:before="0" w:beforeAutospacing="0" w:after="0" w:afterAutospacing="0"/>
              <w:rPr>
                <w:sz w:val="20"/>
                <w:szCs w:val="20"/>
              </w:rPr>
            </w:pPr>
            <w:hyperlink w:anchor="2_4" w:history="1">
              <w:r>
                <w:rPr>
                  <w:rStyle w:val="a4"/>
                  <w:sz w:val="20"/>
                  <w:szCs w:val="20"/>
                </w:rPr>
                <w:t>Mine Safety Disclosures.</w:t>
              </w:r>
            </w:hyperlink>
          </w:p>
        </w:tc>
        <w:tc>
          <w:tcPr>
            <w:tcW w:w="250" w:type="pct"/>
            <w:hideMark/>
          </w:tcPr>
          <w:p w14:paraId="056C212C" w14:textId="77777777" w:rsidR="00000000" w:rsidRDefault="00527094">
            <w:pPr>
              <w:pStyle w:val="a3"/>
              <w:spacing w:before="0" w:beforeAutospacing="0" w:after="0" w:afterAutospacing="0"/>
              <w:jc w:val="right"/>
              <w:rPr>
                <w:sz w:val="20"/>
                <w:szCs w:val="20"/>
              </w:rPr>
            </w:pPr>
            <w:r>
              <w:rPr>
                <w:sz w:val="20"/>
                <w:szCs w:val="20"/>
              </w:rPr>
              <w:t>35</w:t>
            </w:r>
          </w:p>
        </w:tc>
      </w:tr>
      <w:tr w:rsidR="00000000" w14:paraId="4FA04EC1" w14:textId="77777777">
        <w:trPr>
          <w:tblCellSpacing w:w="0" w:type="dxa"/>
        </w:trPr>
        <w:tc>
          <w:tcPr>
            <w:tcW w:w="300" w:type="pct"/>
            <w:hideMark/>
          </w:tcPr>
          <w:p w14:paraId="04463FE1" w14:textId="77777777" w:rsidR="00000000" w:rsidRDefault="00527094">
            <w:pPr>
              <w:rPr>
                <w:rFonts w:eastAsia="Times New Roman"/>
                <w:sz w:val="20"/>
                <w:szCs w:val="20"/>
              </w:rPr>
            </w:pPr>
            <w:r>
              <w:rPr>
                <w:rFonts w:eastAsia="Times New Roman"/>
                <w:sz w:val="20"/>
                <w:szCs w:val="20"/>
              </w:rPr>
              <w:t> </w:t>
            </w:r>
          </w:p>
        </w:tc>
        <w:tc>
          <w:tcPr>
            <w:tcW w:w="4450" w:type="pct"/>
            <w:hideMark/>
          </w:tcPr>
          <w:p w14:paraId="160D4633" w14:textId="77777777" w:rsidR="00000000" w:rsidRDefault="00527094">
            <w:pPr>
              <w:rPr>
                <w:rFonts w:eastAsia="Times New Roman"/>
                <w:sz w:val="20"/>
                <w:szCs w:val="20"/>
              </w:rPr>
            </w:pPr>
            <w:r>
              <w:rPr>
                <w:rFonts w:eastAsia="Times New Roman"/>
                <w:sz w:val="20"/>
                <w:szCs w:val="20"/>
              </w:rPr>
              <w:t> </w:t>
            </w:r>
          </w:p>
        </w:tc>
        <w:tc>
          <w:tcPr>
            <w:tcW w:w="250" w:type="pct"/>
            <w:hideMark/>
          </w:tcPr>
          <w:p w14:paraId="164AD37E" w14:textId="77777777" w:rsidR="00000000" w:rsidRDefault="00527094">
            <w:pPr>
              <w:rPr>
                <w:rFonts w:eastAsia="Times New Roman"/>
                <w:sz w:val="20"/>
                <w:szCs w:val="20"/>
              </w:rPr>
            </w:pPr>
            <w:r>
              <w:rPr>
                <w:rFonts w:eastAsia="Times New Roman"/>
                <w:sz w:val="20"/>
                <w:szCs w:val="20"/>
              </w:rPr>
              <w:t> </w:t>
            </w:r>
          </w:p>
        </w:tc>
      </w:tr>
      <w:tr w:rsidR="00000000" w14:paraId="27930B17" w14:textId="77777777">
        <w:trPr>
          <w:tblCellSpacing w:w="0" w:type="dxa"/>
        </w:trPr>
        <w:tc>
          <w:tcPr>
            <w:tcW w:w="300" w:type="pct"/>
            <w:hideMark/>
          </w:tcPr>
          <w:p w14:paraId="53FA34FA" w14:textId="77777777" w:rsidR="00000000" w:rsidRDefault="00527094">
            <w:pPr>
              <w:rPr>
                <w:rFonts w:eastAsia="Times New Roman"/>
                <w:sz w:val="20"/>
                <w:szCs w:val="20"/>
              </w:rPr>
            </w:pPr>
            <w:hyperlink w:anchor="5" w:history="1">
              <w:r>
                <w:rPr>
                  <w:rStyle w:val="a4"/>
                  <w:rFonts w:eastAsia="Times New Roman"/>
                  <w:sz w:val="20"/>
                  <w:szCs w:val="20"/>
                </w:rPr>
                <w:t>Item 5.</w:t>
              </w:r>
            </w:hyperlink>
          </w:p>
        </w:tc>
        <w:tc>
          <w:tcPr>
            <w:tcW w:w="4450" w:type="pct"/>
            <w:hideMark/>
          </w:tcPr>
          <w:p w14:paraId="40CF461E" w14:textId="77777777" w:rsidR="00000000" w:rsidRDefault="00527094">
            <w:pPr>
              <w:pStyle w:val="a3"/>
              <w:spacing w:before="0" w:beforeAutospacing="0" w:after="0" w:afterAutospacing="0"/>
              <w:rPr>
                <w:sz w:val="20"/>
                <w:szCs w:val="20"/>
              </w:rPr>
            </w:pPr>
            <w:hyperlink w:anchor="5" w:history="1">
              <w:r>
                <w:rPr>
                  <w:rStyle w:val="a4"/>
                  <w:sz w:val="20"/>
                  <w:szCs w:val="20"/>
                </w:rPr>
                <w:t>Other Information.</w:t>
              </w:r>
            </w:hyperlink>
          </w:p>
        </w:tc>
        <w:tc>
          <w:tcPr>
            <w:tcW w:w="250" w:type="pct"/>
            <w:hideMark/>
          </w:tcPr>
          <w:p w14:paraId="6AC1CAEE" w14:textId="77777777" w:rsidR="00000000" w:rsidRDefault="00527094">
            <w:pPr>
              <w:pStyle w:val="a3"/>
              <w:spacing w:before="0" w:beforeAutospacing="0" w:after="0" w:afterAutospacing="0"/>
              <w:jc w:val="right"/>
              <w:rPr>
                <w:sz w:val="20"/>
                <w:szCs w:val="20"/>
              </w:rPr>
            </w:pPr>
            <w:r>
              <w:rPr>
                <w:sz w:val="20"/>
                <w:szCs w:val="20"/>
              </w:rPr>
              <w:t>35</w:t>
            </w:r>
          </w:p>
        </w:tc>
      </w:tr>
      <w:tr w:rsidR="00000000" w14:paraId="688860BC" w14:textId="77777777">
        <w:trPr>
          <w:tblCellSpacing w:w="0" w:type="dxa"/>
        </w:trPr>
        <w:tc>
          <w:tcPr>
            <w:tcW w:w="300" w:type="pct"/>
            <w:hideMark/>
          </w:tcPr>
          <w:p w14:paraId="4F1D4A25" w14:textId="77777777" w:rsidR="00000000" w:rsidRDefault="00527094">
            <w:pPr>
              <w:rPr>
                <w:rFonts w:eastAsia="Times New Roman"/>
                <w:sz w:val="20"/>
                <w:szCs w:val="20"/>
              </w:rPr>
            </w:pPr>
            <w:r>
              <w:rPr>
                <w:rFonts w:eastAsia="Times New Roman"/>
                <w:sz w:val="20"/>
                <w:szCs w:val="20"/>
              </w:rPr>
              <w:t> </w:t>
            </w:r>
          </w:p>
        </w:tc>
        <w:tc>
          <w:tcPr>
            <w:tcW w:w="4450" w:type="pct"/>
            <w:hideMark/>
          </w:tcPr>
          <w:p w14:paraId="31B250A6" w14:textId="77777777" w:rsidR="00000000" w:rsidRDefault="00527094">
            <w:pPr>
              <w:rPr>
                <w:rFonts w:eastAsia="Times New Roman"/>
                <w:sz w:val="20"/>
                <w:szCs w:val="20"/>
              </w:rPr>
            </w:pPr>
            <w:r>
              <w:rPr>
                <w:rFonts w:eastAsia="Times New Roman"/>
                <w:sz w:val="20"/>
                <w:szCs w:val="20"/>
              </w:rPr>
              <w:t> </w:t>
            </w:r>
          </w:p>
        </w:tc>
        <w:tc>
          <w:tcPr>
            <w:tcW w:w="250" w:type="pct"/>
            <w:hideMark/>
          </w:tcPr>
          <w:p w14:paraId="20CCB6AA" w14:textId="77777777" w:rsidR="00000000" w:rsidRDefault="00527094">
            <w:pPr>
              <w:rPr>
                <w:rFonts w:eastAsia="Times New Roman"/>
                <w:sz w:val="20"/>
                <w:szCs w:val="20"/>
              </w:rPr>
            </w:pPr>
            <w:r>
              <w:rPr>
                <w:rFonts w:eastAsia="Times New Roman"/>
                <w:sz w:val="20"/>
                <w:szCs w:val="20"/>
              </w:rPr>
              <w:t> </w:t>
            </w:r>
          </w:p>
        </w:tc>
      </w:tr>
      <w:tr w:rsidR="00000000" w14:paraId="61B051A8" w14:textId="77777777">
        <w:trPr>
          <w:tblCellSpacing w:w="0" w:type="dxa"/>
        </w:trPr>
        <w:tc>
          <w:tcPr>
            <w:tcW w:w="300" w:type="pct"/>
            <w:hideMark/>
          </w:tcPr>
          <w:p w14:paraId="52F4095A" w14:textId="77777777" w:rsidR="00000000" w:rsidRDefault="00527094">
            <w:pPr>
              <w:rPr>
                <w:rFonts w:eastAsia="Times New Roman"/>
                <w:sz w:val="20"/>
                <w:szCs w:val="20"/>
              </w:rPr>
            </w:pPr>
            <w:hyperlink w:anchor="6" w:history="1">
              <w:r>
                <w:rPr>
                  <w:rStyle w:val="a4"/>
                  <w:rFonts w:eastAsia="Times New Roman"/>
                  <w:sz w:val="20"/>
                  <w:szCs w:val="20"/>
                </w:rPr>
                <w:t>Item 6.</w:t>
              </w:r>
            </w:hyperlink>
          </w:p>
        </w:tc>
        <w:tc>
          <w:tcPr>
            <w:tcW w:w="4450" w:type="pct"/>
            <w:hideMark/>
          </w:tcPr>
          <w:p w14:paraId="7717A19A" w14:textId="77777777" w:rsidR="00000000" w:rsidRDefault="00527094">
            <w:pPr>
              <w:pStyle w:val="a3"/>
              <w:spacing w:before="0" w:beforeAutospacing="0" w:after="0" w:afterAutospacing="0"/>
              <w:rPr>
                <w:sz w:val="20"/>
                <w:szCs w:val="20"/>
              </w:rPr>
            </w:pPr>
            <w:hyperlink w:anchor="6" w:history="1">
              <w:r>
                <w:rPr>
                  <w:rStyle w:val="a4"/>
                  <w:sz w:val="20"/>
                  <w:szCs w:val="20"/>
                </w:rPr>
                <w:t>Exhibits.</w:t>
              </w:r>
            </w:hyperlink>
          </w:p>
        </w:tc>
        <w:tc>
          <w:tcPr>
            <w:tcW w:w="250" w:type="pct"/>
            <w:hideMark/>
          </w:tcPr>
          <w:p w14:paraId="609F7DF7" w14:textId="77777777" w:rsidR="00000000" w:rsidRDefault="00527094">
            <w:pPr>
              <w:pStyle w:val="a3"/>
              <w:spacing w:before="0" w:beforeAutospacing="0" w:after="0" w:afterAutospacing="0"/>
              <w:jc w:val="right"/>
              <w:rPr>
                <w:sz w:val="20"/>
                <w:szCs w:val="20"/>
              </w:rPr>
            </w:pPr>
            <w:r>
              <w:rPr>
                <w:sz w:val="20"/>
                <w:szCs w:val="20"/>
              </w:rPr>
              <w:t>36</w:t>
            </w:r>
          </w:p>
        </w:tc>
      </w:tr>
      <w:tr w:rsidR="00000000" w14:paraId="6DDF2C81" w14:textId="77777777">
        <w:trPr>
          <w:tblCellSpacing w:w="0" w:type="dxa"/>
        </w:trPr>
        <w:tc>
          <w:tcPr>
            <w:tcW w:w="300" w:type="pct"/>
            <w:hideMark/>
          </w:tcPr>
          <w:p w14:paraId="44398D92" w14:textId="77777777" w:rsidR="00000000" w:rsidRDefault="00527094">
            <w:pPr>
              <w:rPr>
                <w:rFonts w:eastAsia="Times New Roman"/>
                <w:sz w:val="20"/>
                <w:szCs w:val="20"/>
              </w:rPr>
            </w:pPr>
            <w:r>
              <w:rPr>
                <w:rFonts w:eastAsia="Times New Roman"/>
                <w:sz w:val="20"/>
                <w:szCs w:val="20"/>
              </w:rPr>
              <w:t> </w:t>
            </w:r>
          </w:p>
        </w:tc>
        <w:tc>
          <w:tcPr>
            <w:tcW w:w="4450" w:type="pct"/>
            <w:hideMark/>
          </w:tcPr>
          <w:p w14:paraId="6EF8F752" w14:textId="77777777" w:rsidR="00000000" w:rsidRDefault="00527094">
            <w:pPr>
              <w:rPr>
                <w:rFonts w:eastAsia="Times New Roman"/>
                <w:sz w:val="20"/>
                <w:szCs w:val="20"/>
              </w:rPr>
            </w:pPr>
            <w:r>
              <w:rPr>
                <w:rFonts w:eastAsia="Times New Roman"/>
                <w:sz w:val="20"/>
                <w:szCs w:val="20"/>
              </w:rPr>
              <w:t> </w:t>
            </w:r>
          </w:p>
        </w:tc>
        <w:tc>
          <w:tcPr>
            <w:tcW w:w="250" w:type="pct"/>
            <w:hideMark/>
          </w:tcPr>
          <w:p w14:paraId="60350A76" w14:textId="77777777" w:rsidR="00000000" w:rsidRDefault="00527094">
            <w:pPr>
              <w:rPr>
                <w:rFonts w:eastAsia="Times New Roman"/>
                <w:sz w:val="20"/>
                <w:szCs w:val="20"/>
              </w:rPr>
            </w:pPr>
            <w:r>
              <w:rPr>
                <w:rFonts w:eastAsia="Times New Roman"/>
                <w:sz w:val="20"/>
                <w:szCs w:val="20"/>
              </w:rPr>
              <w:t> </w:t>
            </w:r>
          </w:p>
        </w:tc>
      </w:tr>
      <w:tr w:rsidR="00000000" w14:paraId="4276041B" w14:textId="77777777">
        <w:trPr>
          <w:tblCellSpacing w:w="0" w:type="dxa"/>
        </w:trPr>
        <w:tc>
          <w:tcPr>
            <w:tcW w:w="300" w:type="pct"/>
            <w:hideMark/>
          </w:tcPr>
          <w:p w14:paraId="25BB3053" w14:textId="77777777" w:rsidR="00000000" w:rsidRDefault="00527094">
            <w:pPr>
              <w:rPr>
                <w:rFonts w:eastAsia="Times New Roman"/>
                <w:sz w:val="20"/>
                <w:szCs w:val="20"/>
              </w:rPr>
            </w:pPr>
            <w:hyperlink w:anchor="signatures" w:history="1">
              <w:r>
                <w:rPr>
                  <w:rStyle w:val="a4"/>
                  <w:rFonts w:eastAsia="Times New Roman"/>
                  <w:sz w:val="20"/>
                  <w:szCs w:val="20"/>
                </w:rPr>
                <w:t>Signatures</w:t>
              </w:r>
            </w:hyperlink>
          </w:p>
        </w:tc>
        <w:tc>
          <w:tcPr>
            <w:tcW w:w="4450" w:type="pct"/>
            <w:hideMark/>
          </w:tcPr>
          <w:p w14:paraId="1939A384" w14:textId="77777777" w:rsidR="00000000" w:rsidRDefault="00527094">
            <w:pPr>
              <w:pStyle w:val="a3"/>
              <w:spacing w:before="0" w:beforeAutospacing="0" w:after="0" w:afterAutospacing="0"/>
              <w:rPr>
                <w:sz w:val="20"/>
                <w:szCs w:val="20"/>
              </w:rPr>
            </w:pPr>
            <w:r>
              <w:rPr>
                <w:sz w:val="20"/>
                <w:szCs w:val="20"/>
              </w:rPr>
              <w:t> </w:t>
            </w:r>
          </w:p>
        </w:tc>
        <w:tc>
          <w:tcPr>
            <w:tcW w:w="250" w:type="pct"/>
            <w:hideMark/>
          </w:tcPr>
          <w:p w14:paraId="5342BDBE" w14:textId="77777777" w:rsidR="00000000" w:rsidRDefault="00527094">
            <w:pPr>
              <w:pStyle w:val="a3"/>
              <w:spacing w:before="0" w:beforeAutospacing="0" w:after="0" w:afterAutospacing="0"/>
              <w:jc w:val="right"/>
              <w:rPr>
                <w:sz w:val="20"/>
                <w:szCs w:val="20"/>
              </w:rPr>
            </w:pPr>
            <w:r>
              <w:rPr>
                <w:sz w:val="20"/>
                <w:szCs w:val="20"/>
              </w:rPr>
              <w:t>37</w:t>
            </w:r>
          </w:p>
        </w:tc>
      </w:tr>
    </w:tbl>
    <w:p w14:paraId="448850BB" w14:textId="77777777" w:rsidR="00000000" w:rsidRDefault="00527094">
      <w:pPr>
        <w:pStyle w:val="a3"/>
        <w:spacing w:before="0" w:beforeAutospacing="0" w:after="0" w:afterAutospacing="0"/>
        <w:rPr>
          <w:sz w:val="20"/>
          <w:szCs w:val="20"/>
        </w:rPr>
      </w:pPr>
      <w:r>
        <w:rPr>
          <w:sz w:val="20"/>
          <w:szCs w:val="20"/>
        </w:rPr>
        <w:t> </w:t>
      </w:r>
    </w:p>
    <w:p w14:paraId="3C8DF65E" w14:textId="77777777" w:rsidR="00000000" w:rsidRDefault="00527094">
      <w:pPr>
        <w:jc w:val="center"/>
        <w:divId w:val="1464688585"/>
        <w:rPr>
          <w:rFonts w:eastAsia="Times New Roman"/>
          <w:sz w:val="20"/>
          <w:szCs w:val="20"/>
        </w:rPr>
      </w:pPr>
      <w:r>
        <w:rPr>
          <w:rFonts w:eastAsia="Times New Roman"/>
          <w:sz w:val="20"/>
          <w:szCs w:val="20"/>
        </w:rPr>
        <w:t xml:space="preserve">2 </w:t>
      </w:r>
    </w:p>
    <w:p w14:paraId="2D314539" w14:textId="77777777" w:rsidR="00000000" w:rsidRDefault="00527094">
      <w:pPr>
        <w:divId w:val="1464688585"/>
        <w:rPr>
          <w:rFonts w:eastAsia="Times New Roman"/>
          <w:sz w:val="20"/>
          <w:szCs w:val="20"/>
        </w:rPr>
      </w:pPr>
      <w:r>
        <w:rPr>
          <w:rFonts w:eastAsia="Times New Roman"/>
          <w:sz w:val="20"/>
          <w:szCs w:val="20"/>
        </w:rPr>
        <w:pict w14:anchorId="189614D6">
          <v:rect id="_x0000_i1030" style="width:0;height:1.5pt" o:hralign="center" o:hrstd="t" o:hr="t" fillcolor="#a0a0a0" stroked="f"/>
        </w:pict>
      </w:r>
    </w:p>
    <w:p w14:paraId="563963B6" w14:textId="77777777" w:rsidR="00000000" w:rsidRDefault="00527094">
      <w:pPr>
        <w:divId w:val="14646885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2B32C4F" w14:textId="77777777" w:rsidR="00000000" w:rsidRDefault="00527094">
      <w:pPr>
        <w:pStyle w:val="a3"/>
        <w:spacing w:before="0" w:beforeAutospacing="0" w:after="0" w:afterAutospacing="0"/>
        <w:rPr>
          <w:sz w:val="20"/>
          <w:szCs w:val="20"/>
        </w:rPr>
      </w:pPr>
      <w:r>
        <w:rPr>
          <w:sz w:val="20"/>
          <w:szCs w:val="20"/>
        </w:rPr>
        <w:t> </w:t>
      </w:r>
    </w:p>
    <w:p w14:paraId="5EB7C1D1" w14:textId="77777777" w:rsidR="00000000" w:rsidRDefault="00527094">
      <w:pPr>
        <w:divId w:val="1387026813"/>
        <w:rPr>
          <w:rFonts w:eastAsia="Times New Roman"/>
          <w:sz w:val="20"/>
          <w:szCs w:val="20"/>
        </w:rPr>
      </w:pPr>
      <w:r>
        <w:rPr>
          <w:rFonts w:eastAsia="Times New Roman"/>
          <w:sz w:val="20"/>
          <w:szCs w:val="20"/>
        </w:rPr>
        <w:t xml:space="preserve">  </w:t>
      </w:r>
    </w:p>
    <w:p w14:paraId="4A935727" w14:textId="77777777" w:rsidR="00000000" w:rsidRDefault="00527094">
      <w:pPr>
        <w:pStyle w:val="a3"/>
        <w:spacing w:before="0" w:beforeAutospacing="0" w:after="0" w:afterAutospacing="0"/>
        <w:jc w:val="center"/>
        <w:rPr>
          <w:sz w:val="20"/>
          <w:szCs w:val="20"/>
        </w:rPr>
      </w:pPr>
      <w:r>
        <w:rPr>
          <w:sz w:val="20"/>
          <w:szCs w:val="20"/>
        </w:rPr>
        <w:t>KIMCO REALTY CORPORATION AND SUBSIDIARIES</w:t>
      </w:r>
    </w:p>
    <w:p w14:paraId="1183400C" w14:textId="77777777" w:rsidR="00000000" w:rsidRDefault="00527094">
      <w:pPr>
        <w:pStyle w:val="a3"/>
        <w:spacing w:before="0" w:beforeAutospacing="0" w:after="0" w:afterAutospacing="0"/>
        <w:jc w:val="center"/>
        <w:rPr>
          <w:sz w:val="20"/>
          <w:szCs w:val="20"/>
        </w:rPr>
      </w:pPr>
      <w:r>
        <w:rPr>
          <w:sz w:val="20"/>
          <w:szCs w:val="20"/>
        </w:rPr>
        <w:t>CONDENSED CONSOLIDATED BALANCE SHEETS</w:t>
      </w:r>
    </w:p>
    <w:p w14:paraId="733CCDC5" w14:textId="77777777" w:rsidR="00000000" w:rsidRDefault="00527094">
      <w:pPr>
        <w:pStyle w:val="a3"/>
        <w:spacing w:before="0" w:beforeAutospacing="0" w:after="0" w:afterAutospacing="0"/>
        <w:jc w:val="center"/>
        <w:rPr>
          <w:sz w:val="20"/>
          <w:szCs w:val="20"/>
        </w:rPr>
      </w:pPr>
      <w:r>
        <w:rPr>
          <w:sz w:val="20"/>
          <w:szCs w:val="20"/>
        </w:rPr>
        <w:t>(Unaudited)</w:t>
      </w:r>
    </w:p>
    <w:p w14:paraId="7EAEEE5B" w14:textId="77777777" w:rsidR="00000000" w:rsidRDefault="00527094">
      <w:pPr>
        <w:pStyle w:val="a3"/>
        <w:spacing w:before="0" w:beforeAutospacing="0" w:after="0" w:afterAutospacing="0"/>
        <w:jc w:val="center"/>
        <w:rPr>
          <w:sz w:val="20"/>
          <w:szCs w:val="20"/>
        </w:rPr>
      </w:pPr>
      <w:r>
        <w:rPr>
          <w:sz w:val="20"/>
          <w:szCs w:val="20"/>
        </w:rPr>
        <w:t>(in thousands, except share information)</w:t>
      </w:r>
    </w:p>
    <w:p w14:paraId="17FB1990" w14:textId="77777777" w:rsidR="00000000" w:rsidRDefault="0052709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6A480523" w14:textId="77777777">
        <w:trPr>
          <w:divId w:val="1185943591"/>
          <w:tblCellSpacing w:w="0" w:type="dxa"/>
        </w:trPr>
        <w:tc>
          <w:tcPr>
            <w:tcW w:w="0" w:type="auto"/>
            <w:vAlign w:val="bottom"/>
            <w:hideMark/>
          </w:tcPr>
          <w:p w14:paraId="1710709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CBB60E9"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B81BC9C"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6B2D912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E264EF9"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EB07D27" w14:textId="77777777" w:rsidR="00000000" w:rsidRDefault="00527094">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43BDFAB7" w14:textId="77777777" w:rsidR="00000000" w:rsidRDefault="00527094">
            <w:pPr>
              <w:rPr>
                <w:rFonts w:eastAsia="Times New Roman"/>
                <w:sz w:val="20"/>
                <w:szCs w:val="20"/>
              </w:rPr>
            </w:pPr>
            <w:r>
              <w:rPr>
                <w:rFonts w:eastAsia="Times New Roman"/>
                <w:sz w:val="20"/>
                <w:szCs w:val="20"/>
              </w:rPr>
              <w:t> </w:t>
            </w:r>
          </w:p>
        </w:tc>
      </w:tr>
      <w:tr w:rsidR="00000000" w14:paraId="3EA218E6" w14:textId="77777777">
        <w:trPr>
          <w:divId w:val="1185943591"/>
          <w:tblCellSpacing w:w="0" w:type="dxa"/>
        </w:trPr>
        <w:tc>
          <w:tcPr>
            <w:tcW w:w="0" w:type="auto"/>
            <w:shd w:val="clear" w:color="auto" w:fill="CCEEFF"/>
            <w:vAlign w:val="bottom"/>
            <w:hideMark/>
          </w:tcPr>
          <w:p w14:paraId="67F9F491" w14:textId="77777777" w:rsidR="00000000" w:rsidRDefault="00527094">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7B284B3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B914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1C92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FC8D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79E0B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E8DD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373C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FC6B03" w14:textId="77777777" w:rsidR="00000000" w:rsidRDefault="00527094">
            <w:pPr>
              <w:rPr>
                <w:rFonts w:eastAsia="Times New Roman"/>
                <w:sz w:val="20"/>
                <w:szCs w:val="20"/>
              </w:rPr>
            </w:pPr>
            <w:r>
              <w:rPr>
                <w:rFonts w:eastAsia="Times New Roman"/>
                <w:sz w:val="20"/>
                <w:szCs w:val="20"/>
              </w:rPr>
              <w:t> </w:t>
            </w:r>
          </w:p>
        </w:tc>
      </w:tr>
      <w:tr w:rsidR="00000000" w14:paraId="088E00B6" w14:textId="77777777">
        <w:trPr>
          <w:divId w:val="1185943591"/>
          <w:tblCellSpacing w:w="0" w:type="dxa"/>
        </w:trPr>
        <w:tc>
          <w:tcPr>
            <w:tcW w:w="0" w:type="auto"/>
            <w:shd w:val="clear" w:color="auto" w:fill="FFFFFF"/>
            <w:vAlign w:val="bottom"/>
            <w:hideMark/>
          </w:tcPr>
          <w:p w14:paraId="6BA1FBFB" w14:textId="77777777" w:rsidR="00000000" w:rsidRDefault="00527094">
            <w:pPr>
              <w:pStyle w:val="a3"/>
              <w:spacing w:before="0" w:beforeAutospacing="0" w:after="0" w:afterAutospacing="0"/>
              <w:ind w:left="540" w:hanging="180"/>
              <w:rPr>
                <w:sz w:val="20"/>
                <w:szCs w:val="20"/>
              </w:rPr>
            </w:pPr>
            <w:r>
              <w:rPr>
                <w:sz w:val="20"/>
                <w:szCs w:val="20"/>
              </w:rPr>
              <w:t>Real estate, net of accumulated depreciation and amortization of $2,426,924 and $2,385,287, respectively</w:t>
            </w:r>
          </w:p>
        </w:tc>
        <w:tc>
          <w:tcPr>
            <w:tcW w:w="50" w:type="pct"/>
            <w:shd w:val="clear" w:color="auto" w:fill="FFFFFF"/>
            <w:vAlign w:val="bottom"/>
            <w:hideMark/>
          </w:tcPr>
          <w:p w14:paraId="404CB08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1C73D2" w14:textId="77777777" w:rsidR="00000000" w:rsidRDefault="00527094">
            <w:pPr>
              <w:rPr>
                <w:rFonts w:eastAsia="Times New Roman"/>
                <w:sz w:val="20"/>
                <w:szCs w:val="20"/>
              </w:rPr>
            </w:pPr>
            <w:r>
              <w:rPr>
                <w:rFonts w:eastAsia="Times New Roman"/>
                <w:sz w:val="20"/>
                <w:szCs w:val="20"/>
              </w:rPr>
              <w:t>$</w:t>
            </w:r>
          </w:p>
        </w:tc>
        <w:tc>
          <w:tcPr>
            <w:tcW w:w="600" w:type="pct"/>
            <w:shd w:val="clear" w:color="auto" w:fill="FFFFFF"/>
            <w:vAlign w:val="bottom"/>
            <w:hideMark/>
          </w:tcPr>
          <w:p w14:paraId="33941E26" w14:textId="77777777" w:rsidR="00000000" w:rsidRDefault="00527094">
            <w:pPr>
              <w:jc w:val="right"/>
              <w:rPr>
                <w:rFonts w:eastAsia="Times New Roman"/>
                <w:sz w:val="20"/>
                <w:szCs w:val="20"/>
              </w:rPr>
            </w:pPr>
            <w:r>
              <w:rPr>
                <w:rFonts w:eastAsia="Times New Roman"/>
                <w:sz w:val="20"/>
                <w:szCs w:val="20"/>
              </w:rPr>
              <w:t>9,164,375</w:t>
            </w:r>
          </w:p>
        </w:tc>
        <w:tc>
          <w:tcPr>
            <w:tcW w:w="50" w:type="pct"/>
            <w:shd w:val="clear" w:color="auto" w:fill="FFFFFF"/>
            <w:vAlign w:val="bottom"/>
            <w:hideMark/>
          </w:tcPr>
          <w:p w14:paraId="54556FF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B65B7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DF7ED5" w14:textId="77777777" w:rsidR="00000000" w:rsidRDefault="00527094">
            <w:pPr>
              <w:rPr>
                <w:rFonts w:eastAsia="Times New Roman"/>
                <w:sz w:val="20"/>
                <w:szCs w:val="20"/>
              </w:rPr>
            </w:pPr>
            <w:r>
              <w:rPr>
                <w:rFonts w:eastAsia="Times New Roman"/>
                <w:sz w:val="20"/>
                <w:szCs w:val="20"/>
              </w:rPr>
              <w:t>$</w:t>
            </w:r>
          </w:p>
        </w:tc>
        <w:tc>
          <w:tcPr>
            <w:tcW w:w="600" w:type="pct"/>
            <w:shd w:val="clear" w:color="auto" w:fill="FFFFFF"/>
            <w:vAlign w:val="bottom"/>
            <w:hideMark/>
          </w:tcPr>
          <w:p w14:paraId="5B11776F" w14:textId="77777777" w:rsidR="00000000" w:rsidRDefault="00527094">
            <w:pPr>
              <w:jc w:val="right"/>
              <w:rPr>
                <w:rFonts w:eastAsia="Times New Roman"/>
                <w:sz w:val="20"/>
                <w:szCs w:val="20"/>
              </w:rPr>
            </w:pPr>
            <w:r>
              <w:rPr>
                <w:rFonts w:eastAsia="Times New Roman"/>
                <w:sz w:val="20"/>
                <w:szCs w:val="20"/>
              </w:rPr>
              <w:t>9,250,519</w:t>
            </w:r>
          </w:p>
        </w:tc>
        <w:tc>
          <w:tcPr>
            <w:tcW w:w="50" w:type="pct"/>
            <w:shd w:val="clear" w:color="auto" w:fill="FFFFFF"/>
            <w:vAlign w:val="bottom"/>
            <w:hideMark/>
          </w:tcPr>
          <w:p w14:paraId="481FD728" w14:textId="77777777" w:rsidR="00000000" w:rsidRDefault="00527094">
            <w:pPr>
              <w:rPr>
                <w:rFonts w:eastAsia="Times New Roman"/>
                <w:sz w:val="20"/>
                <w:szCs w:val="20"/>
              </w:rPr>
            </w:pPr>
            <w:r>
              <w:rPr>
                <w:rFonts w:eastAsia="Times New Roman"/>
                <w:sz w:val="20"/>
                <w:szCs w:val="20"/>
              </w:rPr>
              <w:t> </w:t>
            </w:r>
          </w:p>
        </w:tc>
      </w:tr>
      <w:tr w:rsidR="00000000" w14:paraId="3E278D13" w14:textId="77777777">
        <w:trPr>
          <w:divId w:val="1185943591"/>
          <w:tblCellSpacing w:w="0" w:type="dxa"/>
        </w:trPr>
        <w:tc>
          <w:tcPr>
            <w:tcW w:w="0" w:type="auto"/>
            <w:shd w:val="clear" w:color="auto" w:fill="CCEEFF"/>
            <w:vAlign w:val="bottom"/>
            <w:hideMark/>
          </w:tcPr>
          <w:p w14:paraId="4ABDFE2A" w14:textId="77777777" w:rsidR="00000000" w:rsidRDefault="00527094">
            <w:pPr>
              <w:pStyle w:val="a3"/>
              <w:spacing w:before="0" w:beforeAutospacing="0" w:after="0" w:afterAutospacing="0"/>
              <w:ind w:left="540" w:hanging="180"/>
              <w:rPr>
                <w:sz w:val="20"/>
                <w:szCs w:val="20"/>
              </w:rPr>
            </w:pPr>
            <w:r>
              <w:rPr>
                <w:sz w:val="20"/>
                <w:szCs w:val="20"/>
              </w:rPr>
              <w:t>Real estate under development</w:t>
            </w:r>
          </w:p>
        </w:tc>
        <w:tc>
          <w:tcPr>
            <w:tcW w:w="50" w:type="pct"/>
            <w:shd w:val="clear" w:color="auto" w:fill="CCEEFF"/>
            <w:vAlign w:val="bottom"/>
            <w:hideMark/>
          </w:tcPr>
          <w:p w14:paraId="75CC660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71F88C"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858F816" w14:textId="77777777" w:rsidR="00000000" w:rsidRDefault="00527094">
            <w:pPr>
              <w:jc w:val="right"/>
              <w:rPr>
                <w:rFonts w:eastAsia="Times New Roman"/>
                <w:sz w:val="20"/>
                <w:szCs w:val="20"/>
              </w:rPr>
            </w:pPr>
            <w:r>
              <w:rPr>
                <w:rFonts w:eastAsia="Times New Roman"/>
                <w:sz w:val="20"/>
                <w:szCs w:val="20"/>
              </w:rPr>
              <w:t>304,624</w:t>
            </w:r>
          </w:p>
        </w:tc>
        <w:tc>
          <w:tcPr>
            <w:tcW w:w="50" w:type="pct"/>
            <w:shd w:val="clear" w:color="auto" w:fill="CCEEFF"/>
            <w:vAlign w:val="bottom"/>
            <w:hideMark/>
          </w:tcPr>
          <w:p w14:paraId="68324D0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C26BC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AE51E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F8971EC" w14:textId="77777777" w:rsidR="00000000" w:rsidRDefault="00527094">
            <w:pPr>
              <w:jc w:val="right"/>
              <w:rPr>
                <w:rFonts w:eastAsia="Times New Roman"/>
                <w:sz w:val="20"/>
                <w:szCs w:val="20"/>
              </w:rPr>
            </w:pPr>
            <w:r>
              <w:rPr>
                <w:rFonts w:eastAsia="Times New Roman"/>
                <w:sz w:val="20"/>
                <w:szCs w:val="20"/>
              </w:rPr>
              <w:t>241,384</w:t>
            </w:r>
          </w:p>
        </w:tc>
        <w:tc>
          <w:tcPr>
            <w:tcW w:w="50" w:type="pct"/>
            <w:shd w:val="clear" w:color="auto" w:fill="CCEEFF"/>
            <w:vAlign w:val="bottom"/>
            <w:hideMark/>
          </w:tcPr>
          <w:p w14:paraId="46E44493" w14:textId="77777777" w:rsidR="00000000" w:rsidRDefault="00527094">
            <w:pPr>
              <w:rPr>
                <w:rFonts w:eastAsia="Times New Roman"/>
                <w:sz w:val="20"/>
                <w:szCs w:val="20"/>
              </w:rPr>
            </w:pPr>
            <w:r>
              <w:rPr>
                <w:rFonts w:eastAsia="Times New Roman"/>
                <w:sz w:val="20"/>
                <w:szCs w:val="20"/>
              </w:rPr>
              <w:t> </w:t>
            </w:r>
          </w:p>
        </w:tc>
      </w:tr>
      <w:tr w:rsidR="00000000" w14:paraId="6EF778BB" w14:textId="77777777">
        <w:trPr>
          <w:divId w:val="1185943591"/>
          <w:tblCellSpacing w:w="0" w:type="dxa"/>
        </w:trPr>
        <w:tc>
          <w:tcPr>
            <w:tcW w:w="0" w:type="auto"/>
            <w:shd w:val="clear" w:color="auto" w:fill="FFFFFF"/>
            <w:vAlign w:val="bottom"/>
            <w:hideMark/>
          </w:tcPr>
          <w:p w14:paraId="0E5BEB4C" w14:textId="77777777" w:rsidR="00000000" w:rsidRDefault="00527094">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14:paraId="775E6A7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276FB5"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FF5652C" w14:textId="77777777" w:rsidR="00000000" w:rsidRDefault="00527094">
            <w:pPr>
              <w:jc w:val="right"/>
              <w:rPr>
                <w:rFonts w:eastAsia="Times New Roman"/>
                <w:sz w:val="20"/>
                <w:szCs w:val="20"/>
              </w:rPr>
            </w:pPr>
            <w:r>
              <w:rPr>
                <w:rFonts w:eastAsia="Times New Roman"/>
                <w:sz w:val="20"/>
                <w:szCs w:val="20"/>
              </w:rPr>
              <w:t>584,983</w:t>
            </w:r>
          </w:p>
        </w:tc>
        <w:tc>
          <w:tcPr>
            <w:tcW w:w="50" w:type="pct"/>
            <w:shd w:val="clear" w:color="auto" w:fill="FFFFFF"/>
            <w:vAlign w:val="bottom"/>
            <w:hideMark/>
          </w:tcPr>
          <w:p w14:paraId="54370A8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9C743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23A6F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9C94006" w14:textId="77777777" w:rsidR="00000000" w:rsidRDefault="00527094">
            <w:pPr>
              <w:jc w:val="right"/>
              <w:rPr>
                <w:rFonts w:eastAsia="Times New Roman"/>
                <w:sz w:val="20"/>
                <w:szCs w:val="20"/>
              </w:rPr>
            </w:pPr>
            <w:r>
              <w:rPr>
                <w:rFonts w:eastAsia="Times New Roman"/>
                <w:sz w:val="20"/>
                <w:szCs w:val="20"/>
              </w:rPr>
              <w:t>570,922</w:t>
            </w:r>
          </w:p>
        </w:tc>
        <w:tc>
          <w:tcPr>
            <w:tcW w:w="50" w:type="pct"/>
            <w:shd w:val="clear" w:color="auto" w:fill="FFFFFF"/>
            <w:vAlign w:val="bottom"/>
            <w:hideMark/>
          </w:tcPr>
          <w:p w14:paraId="38AA0E68" w14:textId="77777777" w:rsidR="00000000" w:rsidRDefault="00527094">
            <w:pPr>
              <w:rPr>
                <w:rFonts w:eastAsia="Times New Roman"/>
                <w:sz w:val="20"/>
                <w:szCs w:val="20"/>
              </w:rPr>
            </w:pPr>
            <w:r>
              <w:rPr>
                <w:rFonts w:eastAsia="Times New Roman"/>
                <w:sz w:val="20"/>
                <w:szCs w:val="20"/>
              </w:rPr>
              <w:t> </w:t>
            </w:r>
          </w:p>
        </w:tc>
      </w:tr>
      <w:tr w:rsidR="00000000" w14:paraId="30ED54CB" w14:textId="77777777">
        <w:trPr>
          <w:divId w:val="1185943591"/>
          <w:tblCellSpacing w:w="0" w:type="dxa"/>
        </w:trPr>
        <w:tc>
          <w:tcPr>
            <w:tcW w:w="0" w:type="auto"/>
            <w:shd w:val="clear" w:color="auto" w:fill="CCEEFF"/>
            <w:vAlign w:val="bottom"/>
            <w:hideMark/>
          </w:tcPr>
          <w:p w14:paraId="26DF8CAE" w14:textId="77777777" w:rsidR="00000000" w:rsidRDefault="00527094">
            <w:pPr>
              <w:pStyle w:val="a3"/>
              <w:spacing w:before="0" w:beforeAutospacing="0" w:after="0" w:afterAutospacing="0"/>
              <w:ind w:left="540" w:hanging="180"/>
              <w:rPr>
                <w:sz w:val="20"/>
                <w:szCs w:val="20"/>
              </w:rPr>
            </w:pPr>
            <w:r>
              <w:rPr>
                <w:sz w:val="20"/>
                <w:szCs w:val="20"/>
              </w:rPr>
              <w:t>Other real estate investments</w:t>
            </w:r>
          </w:p>
        </w:tc>
        <w:tc>
          <w:tcPr>
            <w:tcW w:w="50" w:type="pct"/>
            <w:shd w:val="clear" w:color="auto" w:fill="CCEEFF"/>
            <w:vAlign w:val="bottom"/>
            <w:hideMark/>
          </w:tcPr>
          <w:p w14:paraId="6924B4A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33EC9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077ED3" w14:textId="77777777" w:rsidR="00000000" w:rsidRDefault="00527094">
            <w:pPr>
              <w:jc w:val="right"/>
              <w:rPr>
                <w:rFonts w:eastAsia="Times New Roman"/>
                <w:sz w:val="20"/>
                <w:szCs w:val="20"/>
              </w:rPr>
            </w:pPr>
            <w:r>
              <w:rPr>
                <w:rFonts w:eastAsia="Times New Roman"/>
                <w:sz w:val="20"/>
                <w:szCs w:val="20"/>
              </w:rPr>
              <w:t>191,834</w:t>
            </w:r>
          </w:p>
        </w:tc>
        <w:tc>
          <w:tcPr>
            <w:tcW w:w="50" w:type="pct"/>
            <w:shd w:val="clear" w:color="auto" w:fill="CCEEFF"/>
            <w:vAlign w:val="bottom"/>
            <w:hideMark/>
          </w:tcPr>
          <w:p w14:paraId="719919B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7BD8F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3E8B9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D7CF05F" w14:textId="77777777" w:rsidR="00000000" w:rsidRDefault="00527094">
            <w:pPr>
              <w:jc w:val="right"/>
              <w:rPr>
                <w:rFonts w:eastAsia="Times New Roman"/>
                <w:sz w:val="20"/>
                <w:szCs w:val="20"/>
              </w:rPr>
            </w:pPr>
            <w:r>
              <w:rPr>
                <w:rFonts w:eastAsia="Times New Roman"/>
                <w:sz w:val="20"/>
                <w:szCs w:val="20"/>
              </w:rPr>
              <w:t>192,123</w:t>
            </w:r>
          </w:p>
        </w:tc>
        <w:tc>
          <w:tcPr>
            <w:tcW w:w="50" w:type="pct"/>
            <w:shd w:val="clear" w:color="auto" w:fill="CCEEFF"/>
            <w:vAlign w:val="bottom"/>
            <w:hideMark/>
          </w:tcPr>
          <w:p w14:paraId="1D1E5D48" w14:textId="77777777" w:rsidR="00000000" w:rsidRDefault="00527094">
            <w:pPr>
              <w:rPr>
                <w:rFonts w:eastAsia="Times New Roman"/>
                <w:sz w:val="20"/>
                <w:szCs w:val="20"/>
              </w:rPr>
            </w:pPr>
            <w:r>
              <w:rPr>
                <w:rFonts w:eastAsia="Times New Roman"/>
                <w:sz w:val="20"/>
                <w:szCs w:val="20"/>
              </w:rPr>
              <w:t> </w:t>
            </w:r>
          </w:p>
        </w:tc>
      </w:tr>
      <w:tr w:rsidR="00000000" w14:paraId="3F2F08B7" w14:textId="77777777">
        <w:trPr>
          <w:divId w:val="1185943591"/>
          <w:tblCellSpacing w:w="0" w:type="dxa"/>
        </w:trPr>
        <w:tc>
          <w:tcPr>
            <w:tcW w:w="0" w:type="auto"/>
            <w:shd w:val="clear" w:color="auto" w:fill="FFFFFF"/>
            <w:vAlign w:val="bottom"/>
            <w:hideMark/>
          </w:tcPr>
          <w:p w14:paraId="1BDACE15" w14:textId="77777777" w:rsidR="00000000" w:rsidRDefault="00527094">
            <w:pPr>
              <w:pStyle w:val="a3"/>
              <w:spacing w:before="0" w:beforeAutospacing="0" w:after="0" w:afterAutospacing="0"/>
              <w:ind w:left="540" w:hanging="180"/>
              <w:rPr>
                <w:sz w:val="20"/>
                <w:szCs w:val="20"/>
              </w:rPr>
            </w:pPr>
            <w:r>
              <w:rPr>
                <w:sz w:val="20"/>
                <w:szCs w:val="20"/>
              </w:rPr>
              <w:t>Cash and cash equivalents</w:t>
            </w:r>
          </w:p>
        </w:tc>
        <w:tc>
          <w:tcPr>
            <w:tcW w:w="50" w:type="pct"/>
            <w:shd w:val="clear" w:color="auto" w:fill="FFFFFF"/>
            <w:vAlign w:val="bottom"/>
            <w:hideMark/>
          </w:tcPr>
          <w:p w14:paraId="3420C96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DB6316"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37527B2" w14:textId="77777777" w:rsidR="00000000" w:rsidRDefault="00527094">
            <w:pPr>
              <w:jc w:val="right"/>
              <w:rPr>
                <w:rFonts w:eastAsia="Times New Roman"/>
                <w:sz w:val="20"/>
                <w:szCs w:val="20"/>
              </w:rPr>
            </w:pPr>
            <w:r>
              <w:rPr>
                <w:rFonts w:eastAsia="Times New Roman"/>
                <w:sz w:val="20"/>
                <w:szCs w:val="20"/>
              </w:rPr>
              <w:t>113,991</w:t>
            </w:r>
          </w:p>
        </w:tc>
        <w:tc>
          <w:tcPr>
            <w:tcW w:w="50" w:type="pct"/>
            <w:shd w:val="clear" w:color="auto" w:fill="FFFFFF"/>
            <w:vAlign w:val="bottom"/>
            <w:hideMark/>
          </w:tcPr>
          <w:p w14:paraId="0080B64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DE6B4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C5A12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FC49390" w14:textId="77777777" w:rsidR="00000000" w:rsidRDefault="00527094">
            <w:pPr>
              <w:jc w:val="right"/>
              <w:rPr>
                <w:rFonts w:eastAsia="Times New Roman"/>
                <w:sz w:val="20"/>
                <w:szCs w:val="20"/>
              </w:rPr>
            </w:pPr>
            <w:r>
              <w:rPr>
                <w:rFonts w:eastAsia="Times New Roman"/>
                <w:sz w:val="20"/>
                <w:szCs w:val="20"/>
              </w:rPr>
              <w:t>143,581</w:t>
            </w:r>
          </w:p>
        </w:tc>
        <w:tc>
          <w:tcPr>
            <w:tcW w:w="50" w:type="pct"/>
            <w:shd w:val="clear" w:color="auto" w:fill="FFFFFF"/>
            <w:vAlign w:val="bottom"/>
            <w:hideMark/>
          </w:tcPr>
          <w:p w14:paraId="035DC3D9" w14:textId="77777777" w:rsidR="00000000" w:rsidRDefault="00527094">
            <w:pPr>
              <w:rPr>
                <w:rFonts w:eastAsia="Times New Roman"/>
                <w:sz w:val="20"/>
                <w:szCs w:val="20"/>
              </w:rPr>
            </w:pPr>
            <w:r>
              <w:rPr>
                <w:rFonts w:eastAsia="Times New Roman"/>
                <w:sz w:val="20"/>
                <w:szCs w:val="20"/>
              </w:rPr>
              <w:t> </w:t>
            </w:r>
          </w:p>
        </w:tc>
      </w:tr>
      <w:tr w:rsidR="00000000" w14:paraId="0C0646E8" w14:textId="77777777">
        <w:trPr>
          <w:divId w:val="1185943591"/>
          <w:tblCellSpacing w:w="0" w:type="dxa"/>
        </w:trPr>
        <w:tc>
          <w:tcPr>
            <w:tcW w:w="0" w:type="auto"/>
            <w:shd w:val="clear" w:color="auto" w:fill="CCEEFF"/>
            <w:vAlign w:val="bottom"/>
            <w:hideMark/>
          </w:tcPr>
          <w:p w14:paraId="0A6E26C1" w14:textId="77777777" w:rsidR="00000000" w:rsidRDefault="00527094">
            <w:pPr>
              <w:pStyle w:val="a3"/>
              <w:spacing w:before="0" w:beforeAutospacing="0" w:after="0" w:afterAutospacing="0"/>
              <w:ind w:left="540" w:hanging="180"/>
              <w:rPr>
                <w:sz w:val="20"/>
                <w:szCs w:val="20"/>
              </w:rPr>
            </w:pPr>
            <w:r>
              <w:rPr>
                <w:sz w:val="20"/>
                <w:szCs w:val="20"/>
              </w:rPr>
              <w:t>Accounts and notes receivable, net</w:t>
            </w:r>
          </w:p>
        </w:tc>
        <w:tc>
          <w:tcPr>
            <w:tcW w:w="50" w:type="pct"/>
            <w:shd w:val="clear" w:color="auto" w:fill="CCEEFF"/>
            <w:vAlign w:val="bottom"/>
            <w:hideMark/>
          </w:tcPr>
          <w:p w14:paraId="3ED17E8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EFAE4E"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6FE8EB9" w14:textId="77777777" w:rsidR="00000000" w:rsidRDefault="00527094">
            <w:pPr>
              <w:jc w:val="right"/>
              <w:rPr>
                <w:rFonts w:eastAsia="Times New Roman"/>
                <w:sz w:val="20"/>
                <w:szCs w:val="20"/>
              </w:rPr>
            </w:pPr>
            <w:r>
              <w:rPr>
                <w:rFonts w:eastAsia="Times New Roman"/>
                <w:sz w:val="20"/>
                <w:szCs w:val="20"/>
              </w:rPr>
              <w:t>182,369</w:t>
            </w:r>
          </w:p>
        </w:tc>
        <w:tc>
          <w:tcPr>
            <w:tcW w:w="50" w:type="pct"/>
            <w:shd w:val="clear" w:color="auto" w:fill="CCEEFF"/>
            <w:vAlign w:val="bottom"/>
            <w:hideMark/>
          </w:tcPr>
          <w:p w14:paraId="7EB6255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C4A95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A25EBB"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318EEC5" w14:textId="77777777" w:rsidR="00000000" w:rsidRDefault="00527094">
            <w:pPr>
              <w:jc w:val="right"/>
              <w:rPr>
                <w:rFonts w:eastAsia="Times New Roman"/>
                <w:sz w:val="20"/>
                <w:szCs w:val="20"/>
              </w:rPr>
            </w:pPr>
            <w:r>
              <w:rPr>
                <w:rFonts w:eastAsia="Times New Roman"/>
                <w:sz w:val="20"/>
                <w:szCs w:val="20"/>
              </w:rPr>
              <w:t>184,528</w:t>
            </w:r>
          </w:p>
        </w:tc>
        <w:tc>
          <w:tcPr>
            <w:tcW w:w="50" w:type="pct"/>
            <w:shd w:val="clear" w:color="auto" w:fill="CCEEFF"/>
            <w:vAlign w:val="bottom"/>
            <w:hideMark/>
          </w:tcPr>
          <w:p w14:paraId="4E8CD64E" w14:textId="77777777" w:rsidR="00000000" w:rsidRDefault="00527094">
            <w:pPr>
              <w:rPr>
                <w:rFonts w:eastAsia="Times New Roman"/>
                <w:sz w:val="20"/>
                <w:szCs w:val="20"/>
              </w:rPr>
            </w:pPr>
            <w:r>
              <w:rPr>
                <w:rFonts w:eastAsia="Times New Roman"/>
                <w:sz w:val="20"/>
                <w:szCs w:val="20"/>
              </w:rPr>
              <w:t> </w:t>
            </w:r>
          </w:p>
        </w:tc>
      </w:tr>
      <w:tr w:rsidR="00000000" w14:paraId="2D08B331" w14:textId="77777777">
        <w:trPr>
          <w:divId w:val="1185943591"/>
          <w:tblCellSpacing w:w="0" w:type="dxa"/>
        </w:trPr>
        <w:tc>
          <w:tcPr>
            <w:tcW w:w="0" w:type="auto"/>
            <w:shd w:val="clear" w:color="auto" w:fill="FFFFFF"/>
            <w:vAlign w:val="bottom"/>
            <w:hideMark/>
          </w:tcPr>
          <w:p w14:paraId="67DADA37" w14:textId="77777777" w:rsidR="00000000" w:rsidRDefault="00527094">
            <w:pPr>
              <w:pStyle w:val="a3"/>
              <w:spacing w:before="0" w:beforeAutospacing="0" w:after="0" w:afterAutospacing="0"/>
              <w:ind w:left="540" w:hanging="180"/>
              <w:rPr>
                <w:sz w:val="20"/>
                <w:szCs w:val="20"/>
              </w:rPr>
            </w:pPr>
            <w:r>
              <w:rPr>
                <w:sz w:val="20"/>
                <w:szCs w:val="20"/>
              </w:rPr>
              <w:t>Operating lease right-of-use assets, net</w:t>
            </w:r>
          </w:p>
        </w:tc>
        <w:tc>
          <w:tcPr>
            <w:tcW w:w="50" w:type="pct"/>
            <w:shd w:val="clear" w:color="auto" w:fill="FFFFFF"/>
            <w:vAlign w:val="bottom"/>
            <w:hideMark/>
          </w:tcPr>
          <w:p w14:paraId="51F2691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B5790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BF10929" w14:textId="77777777" w:rsidR="00000000" w:rsidRDefault="00527094">
            <w:pPr>
              <w:jc w:val="right"/>
              <w:rPr>
                <w:rFonts w:eastAsia="Times New Roman"/>
                <w:sz w:val="20"/>
                <w:szCs w:val="20"/>
              </w:rPr>
            </w:pPr>
            <w:r>
              <w:rPr>
                <w:rFonts w:eastAsia="Times New Roman"/>
                <w:sz w:val="20"/>
                <w:szCs w:val="20"/>
              </w:rPr>
              <w:t>99,997</w:t>
            </w:r>
          </w:p>
        </w:tc>
        <w:tc>
          <w:tcPr>
            <w:tcW w:w="50" w:type="pct"/>
            <w:shd w:val="clear" w:color="auto" w:fill="FFFFFF"/>
            <w:vAlign w:val="bottom"/>
            <w:hideMark/>
          </w:tcPr>
          <w:p w14:paraId="48F961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14E2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2F806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75DDE2A"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720B691" w14:textId="77777777" w:rsidR="00000000" w:rsidRDefault="00527094">
            <w:pPr>
              <w:rPr>
                <w:rFonts w:eastAsia="Times New Roman"/>
                <w:sz w:val="20"/>
                <w:szCs w:val="20"/>
              </w:rPr>
            </w:pPr>
            <w:r>
              <w:rPr>
                <w:rFonts w:eastAsia="Times New Roman"/>
                <w:sz w:val="20"/>
                <w:szCs w:val="20"/>
              </w:rPr>
              <w:t> </w:t>
            </w:r>
          </w:p>
        </w:tc>
      </w:tr>
      <w:tr w:rsidR="00000000" w14:paraId="51D5F01B" w14:textId="77777777">
        <w:trPr>
          <w:divId w:val="1185943591"/>
          <w:tblCellSpacing w:w="0" w:type="dxa"/>
        </w:trPr>
        <w:tc>
          <w:tcPr>
            <w:tcW w:w="0" w:type="auto"/>
            <w:shd w:val="clear" w:color="auto" w:fill="CCEEFF"/>
            <w:vAlign w:val="bottom"/>
            <w:hideMark/>
          </w:tcPr>
          <w:p w14:paraId="41CF2276" w14:textId="77777777" w:rsidR="00000000" w:rsidRDefault="00527094">
            <w:pPr>
              <w:pStyle w:val="a3"/>
              <w:spacing w:before="0" w:beforeAutospacing="0" w:after="0" w:afterAutospacing="0"/>
              <w:ind w:left="540" w:hanging="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14:paraId="4269E38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34AAA00"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268BACA" w14:textId="77777777" w:rsidR="00000000" w:rsidRDefault="00527094">
            <w:pPr>
              <w:jc w:val="right"/>
              <w:rPr>
                <w:rFonts w:eastAsia="Times New Roman"/>
                <w:sz w:val="20"/>
                <w:szCs w:val="20"/>
              </w:rPr>
            </w:pPr>
            <w:r>
              <w:rPr>
                <w:rFonts w:eastAsia="Times New Roman"/>
                <w:sz w:val="20"/>
                <w:szCs w:val="20"/>
              </w:rPr>
              <w:t>398,730</w:t>
            </w:r>
          </w:p>
        </w:tc>
        <w:tc>
          <w:tcPr>
            <w:tcW w:w="50" w:type="pct"/>
            <w:shd w:val="clear" w:color="auto" w:fill="CCEEFF"/>
            <w:tcMar>
              <w:top w:w="0" w:type="dxa"/>
              <w:left w:w="0" w:type="dxa"/>
              <w:bottom w:w="15" w:type="dxa"/>
              <w:right w:w="0" w:type="dxa"/>
            </w:tcMar>
            <w:vAlign w:val="bottom"/>
            <w:hideMark/>
          </w:tcPr>
          <w:p w14:paraId="56D2835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6506788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4AA28B"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E4A7D9E" w14:textId="77777777" w:rsidR="00000000" w:rsidRDefault="00527094">
            <w:pPr>
              <w:jc w:val="right"/>
              <w:rPr>
                <w:rFonts w:eastAsia="Times New Roman"/>
                <w:sz w:val="20"/>
                <w:szCs w:val="20"/>
              </w:rPr>
            </w:pPr>
            <w:r>
              <w:rPr>
                <w:rFonts w:eastAsia="Times New Roman"/>
                <w:sz w:val="20"/>
                <w:szCs w:val="20"/>
              </w:rPr>
              <w:t>416,043</w:t>
            </w:r>
          </w:p>
        </w:tc>
        <w:tc>
          <w:tcPr>
            <w:tcW w:w="50" w:type="pct"/>
            <w:shd w:val="clear" w:color="auto" w:fill="CCEEFF"/>
            <w:tcMar>
              <w:top w:w="0" w:type="dxa"/>
              <w:left w:w="0" w:type="dxa"/>
              <w:bottom w:w="15" w:type="dxa"/>
              <w:right w:w="0" w:type="dxa"/>
            </w:tcMar>
            <w:vAlign w:val="bottom"/>
            <w:hideMark/>
          </w:tcPr>
          <w:p w14:paraId="0AC20F69" w14:textId="77777777" w:rsidR="00000000" w:rsidRDefault="00527094">
            <w:pPr>
              <w:rPr>
                <w:rFonts w:eastAsia="Times New Roman"/>
                <w:sz w:val="20"/>
                <w:szCs w:val="20"/>
              </w:rPr>
            </w:pPr>
            <w:r>
              <w:rPr>
                <w:rFonts w:eastAsia="Times New Roman"/>
                <w:sz w:val="20"/>
                <w:szCs w:val="20"/>
              </w:rPr>
              <w:t> </w:t>
            </w:r>
          </w:p>
        </w:tc>
      </w:tr>
      <w:tr w:rsidR="00000000" w14:paraId="67B4267B" w14:textId="77777777">
        <w:trPr>
          <w:divId w:val="1185943591"/>
          <w:tblCellSpacing w:w="0" w:type="dxa"/>
        </w:trPr>
        <w:tc>
          <w:tcPr>
            <w:tcW w:w="0" w:type="auto"/>
            <w:shd w:val="clear" w:color="auto" w:fill="FFFFFF"/>
            <w:vAlign w:val="bottom"/>
            <w:hideMark/>
          </w:tcPr>
          <w:p w14:paraId="17692828" w14:textId="77777777" w:rsidR="00000000" w:rsidRDefault="00527094">
            <w:pPr>
              <w:pStyle w:val="a3"/>
              <w:spacing w:before="0" w:beforeAutospacing="0" w:after="0" w:afterAutospacing="0"/>
              <w:rPr>
                <w:sz w:val="20"/>
                <w:szCs w:val="20"/>
              </w:rPr>
            </w:pPr>
            <w:r>
              <w:rPr>
                <w:sz w:val="20"/>
                <w:szCs w:val="20"/>
              </w:rPr>
              <w:t>Total assets (1)</w:t>
            </w:r>
          </w:p>
        </w:tc>
        <w:tc>
          <w:tcPr>
            <w:tcW w:w="50" w:type="pct"/>
            <w:shd w:val="clear" w:color="auto" w:fill="FFFFFF"/>
            <w:vAlign w:val="bottom"/>
            <w:hideMark/>
          </w:tcPr>
          <w:p w14:paraId="3836530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71C4535"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3297B9ED" w14:textId="77777777" w:rsidR="00000000" w:rsidRDefault="00527094">
            <w:pPr>
              <w:jc w:val="right"/>
              <w:rPr>
                <w:rFonts w:eastAsia="Times New Roman"/>
                <w:sz w:val="20"/>
                <w:szCs w:val="20"/>
              </w:rPr>
            </w:pPr>
            <w:r>
              <w:rPr>
                <w:rFonts w:eastAsia="Times New Roman"/>
                <w:sz w:val="20"/>
                <w:szCs w:val="20"/>
              </w:rPr>
              <w:t>11,040,903</w:t>
            </w:r>
          </w:p>
        </w:tc>
        <w:tc>
          <w:tcPr>
            <w:tcW w:w="50" w:type="pct"/>
            <w:shd w:val="clear" w:color="auto" w:fill="FFFFFF"/>
            <w:tcMar>
              <w:top w:w="0" w:type="dxa"/>
              <w:left w:w="0" w:type="dxa"/>
              <w:bottom w:w="45" w:type="dxa"/>
              <w:right w:w="0" w:type="dxa"/>
            </w:tcMar>
            <w:vAlign w:val="bottom"/>
            <w:hideMark/>
          </w:tcPr>
          <w:p w14:paraId="01C4915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097593"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EF06B9D"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85D1D1C" w14:textId="77777777" w:rsidR="00000000" w:rsidRDefault="00527094">
            <w:pPr>
              <w:jc w:val="right"/>
              <w:rPr>
                <w:rFonts w:eastAsia="Times New Roman"/>
                <w:sz w:val="20"/>
                <w:szCs w:val="20"/>
              </w:rPr>
            </w:pPr>
            <w:r>
              <w:rPr>
                <w:rFonts w:eastAsia="Times New Roman"/>
                <w:sz w:val="20"/>
                <w:szCs w:val="20"/>
              </w:rPr>
              <w:t>10,999,100</w:t>
            </w:r>
          </w:p>
        </w:tc>
        <w:tc>
          <w:tcPr>
            <w:tcW w:w="50" w:type="pct"/>
            <w:shd w:val="clear" w:color="auto" w:fill="FFFFFF"/>
            <w:tcMar>
              <w:top w:w="0" w:type="dxa"/>
              <w:left w:w="0" w:type="dxa"/>
              <w:bottom w:w="45" w:type="dxa"/>
              <w:right w:w="0" w:type="dxa"/>
            </w:tcMar>
            <w:vAlign w:val="bottom"/>
            <w:hideMark/>
          </w:tcPr>
          <w:p w14:paraId="7732820D" w14:textId="77777777" w:rsidR="00000000" w:rsidRDefault="00527094">
            <w:pPr>
              <w:rPr>
                <w:rFonts w:eastAsia="Times New Roman"/>
                <w:sz w:val="20"/>
                <w:szCs w:val="20"/>
              </w:rPr>
            </w:pPr>
            <w:r>
              <w:rPr>
                <w:rFonts w:eastAsia="Times New Roman"/>
                <w:sz w:val="20"/>
                <w:szCs w:val="20"/>
              </w:rPr>
              <w:t> </w:t>
            </w:r>
          </w:p>
        </w:tc>
      </w:tr>
      <w:tr w:rsidR="00000000" w14:paraId="7C8294FD" w14:textId="77777777">
        <w:trPr>
          <w:divId w:val="1185943591"/>
          <w:tblCellSpacing w:w="0" w:type="dxa"/>
        </w:trPr>
        <w:tc>
          <w:tcPr>
            <w:tcW w:w="0" w:type="auto"/>
            <w:shd w:val="clear" w:color="auto" w:fill="CCEEFF"/>
            <w:vAlign w:val="bottom"/>
            <w:hideMark/>
          </w:tcPr>
          <w:p w14:paraId="05351CF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A5193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C5BCA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E44DA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83F5D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AB10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5A89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277C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A3150" w14:textId="77777777" w:rsidR="00000000" w:rsidRDefault="00527094">
            <w:pPr>
              <w:rPr>
                <w:rFonts w:eastAsia="Times New Roman"/>
                <w:sz w:val="20"/>
                <w:szCs w:val="20"/>
              </w:rPr>
            </w:pPr>
            <w:r>
              <w:rPr>
                <w:rFonts w:eastAsia="Times New Roman"/>
                <w:sz w:val="20"/>
                <w:szCs w:val="20"/>
              </w:rPr>
              <w:t> </w:t>
            </w:r>
          </w:p>
        </w:tc>
      </w:tr>
      <w:tr w:rsidR="00000000" w14:paraId="01677F2A" w14:textId="77777777">
        <w:trPr>
          <w:divId w:val="1185943591"/>
          <w:tblCellSpacing w:w="0" w:type="dxa"/>
        </w:trPr>
        <w:tc>
          <w:tcPr>
            <w:tcW w:w="0" w:type="auto"/>
            <w:shd w:val="clear" w:color="auto" w:fill="FFFFFF"/>
            <w:vAlign w:val="bottom"/>
            <w:hideMark/>
          </w:tcPr>
          <w:p w14:paraId="389AA054" w14:textId="77777777" w:rsidR="00000000" w:rsidRDefault="00527094">
            <w:pPr>
              <w:pStyle w:val="a3"/>
              <w:spacing w:before="0" w:beforeAutospacing="0" w:after="0" w:afterAutospacing="0"/>
              <w:rPr>
                <w:sz w:val="20"/>
                <w:szCs w:val="20"/>
              </w:rPr>
            </w:pPr>
            <w:r>
              <w:rPr>
                <w:sz w:val="20"/>
                <w:szCs w:val="20"/>
              </w:rPr>
              <w:t>Liabilities:</w:t>
            </w:r>
          </w:p>
        </w:tc>
        <w:tc>
          <w:tcPr>
            <w:tcW w:w="0" w:type="auto"/>
            <w:shd w:val="clear" w:color="auto" w:fill="FFFFFF"/>
            <w:vAlign w:val="bottom"/>
            <w:hideMark/>
          </w:tcPr>
          <w:p w14:paraId="1F05781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C6EA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D0EC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7BA3A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43327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F2BF9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ABDF1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A3EC9" w14:textId="77777777" w:rsidR="00000000" w:rsidRDefault="00527094">
            <w:pPr>
              <w:rPr>
                <w:rFonts w:eastAsia="Times New Roman"/>
                <w:sz w:val="20"/>
                <w:szCs w:val="20"/>
              </w:rPr>
            </w:pPr>
            <w:r>
              <w:rPr>
                <w:rFonts w:eastAsia="Times New Roman"/>
                <w:sz w:val="20"/>
                <w:szCs w:val="20"/>
              </w:rPr>
              <w:t> </w:t>
            </w:r>
          </w:p>
        </w:tc>
      </w:tr>
      <w:tr w:rsidR="00000000" w14:paraId="5A0D158B" w14:textId="77777777">
        <w:trPr>
          <w:divId w:val="1185943591"/>
          <w:tblCellSpacing w:w="0" w:type="dxa"/>
        </w:trPr>
        <w:tc>
          <w:tcPr>
            <w:tcW w:w="0" w:type="auto"/>
            <w:shd w:val="clear" w:color="auto" w:fill="CCEEFF"/>
            <w:vAlign w:val="bottom"/>
            <w:hideMark/>
          </w:tcPr>
          <w:p w14:paraId="7A860F13" w14:textId="77777777" w:rsidR="00000000" w:rsidRDefault="00527094">
            <w:pPr>
              <w:pStyle w:val="a3"/>
              <w:spacing w:before="0" w:beforeAutospacing="0" w:after="0" w:afterAutospacing="0"/>
              <w:ind w:left="540" w:hanging="180"/>
              <w:rPr>
                <w:sz w:val="20"/>
                <w:szCs w:val="20"/>
              </w:rPr>
            </w:pPr>
            <w:r>
              <w:rPr>
                <w:sz w:val="20"/>
                <w:szCs w:val="20"/>
              </w:rPr>
              <w:t>Notes payable, net</w:t>
            </w:r>
          </w:p>
        </w:tc>
        <w:tc>
          <w:tcPr>
            <w:tcW w:w="50" w:type="pct"/>
            <w:shd w:val="clear" w:color="auto" w:fill="CCEEFF"/>
            <w:vAlign w:val="bottom"/>
            <w:hideMark/>
          </w:tcPr>
          <w:p w14:paraId="03FD3B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D3E253" w14:textId="77777777" w:rsidR="00000000" w:rsidRDefault="00527094">
            <w:pPr>
              <w:rPr>
                <w:rFonts w:eastAsia="Times New Roman"/>
                <w:sz w:val="20"/>
                <w:szCs w:val="20"/>
              </w:rPr>
            </w:pPr>
            <w:r>
              <w:rPr>
                <w:rFonts w:eastAsia="Times New Roman"/>
                <w:sz w:val="20"/>
                <w:szCs w:val="20"/>
              </w:rPr>
              <w:t>$</w:t>
            </w:r>
          </w:p>
        </w:tc>
        <w:tc>
          <w:tcPr>
            <w:tcW w:w="600" w:type="pct"/>
            <w:shd w:val="clear" w:color="auto" w:fill="CCEEFF"/>
            <w:vAlign w:val="bottom"/>
            <w:hideMark/>
          </w:tcPr>
          <w:p w14:paraId="6F9E4DBC" w14:textId="77777777" w:rsidR="00000000" w:rsidRDefault="00527094">
            <w:pPr>
              <w:jc w:val="right"/>
              <w:rPr>
                <w:rFonts w:eastAsia="Times New Roman"/>
                <w:sz w:val="20"/>
                <w:szCs w:val="20"/>
              </w:rPr>
            </w:pPr>
            <w:r>
              <w:rPr>
                <w:rFonts w:eastAsia="Times New Roman"/>
                <w:sz w:val="20"/>
                <w:szCs w:val="20"/>
              </w:rPr>
              <w:t>4,420,370</w:t>
            </w:r>
          </w:p>
        </w:tc>
        <w:tc>
          <w:tcPr>
            <w:tcW w:w="50" w:type="pct"/>
            <w:shd w:val="clear" w:color="auto" w:fill="CCEEFF"/>
            <w:vAlign w:val="bottom"/>
            <w:hideMark/>
          </w:tcPr>
          <w:p w14:paraId="27191F5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D4BB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377336" w14:textId="77777777" w:rsidR="00000000" w:rsidRDefault="00527094">
            <w:pPr>
              <w:rPr>
                <w:rFonts w:eastAsia="Times New Roman"/>
                <w:sz w:val="20"/>
                <w:szCs w:val="20"/>
              </w:rPr>
            </w:pPr>
            <w:r>
              <w:rPr>
                <w:rFonts w:eastAsia="Times New Roman"/>
                <w:sz w:val="20"/>
                <w:szCs w:val="20"/>
              </w:rPr>
              <w:t>$</w:t>
            </w:r>
          </w:p>
        </w:tc>
        <w:tc>
          <w:tcPr>
            <w:tcW w:w="600" w:type="pct"/>
            <w:shd w:val="clear" w:color="auto" w:fill="CCEEFF"/>
            <w:vAlign w:val="bottom"/>
            <w:hideMark/>
          </w:tcPr>
          <w:p w14:paraId="074BB05E" w14:textId="77777777" w:rsidR="00000000" w:rsidRDefault="00527094">
            <w:pPr>
              <w:jc w:val="right"/>
              <w:rPr>
                <w:rFonts w:eastAsia="Times New Roman"/>
                <w:sz w:val="20"/>
                <w:szCs w:val="20"/>
              </w:rPr>
            </w:pPr>
            <w:r>
              <w:rPr>
                <w:rFonts w:eastAsia="Times New Roman"/>
                <w:sz w:val="20"/>
                <w:szCs w:val="20"/>
              </w:rPr>
              <w:t>4,381,456</w:t>
            </w:r>
          </w:p>
        </w:tc>
        <w:tc>
          <w:tcPr>
            <w:tcW w:w="50" w:type="pct"/>
            <w:shd w:val="clear" w:color="auto" w:fill="CCEEFF"/>
            <w:vAlign w:val="bottom"/>
            <w:hideMark/>
          </w:tcPr>
          <w:p w14:paraId="7DB9C024" w14:textId="77777777" w:rsidR="00000000" w:rsidRDefault="00527094">
            <w:pPr>
              <w:rPr>
                <w:rFonts w:eastAsia="Times New Roman"/>
                <w:sz w:val="20"/>
                <w:szCs w:val="20"/>
              </w:rPr>
            </w:pPr>
            <w:r>
              <w:rPr>
                <w:rFonts w:eastAsia="Times New Roman"/>
                <w:sz w:val="20"/>
                <w:szCs w:val="20"/>
              </w:rPr>
              <w:t> </w:t>
            </w:r>
          </w:p>
        </w:tc>
      </w:tr>
      <w:tr w:rsidR="00000000" w14:paraId="7D61C960" w14:textId="77777777">
        <w:trPr>
          <w:divId w:val="1185943591"/>
          <w:tblCellSpacing w:w="0" w:type="dxa"/>
        </w:trPr>
        <w:tc>
          <w:tcPr>
            <w:tcW w:w="0" w:type="auto"/>
            <w:shd w:val="clear" w:color="auto" w:fill="FFFFFF"/>
            <w:vAlign w:val="bottom"/>
            <w:hideMark/>
          </w:tcPr>
          <w:p w14:paraId="43006810" w14:textId="77777777" w:rsidR="00000000" w:rsidRDefault="00527094">
            <w:pPr>
              <w:pStyle w:val="a3"/>
              <w:spacing w:before="0" w:beforeAutospacing="0" w:after="0" w:afterAutospacing="0"/>
              <w:ind w:left="540" w:hanging="180"/>
              <w:rPr>
                <w:sz w:val="20"/>
                <w:szCs w:val="20"/>
              </w:rPr>
            </w:pPr>
            <w:r>
              <w:rPr>
                <w:sz w:val="20"/>
                <w:szCs w:val="20"/>
              </w:rPr>
              <w:t>Mortgages and construction loan payable, net</w:t>
            </w:r>
          </w:p>
        </w:tc>
        <w:tc>
          <w:tcPr>
            <w:tcW w:w="50" w:type="pct"/>
            <w:shd w:val="clear" w:color="auto" w:fill="FFFFFF"/>
            <w:vAlign w:val="bottom"/>
            <w:hideMark/>
          </w:tcPr>
          <w:p w14:paraId="01A4FD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93D551"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F6B5B32" w14:textId="77777777" w:rsidR="00000000" w:rsidRDefault="00527094">
            <w:pPr>
              <w:jc w:val="right"/>
              <w:rPr>
                <w:rFonts w:eastAsia="Times New Roman"/>
                <w:sz w:val="20"/>
                <w:szCs w:val="20"/>
              </w:rPr>
            </w:pPr>
            <w:r>
              <w:rPr>
                <w:rFonts w:eastAsia="Times New Roman"/>
                <w:sz w:val="20"/>
                <w:szCs w:val="20"/>
              </w:rPr>
              <w:t>485,132</w:t>
            </w:r>
          </w:p>
        </w:tc>
        <w:tc>
          <w:tcPr>
            <w:tcW w:w="50" w:type="pct"/>
            <w:shd w:val="clear" w:color="auto" w:fill="FFFFFF"/>
            <w:vAlign w:val="bottom"/>
            <w:hideMark/>
          </w:tcPr>
          <w:p w14:paraId="249659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E80A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F6D8D4"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EE9393F" w14:textId="77777777" w:rsidR="00000000" w:rsidRDefault="00527094">
            <w:pPr>
              <w:jc w:val="right"/>
              <w:rPr>
                <w:rFonts w:eastAsia="Times New Roman"/>
                <w:sz w:val="20"/>
                <w:szCs w:val="20"/>
              </w:rPr>
            </w:pPr>
            <w:r>
              <w:rPr>
                <w:rFonts w:eastAsia="Times New Roman"/>
                <w:sz w:val="20"/>
                <w:szCs w:val="20"/>
              </w:rPr>
              <w:t>492,416</w:t>
            </w:r>
          </w:p>
        </w:tc>
        <w:tc>
          <w:tcPr>
            <w:tcW w:w="50" w:type="pct"/>
            <w:shd w:val="clear" w:color="auto" w:fill="FFFFFF"/>
            <w:vAlign w:val="bottom"/>
            <w:hideMark/>
          </w:tcPr>
          <w:p w14:paraId="34460605" w14:textId="77777777" w:rsidR="00000000" w:rsidRDefault="00527094">
            <w:pPr>
              <w:rPr>
                <w:rFonts w:eastAsia="Times New Roman"/>
                <w:sz w:val="20"/>
                <w:szCs w:val="20"/>
              </w:rPr>
            </w:pPr>
            <w:r>
              <w:rPr>
                <w:rFonts w:eastAsia="Times New Roman"/>
                <w:sz w:val="20"/>
                <w:szCs w:val="20"/>
              </w:rPr>
              <w:t> </w:t>
            </w:r>
          </w:p>
        </w:tc>
      </w:tr>
      <w:tr w:rsidR="00000000" w14:paraId="5BFC8BAE" w14:textId="77777777">
        <w:trPr>
          <w:divId w:val="1185943591"/>
          <w:tblCellSpacing w:w="0" w:type="dxa"/>
        </w:trPr>
        <w:tc>
          <w:tcPr>
            <w:tcW w:w="0" w:type="auto"/>
            <w:shd w:val="clear" w:color="auto" w:fill="CCEEFF"/>
            <w:vAlign w:val="bottom"/>
            <w:hideMark/>
          </w:tcPr>
          <w:p w14:paraId="2B7766BB" w14:textId="77777777" w:rsidR="00000000" w:rsidRDefault="00527094">
            <w:pPr>
              <w:pStyle w:val="a3"/>
              <w:spacing w:before="0" w:beforeAutospacing="0" w:after="0" w:afterAutospacing="0"/>
              <w:ind w:left="540" w:hanging="180"/>
              <w:rPr>
                <w:sz w:val="20"/>
                <w:szCs w:val="20"/>
              </w:rPr>
            </w:pPr>
            <w:r>
              <w:rPr>
                <w:sz w:val="20"/>
                <w:szCs w:val="20"/>
              </w:rPr>
              <w:lastRenderedPageBreak/>
              <w:t>Dividends payable</w:t>
            </w:r>
          </w:p>
        </w:tc>
        <w:tc>
          <w:tcPr>
            <w:tcW w:w="50" w:type="pct"/>
            <w:shd w:val="clear" w:color="auto" w:fill="CCEEFF"/>
            <w:vAlign w:val="bottom"/>
            <w:hideMark/>
          </w:tcPr>
          <w:p w14:paraId="1EACDB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67766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436AA3B" w14:textId="77777777" w:rsidR="00000000" w:rsidRDefault="00527094">
            <w:pPr>
              <w:jc w:val="right"/>
              <w:rPr>
                <w:rFonts w:eastAsia="Times New Roman"/>
                <w:sz w:val="20"/>
                <w:szCs w:val="20"/>
              </w:rPr>
            </w:pPr>
            <w:r>
              <w:rPr>
                <w:rFonts w:eastAsia="Times New Roman"/>
                <w:sz w:val="20"/>
                <w:szCs w:val="20"/>
              </w:rPr>
              <w:t>130,460</w:t>
            </w:r>
          </w:p>
        </w:tc>
        <w:tc>
          <w:tcPr>
            <w:tcW w:w="50" w:type="pct"/>
            <w:shd w:val="clear" w:color="auto" w:fill="CCEEFF"/>
            <w:vAlign w:val="bottom"/>
            <w:hideMark/>
          </w:tcPr>
          <w:p w14:paraId="202D7E9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5E229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613254"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5D47A96" w14:textId="77777777" w:rsidR="00000000" w:rsidRDefault="00527094">
            <w:pPr>
              <w:jc w:val="right"/>
              <w:rPr>
                <w:rFonts w:eastAsia="Times New Roman"/>
                <w:sz w:val="20"/>
                <w:szCs w:val="20"/>
              </w:rPr>
            </w:pPr>
            <w:r>
              <w:rPr>
                <w:rFonts w:eastAsia="Times New Roman"/>
                <w:sz w:val="20"/>
                <w:szCs w:val="20"/>
              </w:rPr>
              <w:t>130,262</w:t>
            </w:r>
          </w:p>
        </w:tc>
        <w:tc>
          <w:tcPr>
            <w:tcW w:w="50" w:type="pct"/>
            <w:shd w:val="clear" w:color="auto" w:fill="CCEEFF"/>
            <w:vAlign w:val="bottom"/>
            <w:hideMark/>
          </w:tcPr>
          <w:p w14:paraId="336F9D91" w14:textId="77777777" w:rsidR="00000000" w:rsidRDefault="00527094">
            <w:pPr>
              <w:rPr>
                <w:rFonts w:eastAsia="Times New Roman"/>
                <w:sz w:val="20"/>
                <w:szCs w:val="20"/>
              </w:rPr>
            </w:pPr>
            <w:r>
              <w:rPr>
                <w:rFonts w:eastAsia="Times New Roman"/>
                <w:sz w:val="20"/>
                <w:szCs w:val="20"/>
              </w:rPr>
              <w:t> </w:t>
            </w:r>
          </w:p>
        </w:tc>
      </w:tr>
      <w:tr w:rsidR="00000000" w14:paraId="6B49E202" w14:textId="77777777">
        <w:trPr>
          <w:divId w:val="1185943591"/>
          <w:tblCellSpacing w:w="0" w:type="dxa"/>
        </w:trPr>
        <w:tc>
          <w:tcPr>
            <w:tcW w:w="0" w:type="auto"/>
            <w:shd w:val="clear" w:color="auto" w:fill="FFFFFF"/>
            <w:vAlign w:val="bottom"/>
            <w:hideMark/>
          </w:tcPr>
          <w:p w14:paraId="02878169" w14:textId="77777777" w:rsidR="00000000" w:rsidRDefault="00527094">
            <w:pPr>
              <w:pStyle w:val="a3"/>
              <w:spacing w:before="0" w:beforeAutospacing="0" w:after="0" w:afterAutospacing="0"/>
              <w:ind w:left="540" w:hanging="180"/>
              <w:rPr>
                <w:sz w:val="20"/>
                <w:szCs w:val="20"/>
              </w:rPr>
            </w:pPr>
            <w:r>
              <w:rPr>
                <w:sz w:val="20"/>
                <w:szCs w:val="20"/>
              </w:rPr>
              <w:t>Operating lease liabilities</w:t>
            </w:r>
          </w:p>
        </w:tc>
        <w:tc>
          <w:tcPr>
            <w:tcW w:w="50" w:type="pct"/>
            <w:shd w:val="clear" w:color="auto" w:fill="FFFFFF"/>
            <w:vAlign w:val="bottom"/>
            <w:hideMark/>
          </w:tcPr>
          <w:p w14:paraId="237C3B8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04DEEB"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5E8E0A6" w14:textId="77777777" w:rsidR="00000000" w:rsidRDefault="00527094">
            <w:pPr>
              <w:jc w:val="right"/>
              <w:rPr>
                <w:rFonts w:eastAsia="Times New Roman"/>
                <w:sz w:val="20"/>
                <w:szCs w:val="20"/>
              </w:rPr>
            </w:pPr>
            <w:r>
              <w:rPr>
                <w:rFonts w:eastAsia="Times New Roman"/>
                <w:sz w:val="20"/>
                <w:szCs w:val="20"/>
              </w:rPr>
              <w:t>93,233</w:t>
            </w:r>
          </w:p>
        </w:tc>
        <w:tc>
          <w:tcPr>
            <w:tcW w:w="50" w:type="pct"/>
            <w:shd w:val="clear" w:color="auto" w:fill="FFFFFF"/>
            <w:vAlign w:val="bottom"/>
            <w:hideMark/>
          </w:tcPr>
          <w:p w14:paraId="51FEFC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3401C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363FC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839D6D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DF3C142" w14:textId="77777777" w:rsidR="00000000" w:rsidRDefault="00527094">
            <w:pPr>
              <w:rPr>
                <w:rFonts w:eastAsia="Times New Roman"/>
                <w:sz w:val="20"/>
                <w:szCs w:val="20"/>
              </w:rPr>
            </w:pPr>
            <w:r>
              <w:rPr>
                <w:rFonts w:eastAsia="Times New Roman"/>
                <w:sz w:val="20"/>
                <w:szCs w:val="20"/>
              </w:rPr>
              <w:t> </w:t>
            </w:r>
          </w:p>
        </w:tc>
      </w:tr>
      <w:tr w:rsidR="00000000" w14:paraId="2FB599BF" w14:textId="77777777">
        <w:trPr>
          <w:divId w:val="1185943591"/>
          <w:tblCellSpacing w:w="0" w:type="dxa"/>
        </w:trPr>
        <w:tc>
          <w:tcPr>
            <w:tcW w:w="0" w:type="auto"/>
            <w:shd w:val="clear" w:color="auto" w:fill="CCEEFF"/>
            <w:vAlign w:val="bottom"/>
            <w:hideMark/>
          </w:tcPr>
          <w:p w14:paraId="0C704930" w14:textId="77777777" w:rsidR="00000000" w:rsidRDefault="00527094">
            <w:pPr>
              <w:pStyle w:val="a3"/>
              <w:spacing w:before="0" w:beforeAutospacing="0" w:after="0" w:afterAutospacing="0"/>
              <w:ind w:left="540" w:hanging="18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14:paraId="4AB45DA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4789CE5"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227A189" w14:textId="77777777" w:rsidR="00000000" w:rsidRDefault="00527094">
            <w:pPr>
              <w:jc w:val="right"/>
              <w:rPr>
                <w:rFonts w:eastAsia="Times New Roman"/>
                <w:sz w:val="20"/>
                <w:szCs w:val="20"/>
              </w:rPr>
            </w:pPr>
            <w:r>
              <w:rPr>
                <w:rFonts w:eastAsia="Times New Roman"/>
                <w:sz w:val="20"/>
                <w:szCs w:val="20"/>
              </w:rPr>
              <w:t>520,557</w:t>
            </w:r>
          </w:p>
        </w:tc>
        <w:tc>
          <w:tcPr>
            <w:tcW w:w="50" w:type="pct"/>
            <w:shd w:val="clear" w:color="auto" w:fill="CCEEFF"/>
            <w:tcMar>
              <w:top w:w="0" w:type="dxa"/>
              <w:left w:w="0" w:type="dxa"/>
              <w:bottom w:w="15" w:type="dxa"/>
              <w:right w:w="0" w:type="dxa"/>
            </w:tcMar>
            <w:vAlign w:val="bottom"/>
            <w:hideMark/>
          </w:tcPr>
          <w:p w14:paraId="656CBBE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1771F43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9B2FDFC"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2C666C4" w14:textId="77777777" w:rsidR="00000000" w:rsidRDefault="00527094">
            <w:pPr>
              <w:jc w:val="right"/>
              <w:rPr>
                <w:rFonts w:eastAsia="Times New Roman"/>
                <w:sz w:val="20"/>
                <w:szCs w:val="20"/>
              </w:rPr>
            </w:pPr>
            <w:r>
              <w:rPr>
                <w:rFonts w:eastAsia="Times New Roman"/>
                <w:sz w:val="20"/>
                <w:szCs w:val="20"/>
              </w:rPr>
              <w:t>560,231</w:t>
            </w:r>
          </w:p>
        </w:tc>
        <w:tc>
          <w:tcPr>
            <w:tcW w:w="50" w:type="pct"/>
            <w:shd w:val="clear" w:color="auto" w:fill="CCEEFF"/>
            <w:tcMar>
              <w:top w:w="0" w:type="dxa"/>
              <w:left w:w="0" w:type="dxa"/>
              <w:bottom w:w="15" w:type="dxa"/>
              <w:right w:w="0" w:type="dxa"/>
            </w:tcMar>
            <w:vAlign w:val="bottom"/>
            <w:hideMark/>
          </w:tcPr>
          <w:p w14:paraId="00614C37" w14:textId="77777777" w:rsidR="00000000" w:rsidRDefault="00527094">
            <w:pPr>
              <w:rPr>
                <w:rFonts w:eastAsia="Times New Roman"/>
                <w:sz w:val="20"/>
                <w:szCs w:val="20"/>
              </w:rPr>
            </w:pPr>
            <w:r>
              <w:rPr>
                <w:rFonts w:eastAsia="Times New Roman"/>
                <w:sz w:val="20"/>
                <w:szCs w:val="20"/>
              </w:rPr>
              <w:t> </w:t>
            </w:r>
          </w:p>
        </w:tc>
      </w:tr>
      <w:tr w:rsidR="00000000" w14:paraId="53AB6BC1" w14:textId="77777777">
        <w:trPr>
          <w:divId w:val="1185943591"/>
          <w:tblCellSpacing w:w="0" w:type="dxa"/>
        </w:trPr>
        <w:tc>
          <w:tcPr>
            <w:tcW w:w="0" w:type="auto"/>
            <w:shd w:val="clear" w:color="auto" w:fill="FFFFFF"/>
            <w:vAlign w:val="bottom"/>
            <w:hideMark/>
          </w:tcPr>
          <w:p w14:paraId="64D7FDF7" w14:textId="77777777" w:rsidR="00000000" w:rsidRDefault="00527094">
            <w:pPr>
              <w:pStyle w:val="a3"/>
              <w:spacing w:before="0" w:beforeAutospacing="0" w:after="0" w:afterAutospacing="0"/>
              <w:rPr>
                <w:sz w:val="20"/>
                <w:szCs w:val="20"/>
              </w:rPr>
            </w:pPr>
            <w:r>
              <w:rPr>
                <w:sz w:val="20"/>
                <w:szCs w:val="20"/>
              </w:rPr>
              <w:t>Total liabilities (2)</w:t>
            </w:r>
          </w:p>
        </w:tc>
        <w:tc>
          <w:tcPr>
            <w:tcW w:w="50" w:type="pct"/>
            <w:shd w:val="clear" w:color="auto" w:fill="FFFFFF"/>
            <w:vAlign w:val="bottom"/>
            <w:hideMark/>
          </w:tcPr>
          <w:p w14:paraId="4D36E33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DB6AF4F"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47041BD" w14:textId="77777777" w:rsidR="00000000" w:rsidRDefault="00527094">
            <w:pPr>
              <w:jc w:val="right"/>
              <w:rPr>
                <w:rFonts w:eastAsia="Times New Roman"/>
                <w:sz w:val="20"/>
                <w:szCs w:val="20"/>
              </w:rPr>
            </w:pPr>
            <w:r>
              <w:rPr>
                <w:rFonts w:eastAsia="Times New Roman"/>
                <w:sz w:val="20"/>
                <w:szCs w:val="20"/>
              </w:rPr>
              <w:t>5,649,752</w:t>
            </w:r>
          </w:p>
        </w:tc>
        <w:tc>
          <w:tcPr>
            <w:tcW w:w="50" w:type="pct"/>
            <w:shd w:val="clear" w:color="auto" w:fill="FFFFFF"/>
            <w:tcMar>
              <w:top w:w="0" w:type="dxa"/>
              <w:left w:w="0" w:type="dxa"/>
              <w:bottom w:w="15" w:type="dxa"/>
              <w:right w:w="0" w:type="dxa"/>
            </w:tcMar>
            <w:vAlign w:val="bottom"/>
            <w:hideMark/>
          </w:tcPr>
          <w:p w14:paraId="1196D9E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3288F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4BE982C"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EE09B4A" w14:textId="77777777" w:rsidR="00000000" w:rsidRDefault="00527094">
            <w:pPr>
              <w:jc w:val="right"/>
              <w:rPr>
                <w:rFonts w:eastAsia="Times New Roman"/>
                <w:sz w:val="20"/>
                <w:szCs w:val="20"/>
              </w:rPr>
            </w:pPr>
            <w:r>
              <w:rPr>
                <w:rFonts w:eastAsia="Times New Roman"/>
                <w:sz w:val="20"/>
                <w:szCs w:val="20"/>
              </w:rPr>
              <w:t>5,564,365</w:t>
            </w:r>
          </w:p>
        </w:tc>
        <w:tc>
          <w:tcPr>
            <w:tcW w:w="50" w:type="pct"/>
            <w:shd w:val="clear" w:color="auto" w:fill="FFFFFF"/>
            <w:tcMar>
              <w:top w:w="0" w:type="dxa"/>
              <w:left w:w="0" w:type="dxa"/>
              <w:bottom w:w="15" w:type="dxa"/>
              <w:right w:w="0" w:type="dxa"/>
            </w:tcMar>
            <w:vAlign w:val="bottom"/>
            <w:hideMark/>
          </w:tcPr>
          <w:p w14:paraId="49B22E6A" w14:textId="77777777" w:rsidR="00000000" w:rsidRDefault="00527094">
            <w:pPr>
              <w:rPr>
                <w:rFonts w:eastAsia="Times New Roman"/>
                <w:sz w:val="20"/>
                <w:szCs w:val="20"/>
              </w:rPr>
            </w:pPr>
            <w:r>
              <w:rPr>
                <w:rFonts w:eastAsia="Times New Roman"/>
                <w:sz w:val="20"/>
                <w:szCs w:val="20"/>
              </w:rPr>
              <w:t> </w:t>
            </w:r>
          </w:p>
        </w:tc>
      </w:tr>
      <w:tr w:rsidR="00000000" w14:paraId="47619818" w14:textId="77777777">
        <w:trPr>
          <w:divId w:val="1185943591"/>
          <w:tblCellSpacing w:w="0" w:type="dxa"/>
        </w:trPr>
        <w:tc>
          <w:tcPr>
            <w:tcW w:w="0" w:type="auto"/>
            <w:shd w:val="clear" w:color="auto" w:fill="CCEEFF"/>
            <w:vAlign w:val="bottom"/>
            <w:hideMark/>
          </w:tcPr>
          <w:p w14:paraId="72519D62" w14:textId="77777777" w:rsidR="00000000" w:rsidRDefault="00527094">
            <w:pPr>
              <w:pStyle w:val="a3"/>
              <w:spacing w:before="0" w:beforeAutospacing="0" w:after="0" w:afterAutospacing="0"/>
              <w:rPr>
                <w:sz w:val="20"/>
                <w:szCs w:val="20"/>
              </w:rPr>
            </w:pPr>
            <w:r>
              <w:rPr>
                <w:sz w:val="20"/>
                <w:szCs w:val="20"/>
              </w:rPr>
              <w:t>Redeemable noncontrolling interests</w:t>
            </w:r>
          </w:p>
        </w:tc>
        <w:tc>
          <w:tcPr>
            <w:tcW w:w="50" w:type="pct"/>
            <w:shd w:val="clear" w:color="auto" w:fill="CCEEFF"/>
            <w:vAlign w:val="bottom"/>
            <w:hideMark/>
          </w:tcPr>
          <w:p w14:paraId="400FA36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2FB6D92"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2A74FC1" w14:textId="77777777" w:rsidR="00000000" w:rsidRDefault="00527094">
            <w:pPr>
              <w:jc w:val="right"/>
              <w:rPr>
                <w:rFonts w:eastAsia="Times New Roman"/>
                <w:sz w:val="20"/>
                <w:szCs w:val="20"/>
              </w:rPr>
            </w:pPr>
            <w:r>
              <w:rPr>
                <w:rFonts w:eastAsia="Times New Roman"/>
                <w:sz w:val="20"/>
                <w:szCs w:val="20"/>
              </w:rPr>
              <w:t>23,690</w:t>
            </w:r>
          </w:p>
        </w:tc>
        <w:tc>
          <w:tcPr>
            <w:tcW w:w="50" w:type="pct"/>
            <w:shd w:val="clear" w:color="auto" w:fill="CCEEFF"/>
            <w:tcMar>
              <w:top w:w="0" w:type="dxa"/>
              <w:left w:w="0" w:type="dxa"/>
              <w:bottom w:w="15" w:type="dxa"/>
              <w:right w:w="0" w:type="dxa"/>
            </w:tcMar>
            <w:vAlign w:val="bottom"/>
            <w:hideMark/>
          </w:tcPr>
          <w:p w14:paraId="17AB978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E0C5A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60A4BB7"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40774FD" w14:textId="77777777" w:rsidR="00000000" w:rsidRDefault="00527094">
            <w:pPr>
              <w:jc w:val="right"/>
              <w:rPr>
                <w:rFonts w:eastAsia="Times New Roman"/>
                <w:sz w:val="20"/>
                <w:szCs w:val="20"/>
              </w:rPr>
            </w:pPr>
            <w:r>
              <w:rPr>
                <w:rFonts w:eastAsia="Times New Roman"/>
                <w:sz w:val="20"/>
                <w:szCs w:val="20"/>
              </w:rPr>
              <w:t>23,682</w:t>
            </w:r>
          </w:p>
        </w:tc>
        <w:tc>
          <w:tcPr>
            <w:tcW w:w="50" w:type="pct"/>
            <w:shd w:val="clear" w:color="auto" w:fill="CCEEFF"/>
            <w:tcMar>
              <w:top w:w="0" w:type="dxa"/>
              <w:left w:w="0" w:type="dxa"/>
              <w:bottom w:w="15" w:type="dxa"/>
              <w:right w:w="0" w:type="dxa"/>
            </w:tcMar>
            <w:vAlign w:val="bottom"/>
            <w:hideMark/>
          </w:tcPr>
          <w:p w14:paraId="7D1FC8A7" w14:textId="77777777" w:rsidR="00000000" w:rsidRDefault="00527094">
            <w:pPr>
              <w:rPr>
                <w:rFonts w:eastAsia="Times New Roman"/>
                <w:sz w:val="20"/>
                <w:szCs w:val="20"/>
              </w:rPr>
            </w:pPr>
            <w:r>
              <w:rPr>
                <w:rFonts w:eastAsia="Times New Roman"/>
                <w:sz w:val="20"/>
                <w:szCs w:val="20"/>
              </w:rPr>
              <w:t> </w:t>
            </w:r>
          </w:p>
        </w:tc>
      </w:tr>
      <w:tr w:rsidR="00000000" w14:paraId="30FBCBE9" w14:textId="77777777">
        <w:trPr>
          <w:divId w:val="1185943591"/>
          <w:tblCellSpacing w:w="0" w:type="dxa"/>
        </w:trPr>
        <w:tc>
          <w:tcPr>
            <w:tcW w:w="0" w:type="auto"/>
            <w:shd w:val="clear" w:color="auto" w:fill="FFFFFF"/>
            <w:vAlign w:val="bottom"/>
            <w:hideMark/>
          </w:tcPr>
          <w:p w14:paraId="06149A1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79E1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280A3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1C5BC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FA014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F5FF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1BE3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4BB10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434D6" w14:textId="77777777" w:rsidR="00000000" w:rsidRDefault="00527094">
            <w:pPr>
              <w:rPr>
                <w:rFonts w:eastAsia="Times New Roman"/>
                <w:sz w:val="20"/>
                <w:szCs w:val="20"/>
              </w:rPr>
            </w:pPr>
            <w:r>
              <w:rPr>
                <w:rFonts w:eastAsia="Times New Roman"/>
                <w:sz w:val="20"/>
                <w:szCs w:val="20"/>
              </w:rPr>
              <w:t> </w:t>
            </w:r>
          </w:p>
        </w:tc>
      </w:tr>
      <w:tr w:rsidR="00000000" w14:paraId="4D665A76" w14:textId="77777777">
        <w:trPr>
          <w:divId w:val="1185943591"/>
          <w:tblCellSpacing w:w="0" w:type="dxa"/>
        </w:trPr>
        <w:tc>
          <w:tcPr>
            <w:tcW w:w="0" w:type="auto"/>
            <w:shd w:val="clear" w:color="auto" w:fill="CCEEFF"/>
            <w:vAlign w:val="bottom"/>
            <w:hideMark/>
          </w:tcPr>
          <w:p w14:paraId="46CA7F23" w14:textId="77777777" w:rsidR="00000000" w:rsidRDefault="00527094">
            <w:pPr>
              <w:pStyle w:val="a3"/>
              <w:spacing w:before="0" w:beforeAutospacing="0" w:after="0" w:afterAutospacing="0"/>
              <w:rPr>
                <w:sz w:val="20"/>
                <w:szCs w:val="20"/>
              </w:rPr>
            </w:pPr>
            <w:r>
              <w:rPr>
                <w:sz w:val="20"/>
                <w:szCs w:val="20"/>
              </w:rPr>
              <w:t>Commitments and Contingencies</w:t>
            </w:r>
          </w:p>
        </w:tc>
        <w:tc>
          <w:tcPr>
            <w:tcW w:w="0" w:type="auto"/>
            <w:shd w:val="clear" w:color="auto" w:fill="CCEEFF"/>
            <w:vAlign w:val="bottom"/>
            <w:hideMark/>
          </w:tcPr>
          <w:p w14:paraId="617C453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78579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4814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FBFA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8955F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B3EA2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BAD7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A9B3E0" w14:textId="77777777" w:rsidR="00000000" w:rsidRDefault="00527094">
            <w:pPr>
              <w:rPr>
                <w:rFonts w:eastAsia="Times New Roman"/>
                <w:sz w:val="20"/>
                <w:szCs w:val="20"/>
              </w:rPr>
            </w:pPr>
            <w:r>
              <w:rPr>
                <w:rFonts w:eastAsia="Times New Roman"/>
                <w:sz w:val="20"/>
                <w:szCs w:val="20"/>
              </w:rPr>
              <w:t> </w:t>
            </w:r>
          </w:p>
        </w:tc>
      </w:tr>
      <w:tr w:rsidR="00000000" w14:paraId="6C39E19A" w14:textId="77777777">
        <w:trPr>
          <w:divId w:val="1185943591"/>
          <w:tblCellSpacing w:w="0" w:type="dxa"/>
        </w:trPr>
        <w:tc>
          <w:tcPr>
            <w:tcW w:w="0" w:type="auto"/>
            <w:shd w:val="clear" w:color="auto" w:fill="FFFFFF"/>
            <w:vAlign w:val="bottom"/>
            <w:hideMark/>
          </w:tcPr>
          <w:p w14:paraId="6AA942A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EB5B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3E1E6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0FEB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D81C7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C8588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F9B47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8E4A7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BD1BB" w14:textId="77777777" w:rsidR="00000000" w:rsidRDefault="00527094">
            <w:pPr>
              <w:rPr>
                <w:rFonts w:eastAsia="Times New Roman"/>
                <w:sz w:val="20"/>
                <w:szCs w:val="20"/>
              </w:rPr>
            </w:pPr>
            <w:r>
              <w:rPr>
                <w:rFonts w:eastAsia="Times New Roman"/>
                <w:sz w:val="20"/>
                <w:szCs w:val="20"/>
              </w:rPr>
              <w:t> </w:t>
            </w:r>
          </w:p>
        </w:tc>
      </w:tr>
      <w:tr w:rsidR="00000000" w14:paraId="188822A4" w14:textId="77777777">
        <w:trPr>
          <w:divId w:val="1185943591"/>
          <w:tblCellSpacing w:w="0" w:type="dxa"/>
        </w:trPr>
        <w:tc>
          <w:tcPr>
            <w:tcW w:w="0" w:type="auto"/>
            <w:shd w:val="clear" w:color="auto" w:fill="CCEEFF"/>
            <w:vAlign w:val="bottom"/>
            <w:hideMark/>
          </w:tcPr>
          <w:p w14:paraId="0390B5BA" w14:textId="77777777" w:rsidR="00000000" w:rsidRDefault="00527094">
            <w:pPr>
              <w:pStyle w:val="a3"/>
              <w:spacing w:before="0" w:beforeAutospacing="0" w:after="0" w:afterAutospacing="0"/>
              <w:rPr>
                <w:sz w:val="20"/>
                <w:szCs w:val="20"/>
              </w:rPr>
            </w:pPr>
            <w:r>
              <w:rPr>
                <w:sz w:val="20"/>
                <w:szCs w:val="20"/>
              </w:rPr>
              <w:t>Stockholders' equity:</w:t>
            </w:r>
          </w:p>
        </w:tc>
        <w:tc>
          <w:tcPr>
            <w:tcW w:w="0" w:type="auto"/>
            <w:shd w:val="clear" w:color="auto" w:fill="CCEEFF"/>
            <w:vAlign w:val="bottom"/>
            <w:hideMark/>
          </w:tcPr>
          <w:p w14:paraId="61985FE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A34D9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E4C10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DBFE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46ACF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59F1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94699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A420B9" w14:textId="77777777" w:rsidR="00000000" w:rsidRDefault="00527094">
            <w:pPr>
              <w:rPr>
                <w:rFonts w:eastAsia="Times New Roman"/>
                <w:sz w:val="20"/>
                <w:szCs w:val="20"/>
              </w:rPr>
            </w:pPr>
            <w:r>
              <w:rPr>
                <w:rFonts w:eastAsia="Times New Roman"/>
                <w:sz w:val="20"/>
                <w:szCs w:val="20"/>
              </w:rPr>
              <w:t> </w:t>
            </w:r>
          </w:p>
        </w:tc>
      </w:tr>
      <w:tr w:rsidR="00000000" w14:paraId="0F277A6B" w14:textId="77777777">
        <w:trPr>
          <w:divId w:val="1185943591"/>
          <w:tblCellSpacing w:w="0" w:type="dxa"/>
        </w:trPr>
        <w:tc>
          <w:tcPr>
            <w:tcW w:w="0" w:type="auto"/>
            <w:shd w:val="clear" w:color="auto" w:fill="FFFFFF"/>
            <w:vAlign w:val="bottom"/>
            <w:hideMark/>
          </w:tcPr>
          <w:p w14:paraId="39A5A15B" w14:textId="77777777" w:rsidR="00000000" w:rsidRDefault="00527094">
            <w:pPr>
              <w:pStyle w:val="a3"/>
              <w:spacing w:before="0" w:beforeAutospacing="0" w:after="0" w:afterAutospacing="0"/>
              <w:ind w:left="360"/>
              <w:rPr>
                <w:sz w:val="20"/>
                <w:szCs w:val="20"/>
              </w:rPr>
            </w:pPr>
            <w:r>
              <w:rPr>
                <w:sz w:val="20"/>
                <w:szCs w:val="20"/>
              </w:rPr>
              <w:t>Preferred stock, $1.00 par value, authorized 5,996,240 shares; issued and outstanding (in series) 42,580 shares; Aggregate liquidation preference $1,064,500</w:t>
            </w:r>
          </w:p>
        </w:tc>
        <w:tc>
          <w:tcPr>
            <w:tcW w:w="50" w:type="pct"/>
            <w:shd w:val="clear" w:color="auto" w:fill="FFFFFF"/>
            <w:vAlign w:val="bottom"/>
            <w:hideMark/>
          </w:tcPr>
          <w:p w14:paraId="222BE7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52FE6F"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F791AF" w14:textId="77777777" w:rsidR="00000000" w:rsidRDefault="00527094">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14:paraId="679CCA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15629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74233C"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2786940" w14:textId="77777777" w:rsidR="00000000" w:rsidRDefault="00527094">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14:paraId="006A756D" w14:textId="77777777" w:rsidR="00000000" w:rsidRDefault="00527094">
            <w:pPr>
              <w:rPr>
                <w:rFonts w:eastAsia="Times New Roman"/>
                <w:sz w:val="20"/>
                <w:szCs w:val="20"/>
              </w:rPr>
            </w:pPr>
            <w:r>
              <w:rPr>
                <w:rFonts w:eastAsia="Times New Roman"/>
                <w:sz w:val="20"/>
                <w:szCs w:val="20"/>
              </w:rPr>
              <w:t> </w:t>
            </w:r>
          </w:p>
        </w:tc>
      </w:tr>
      <w:tr w:rsidR="00000000" w14:paraId="2C82EBC7" w14:textId="77777777">
        <w:trPr>
          <w:divId w:val="1185943591"/>
          <w:tblCellSpacing w:w="0" w:type="dxa"/>
        </w:trPr>
        <w:tc>
          <w:tcPr>
            <w:tcW w:w="0" w:type="auto"/>
            <w:shd w:val="clear" w:color="auto" w:fill="CCEEFF"/>
            <w:vAlign w:val="bottom"/>
            <w:hideMark/>
          </w:tcPr>
          <w:p w14:paraId="7890079A" w14:textId="77777777" w:rsidR="00000000" w:rsidRDefault="00527094">
            <w:pPr>
              <w:pStyle w:val="a3"/>
              <w:spacing w:before="0" w:beforeAutospacing="0" w:after="0" w:afterAutospacing="0"/>
              <w:ind w:left="360"/>
              <w:rPr>
                <w:sz w:val="20"/>
                <w:szCs w:val="20"/>
              </w:rPr>
            </w:pPr>
            <w:r>
              <w:rPr>
                <w:sz w:val="20"/>
                <w:szCs w:val="20"/>
              </w:rPr>
              <w:t>Common stock, $.01 par value, authorized 750,000,000 shares; issued and outstand</w:t>
            </w:r>
            <w:r>
              <w:rPr>
                <w:sz w:val="20"/>
                <w:szCs w:val="20"/>
              </w:rPr>
              <w:t>ing 422,094,230 and 421,388,879 shares, respectively</w:t>
            </w:r>
          </w:p>
        </w:tc>
        <w:tc>
          <w:tcPr>
            <w:tcW w:w="50" w:type="pct"/>
            <w:shd w:val="clear" w:color="auto" w:fill="CCEEFF"/>
            <w:vAlign w:val="bottom"/>
            <w:hideMark/>
          </w:tcPr>
          <w:p w14:paraId="4880952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E687C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1F3C73E" w14:textId="77777777" w:rsidR="00000000" w:rsidRDefault="00527094">
            <w:pPr>
              <w:jc w:val="right"/>
              <w:rPr>
                <w:rFonts w:eastAsia="Times New Roman"/>
                <w:sz w:val="20"/>
                <w:szCs w:val="20"/>
              </w:rPr>
            </w:pPr>
            <w:r>
              <w:rPr>
                <w:rFonts w:eastAsia="Times New Roman"/>
                <w:sz w:val="20"/>
                <w:szCs w:val="20"/>
              </w:rPr>
              <w:t>4,221</w:t>
            </w:r>
          </w:p>
        </w:tc>
        <w:tc>
          <w:tcPr>
            <w:tcW w:w="50" w:type="pct"/>
            <w:shd w:val="clear" w:color="auto" w:fill="CCEEFF"/>
            <w:vAlign w:val="bottom"/>
            <w:hideMark/>
          </w:tcPr>
          <w:p w14:paraId="702F693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E45F0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1FBADD"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D505FCB" w14:textId="77777777" w:rsidR="00000000" w:rsidRDefault="00527094">
            <w:pPr>
              <w:jc w:val="right"/>
              <w:rPr>
                <w:rFonts w:eastAsia="Times New Roman"/>
                <w:sz w:val="20"/>
                <w:szCs w:val="20"/>
              </w:rPr>
            </w:pPr>
            <w:r>
              <w:rPr>
                <w:rFonts w:eastAsia="Times New Roman"/>
                <w:sz w:val="20"/>
                <w:szCs w:val="20"/>
              </w:rPr>
              <w:t>4,214</w:t>
            </w:r>
          </w:p>
        </w:tc>
        <w:tc>
          <w:tcPr>
            <w:tcW w:w="50" w:type="pct"/>
            <w:shd w:val="clear" w:color="auto" w:fill="CCEEFF"/>
            <w:vAlign w:val="bottom"/>
            <w:hideMark/>
          </w:tcPr>
          <w:p w14:paraId="7F77A85D" w14:textId="77777777" w:rsidR="00000000" w:rsidRDefault="00527094">
            <w:pPr>
              <w:rPr>
                <w:rFonts w:eastAsia="Times New Roman"/>
                <w:sz w:val="20"/>
                <w:szCs w:val="20"/>
              </w:rPr>
            </w:pPr>
            <w:r>
              <w:rPr>
                <w:rFonts w:eastAsia="Times New Roman"/>
                <w:sz w:val="20"/>
                <w:szCs w:val="20"/>
              </w:rPr>
              <w:t> </w:t>
            </w:r>
          </w:p>
        </w:tc>
      </w:tr>
      <w:tr w:rsidR="00000000" w14:paraId="1D51954F" w14:textId="77777777">
        <w:trPr>
          <w:divId w:val="1185943591"/>
          <w:tblCellSpacing w:w="0" w:type="dxa"/>
        </w:trPr>
        <w:tc>
          <w:tcPr>
            <w:tcW w:w="0" w:type="auto"/>
            <w:shd w:val="clear" w:color="auto" w:fill="FFFFFF"/>
            <w:vAlign w:val="bottom"/>
            <w:hideMark/>
          </w:tcPr>
          <w:p w14:paraId="359BEBAA" w14:textId="77777777" w:rsidR="00000000" w:rsidRDefault="00527094">
            <w:pPr>
              <w:pStyle w:val="a3"/>
              <w:spacing w:before="0" w:beforeAutospacing="0" w:after="0" w:afterAutospacing="0"/>
              <w:ind w:left="360"/>
              <w:rPr>
                <w:sz w:val="20"/>
                <w:szCs w:val="20"/>
              </w:rPr>
            </w:pPr>
            <w:r>
              <w:rPr>
                <w:sz w:val="20"/>
                <w:szCs w:val="20"/>
              </w:rPr>
              <w:t>Paid-in capital</w:t>
            </w:r>
          </w:p>
        </w:tc>
        <w:tc>
          <w:tcPr>
            <w:tcW w:w="50" w:type="pct"/>
            <w:shd w:val="clear" w:color="auto" w:fill="FFFFFF"/>
            <w:vAlign w:val="bottom"/>
            <w:hideMark/>
          </w:tcPr>
          <w:p w14:paraId="39AC9F5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69AA7E"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6BE6E1B" w14:textId="77777777" w:rsidR="00000000" w:rsidRDefault="00527094">
            <w:pPr>
              <w:jc w:val="right"/>
              <w:rPr>
                <w:rFonts w:eastAsia="Times New Roman"/>
                <w:sz w:val="20"/>
                <w:szCs w:val="20"/>
              </w:rPr>
            </w:pPr>
            <w:r>
              <w:rPr>
                <w:rFonts w:eastAsia="Times New Roman"/>
                <w:sz w:val="20"/>
                <w:szCs w:val="20"/>
              </w:rPr>
              <w:t>6,125,572</w:t>
            </w:r>
          </w:p>
        </w:tc>
        <w:tc>
          <w:tcPr>
            <w:tcW w:w="50" w:type="pct"/>
            <w:shd w:val="clear" w:color="auto" w:fill="FFFFFF"/>
            <w:vAlign w:val="bottom"/>
            <w:hideMark/>
          </w:tcPr>
          <w:p w14:paraId="7292BC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5576C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BA7DD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47AA13C" w14:textId="77777777" w:rsidR="00000000" w:rsidRDefault="00527094">
            <w:pPr>
              <w:jc w:val="right"/>
              <w:rPr>
                <w:rFonts w:eastAsia="Times New Roman"/>
                <w:sz w:val="20"/>
                <w:szCs w:val="20"/>
              </w:rPr>
            </w:pPr>
            <w:r>
              <w:rPr>
                <w:rFonts w:eastAsia="Times New Roman"/>
                <w:sz w:val="20"/>
                <w:szCs w:val="20"/>
              </w:rPr>
              <w:t>6,117,254</w:t>
            </w:r>
          </w:p>
        </w:tc>
        <w:tc>
          <w:tcPr>
            <w:tcW w:w="50" w:type="pct"/>
            <w:shd w:val="clear" w:color="auto" w:fill="FFFFFF"/>
            <w:vAlign w:val="bottom"/>
            <w:hideMark/>
          </w:tcPr>
          <w:p w14:paraId="2F885C81" w14:textId="77777777" w:rsidR="00000000" w:rsidRDefault="00527094">
            <w:pPr>
              <w:rPr>
                <w:rFonts w:eastAsia="Times New Roman"/>
                <w:sz w:val="20"/>
                <w:szCs w:val="20"/>
              </w:rPr>
            </w:pPr>
            <w:r>
              <w:rPr>
                <w:rFonts w:eastAsia="Times New Roman"/>
                <w:sz w:val="20"/>
                <w:szCs w:val="20"/>
              </w:rPr>
              <w:t> </w:t>
            </w:r>
          </w:p>
        </w:tc>
      </w:tr>
      <w:tr w:rsidR="00000000" w14:paraId="5CAFF96D" w14:textId="77777777">
        <w:trPr>
          <w:divId w:val="1185943591"/>
          <w:tblCellSpacing w:w="0" w:type="dxa"/>
        </w:trPr>
        <w:tc>
          <w:tcPr>
            <w:tcW w:w="0" w:type="auto"/>
            <w:shd w:val="clear" w:color="auto" w:fill="CCEEFF"/>
            <w:vAlign w:val="bottom"/>
            <w:hideMark/>
          </w:tcPr>
          <w:p w14:paraId="5DD9C65F" w14:textId="77777777" w:rsidR="00000000" w:rsidRDefault="00527094">
            <w:pPr>
              <w:pStyle w:val="a3"/>
              <w:spacing w:before="0" w:beforeAutospacing="0" w:after="0" w:afterAutospacing="0"/>
              <w:ind w:left="360"/>
              <w:rPr>
                <w:sz w:val="20"/>
                <w:szCs w:val="20"/>
              </w:rPr>
            </w:pPr>
            <w:r>
              <w:rPr>
                <w:sz w:val="20"/>
                <w:szCs w:val="20"/>
              </w:rPr>
              <w:t>Cumulative distributions in excess of net income</w:t>
            </w:r>
          </w:p>
        </w:tc>
        <w:tc>
          <w:tcPr>
            <w:tcW w:w="50" w:type="pct"/>
            <w:shd w:val="clear" w:color="auto" w:fill="CCEEFF"/>
            <w:vAlign w:val="bottom"/>
            <w:hideMark/>
          </w:tcPr>
          <w:p w14:paraId="069C201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E875285"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8757516" w14:textId="77777777" w:rsidR="00000000" w:rsidRDefault="00527094">
            <w:pPr>
              <w:jc w:val="right"/>
              <w:rPr>
                <w:rFonts w:eastAsia="Times New Roman"/>
                <w:sz w:val="20"/>
                <w:szCs w:val="20"/>
              </w:rPr>
            </w:pPr>
            <w:r>
              <w:rPr>
                <w:rFonts w:eastAsia="Times New Roman"/>
                <w:sz w:val="20"/>
                <w:szCs w:val="20"/>
              </w:rPr>
              <w:t>(835,934</w:t>
            </w:r>
          </w:p>
        </w:tc>
        <w:tc>
          <w:tcPr>
            <w:tcW w:w="50" w:type="pct"/>
            <w:shd w:val="clear" w:color="auto" w:fill="CCEEFF"/>
            <w:tcMar>
              <w:top w:w="0" w:type="dxa"/>
              <w:left w:w="0" w:type="dxa"/>
              <w:bottom w:w="15" w:type="dxa"/>
              <w:right w:w="0" w:type="dxa"/>
            </w:tcMar>
            <w:vAlign w:val="bottom"/>
            <w:hideMark/>
          </w:tcPr>
          <w:p w14:paraId="6D198C61"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82B58B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1F6C7C9"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35B2E0D" w14:textId="77777777" w:rsidR="00000000" w:rsidRDefault="00527094">
            <w:pPr>
              <w:jc w:val="right"/>
              <w:rPr>
                <w:rFonts w:eastAsia="Times New Roman"/>
                <w:sz w:val="20"/>
                <w:szCs w:val="20"/>
              </w:rPr>
            </w:pPr>
            <w:r>
              <w:rPr>
                <w:rFonts w:eastAsia="Times New Roman"/>
                <w:sz w:val="20"/>
                <w:szCs w:val="20"/>
              </w:rPr>
              <w:t>(787,707</w:t>
            </w:r>
          </w:p>
        </w:tc>
        <w:tc>
          <w:tcPr>
            <w:tcW w:w="50" w:type="pct"/>
            <w:shd w:val="clear" w:color="auto" w:fill="CCEEFF"/>
            <w:tcMar>
              <w:top w:w="0" w:type="dxa"/>
              <w:left w:w="0" w:type="dxa"/>
              <w:bottom w:w="15" w:type="dxa"/>
              <w:right w:w="0" w:type="dxa"/>
            </w:tcMar>
            <w:vAlign w:val="bottom"/>
            <w:hideMark/>
          </w:tcPr>
          <w:p w14:paraId="0C02A63C" w14:textId="77777777" w:rsidR="00000000" w:rsidRDefault="00527094">
            <w:pPr>
              <w:rPr>
                <w:rFonts w:eastAsia="Times New Roman"/>
                <w:sz w:val="20"/>
                <w:szCs w:val="20"/>
              </w:rPr>
            </w:pPr>
            <w:r>
              <w:rPr>
                <w:rFonts w:eastAsia="Times New Roman"/>
                <w:sz w:val="20"/>
                <w:szCs w:val="20"/>
              </w:rPr>
              <w:t>)</w:t>
            </w:r>
          </w:p>
        </w:tc>
      </w:tr>
      <w:tr w:rsidR="00000000" w14:paraId="1A0D5212" w14:textId="77777777">
        <w:trPr>
          <w:divId w:val="1185943591"/>
          <w:tblCellSpacing w:w="0" w:type="dxa"/>
        </w:trPr>
        <w:tc>
          <w:tcPr>
            <w:tcW w:w="0" w:type="auto"/>
            <w:shd w:val="clear" w:color="auto" w:fill="FFFFFF"/>
            <w:vAlign w:val="bottom"/>
            <w:hideMark/>
          </w:tcPr>
          <w:p w14:paraId="6600BC30" w14:textId="77777777" w:rsidR="00000000" w:rsidRDefault="00527094">
            <w:pPr>
              <w:pStyle w:val="a3"/>
              <w:spacing w:before="0" w:beforeAutospacing="0" w:after="0" w:afterAutospacing="0"/>
              <w:rPr>
                <w:sz w:val="20"/>
                <w:szCs w:val="20"/>
              </w:rPr>
            </w:pPr>
            <w:r>
              <w:rPr>
                <w:sz w:val="20"/>
                <w:szCs w:val="20"/>
              </w:rPr>
              <w:t>Total stockholders' equity</w:t>
            </w:r>
          </w:p>
        </w:tc>
        <w:tc>
          <w:tcPr>
            <w:tcW w:w="50" w:type="pct"/>
            <w:shd w:val="clear" w:color="auto" w:fill="FFFFFF"/>
            <w:vAlign w:val="bottom"/>
            <w:hideMark/>
          </w:tcPr>
          <w:p w14:paraId="4540655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7D782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2774211" w14:textId="77777777" w:rsidR="00000000" w:rsidRDefault="00527094">
            <w:pPr>
              <w:jc w:val="right"/>
              <w:rPr>
                <w:rFonts w:eastAsia="Times New Roman"/>
                <w:sz w:val="20"/>
                <w:szCs w:val="20"/>
              </w:rPr>
            </w:pPr>
            <w:r>
              <w:rPr>
                <w:rFonts w:eastAsia="Times New Roman"/>
                <w:sz w:val="20"/>
                <w:szCs w:val="20"/>
              </w:rPr>
              <w:t>5,293,902</w:t>
            </w:r>
          </w:p>
        </w:tc>
        <w:tc>
          <w:tcPr>
            <w:tcW w:w="50" w:type="pct"/>
            <w:shd w:val="clear" w:color="auto" w:fill="FFFFFF"/>
            <w:vAlign w:val="bottom"/>
            <w:hideMark/>
          </w:tcPr>
          <w:p w14:paraId="242E4E1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774A0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600825"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5255B39" w14:textId="77777777" w:rsidR="00000000" w:rsidRDefault="00527094">
            <w:pPr>
              <w:jc w:val="right"/>
              <w:rPr>
                <w:rFonts w:eastAsia="Times New Roman"/>
                <w:sz w:val="20"/>
                <w:szCs w:val="20"/>
              </w:rPr>
            </w:pPr>
            <w:r>
              <w:rPr>
                <w:rFonts w:eastAsia="Times New Roman"/>
                <w:sz w:val="20"/>
                <w:szCs w:val="20"/>
              </w:rPr>
              <w:t>5,333,804</w:t>
            </w:r>
          </w:p>
        </w:tc>
        <w:tc>
          <w:tcPr>
            <w:tcW w:w="50" w:type="pct"/>
            <w:shd w:val="clear" w:color="auto" w:fill="FFFFFF"/>
            <w:vAlign w:val="bottom"/>
            <w:hideMark/>
          </w:tcPr>
          <w:p w14:paraId="05293CC7" w14:textId="77777777" w:rsidR="00000000" w:rsidRDefault="00527094">
            <w:pPr>
              <w:rPr>
                <w:rFonts w:eastAsia="Times New Roman"/>
                <w:sz w:val="20"/>
                <w:szCs w:val="20"/>
              </w:rPr>
            </w:pPr>
            <w:r>
              <w:rPr>
                <w:rFonts w:eastAsia="Times New Roman"/>
                <w:sz w:val="20"/>
                <w:szCs w:val="20"/>
              </w:rPr>
              <w:t> </w:t>
            </w:r>
          </w:p>
        </w:tc>
      </w:tr>
      <w:tr w:rsidR="00000000" w14:paraId="6E170C07" w14:textId="77777777">
        <w:trPr>
          <w:divId w:val="1185943591"/>
          <w:tblCellSpacing w:w="0" w:type="dxa"/>
        </w:trPr>
        <w:tc>
          <w:tcPr>
            <w:tcW w:w="0" w:type="auto"/>
            <w:shd w:val="clear" w:color="auto" w:fill="CCEEFF"/>
            <w:vAlign w:val="bottom"/>
            <w:hideMark/>
          </w:tcPr>
          <w:p w14:paraId="0C1243B9" w14:textId="77777777" w:rsidR="00000000" w:rsidRDefault="00527094">
            <w:pPr>
              <w:pStyle w:val="a3"/>
              <w:spacing w:before="0" w:beforeAutospacing="0" w:after="0" w:afterAutospacing="0"/>
              <w:ind w:left="360"/>
              <w:rPr>
                <w:sz w:val="20"/>
                <w:szCs w:val="20"/>
              </w:rPr>
            </w:pPr>
            <w:r>
              <w:rPr>
                <w:sz w:val="20"/>
                <w:szCs w:val="20"/>
              </w:rPr>
              <w:t>Noncontrolling interests</w:t>
            </w:r>
          </w:p>
        </w:tc>
        <w:tc>
          <w:tcPr>
            <w:tcW w:w="50" w:type="pct"/>
            <w:shd w:val="clear" w:color="auto" w:fill="CCEEFF"/>
            <w:vAlign w:val="bottom"/>
            <w:hideMark/>
          </w:tcPr>
          <w:p w14:paraId="33BCD91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EE1FD42"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EBDB101" w14:textId="77777777" w:rsidR="00000000" w:rsidRDefault="00527094">
            <w:pPr>
              <w:jc w:val="right"/>
              <w:rPr>
                <w:rFonts w:eastAsia="Times New Roman"/>
                <w:sz w:val="20"/>
                <w:szCs w:val="20"/>
              </w:rPr>
            </w:pPr>
            <w:r>
              <w:rPr>
                <w:rFonts w:eastAsia="Times New Roman"/>
                <w:sz w:val="20"/>
                <w:szCs w:val="20"/>
              </w:rPr>
              <w:t>73,559</w:t>
            </w:r>
          </w:p>
        </w:tc>
        <w:tc>
          <w:tcPr>
            <w:tcW w:w="50" w:type="pct"/>
            <w:shd w:val="clear" w:color="auto" w:fill="CCEEFF"/>
            <w:tcMar>
              <w:top w:w="0" w:type="dxa"/>
              <w:left w:w="0" w:type="dxa"/>
              <w:bottom w:w="15" w:type="dxa"/>
              <w:right w:w="0" w:type="dxa"/>
            </w:tcMar>
            <w:vAlign w:val="bottom"/>
            <w:hideMark/>
          </w:tcPr>
          <w:p w14:paraId="7E3C60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3EF50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34BAB19"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8EF9A8D" w14:textId="77777777" w:rsidR="00000000" w:rsidRDefault="00527094">
            <w:pPr>
              <w:jc w:val="right"/>
              <w:rPr>
                <w:rFonts w:eastAsia="Times New Roman"/>
                <w:sz w:val="20"/>
                <w:szCs w:val="20"/>
              </w:rPr>
            </w:pPr>
            <w:r>
              <w:rPr>
                <w:rFonts w:eastAsia="Times New Roman"/>
                <w:sz w:val="20"/>
                <w:szCs w:val="20"/>
              </w:rPr>
              <w:t>77,249</w:t>
            </w:r>
          </w:p>
        </w:tc>
        <w:tc>
          <w:tcPr>
            <w:tcW w:w="50" w:type="pct"/>
            <w:shd w:val="clear" w:color="auto" w:fill="CCEEFF"/>
            <w:tcMar>
              <w:top w:w="0" w:type="dxa"/>
              <w:left w:w="0" w:type="dxa"/>
              <w:bottom w:w="15" w:type="dxa"/>
              <w:right w:w="0" w:type="dxa"/>
            </w:tcMar>
            <w:vAlign w:val="bottom"/>
            <w:hideMark/>
          </w:tcPr>
          <w:p w14:paraId="0B08DD1B" w14:textId="77777777" w:rsidR="00000000" w:rsidRDefault="00527094">
            <w:pPr>
              <w:rPr>
                <w:rFonts w:eastAsia="Times New Roman"/>
                <w:sz w:val="20"/>
                <w:szCs w:val="20"/>
              </w:rPr>
            </w:pPr>
            <w:r>
              <w:rPr>
                <w:rFonts w:eastAsia="Times New Roman"/>
                <w:sz w:val="20"/>
                <w:szCs w:val="20"/>
              </w:rPr>
              <w:t> </w:t>
            </w:r>
          </w:p>
        </w:tc>
      </w:tr>
      <w:tr w:rsidR="00000000" w14:paraId="31D00D00" w14:textId="77777777">
        <w:trPr>
          <w:divId w:val="1185943591"/>
          <w:tblCellSpacing w:w="0" w:type="dxa"/>
        </w:trPr>
        <w:tc>
          <w:tcPr>
            <w:tcW w:w="0" w:type="auto"/>
            <w:shd w:val="clear" w:color="auto" w:fill="FFFFFF"/>
            <w:vAlign w:val="bottom"/>
            <w:hideMark/>
          </w:tcPr>
          <w:p w14:paraId="053563BB" w14:textId="77777777" w:rsidR="00000000" w:rsidRDefault="00527094">
            <w:pPr>
              <w:pStyle w:val="a3"/>
              <w:spacing w:before="0" w:beforeAutospacing="0" w:after="0" w:afterAutospacing="0"/>
              <w:rPr>
                <w:sz w:val="20"/>
                <w:szCs w:val="20"/>
              </w:rPr>
            </w:pPr>
            <w:r>
              <w:rPr>
                <w:sz w:val="20"/>
                <w:szCs w:val="20"/>
              </w:rPr>
              <w:t>Total equity</w:t>
            </w:r>
          </w:p>
        </w:tc>
        <w:tc>
          <w:tcPr>
            <w:tcW w:w="50" w:type="pct"/>
            <w:shd w:val="clear" w:color="auto" w:fill="FFFFFF"/>
            <w:tcMar>
              <w:top w:w="0" w:type="dxa"/>
              <w:left w:w="0" w:type="dxa"/>
              <w:bottom w:w="15" w:type="dxa"/>
              <w:right w:w="0" w:type="dxa"/>
            </w:tcMar>
            <w:vAlign w:val="bottom"/>
            <w:hideMark/>
          </w:tcPr>
          <w:p w14:paraId="6C3FA1B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02C172A"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68181E6" w14:textId="77777777" w:rsidR="00000000" w:rsidRDefault="00527094">
            <w:pPr>
              <w:jc w:val="right"/>
              <w:rPr>
                <w:rFonts w:eastAsia="Times New Roman"/>
                <w:sz w:val="20"/>
                <w:szCs w:val="20"/>
              </w:rPr>
            </w:pPr>
            <w:r>
              <w:rPr>
                <w:rFonts w:eastAsia="Times New Roman"/>
                <w:sz w:val="20"/>
                <w:szCs w:val="20"/>
              </w:rPr>
              <w:t>5,367,461</w:t>
            </w:r>
          </w:p>
        </w:tc>
        <w:tc>
          <w:tcPr>
            <w:tcW w:w="50" w:type="pct"/>
            <w:shd w:val="clear" w:color="auto" w:fill="FFFFFF"/>
            <w:tcMar>
              <w:top w:w="0" w:type="dxa"/>
              <w:left w:w="0" w:type="dxa"/>
              <w:bottom w:w="15" w:type="dxa"/>
              <w:right w:w="0" w:type="dxa"/>
            </w:tcMar>
            <w:vAlign w:val="bottom"/>
            <w:hideMark/>
          </w:tcPr>
          <w:p w14:paraId="01610DA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035582E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28AC8F6"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14C2E76" w14:textId="77777777" w:rsidR="00000000" w:rsidRDefault="00527094">
            <w:pPr>
              <w:jc w:val="right"/>
              <w:rPr>
                <w:rFonts w:eastAsia="Times New Roman"/>
                <w:sz w:val="20"/>
                <w:szCs w:val="20"/>
              </w:rPr>
            </w:pPr>
            <w:r>
              <w:rPr>
                <w:rFonts w:eastAsia="Times New Roman"/>
                <w:sz w:val="20"/>
                <w:szCs w:val="20"/>
              </w:rPr>
              <w:t>5,411,053</w:t>
            </w:r>
          </w:p>
        </w:tc>
        <w:tc>
          <w:tcPr>
            <w:tcW w:w="50" w:type="pct"/>
            <w:shd w:val="clear" w:color="auto" w:fill="FFFFFF"/>
            <w:tcMar>
              <w:top w:w="0" w:type="dxa"/>
              <w:left w:w="0" w:type="dxa"/>
              <w:bottom w:w="15" w:type="dxa"/>
              <w:right w:w="0" w:type="dxa"/>
            </w:tcMar>
            <w:vAlign w:val="bottom"/>
            <w:hideMark/>
          </w:tcPr>
          <w:p w14:paraId="029F3C11" w14:textId="77777777" w:rsidR="00000000" w:rsidRDefault="00527094">
            <w:pPr>
              <w:rPr>
                <w:rFonts w:eastAsia="Times New Roman"/>
                <w:sz w:val="20"/>
                <w:szCs w:val="20"/>
              </w:rPr>
            </w:pPr>
            <w:r>
              <w:rPr>
                <w:rFonts w:eastAsia="Times New Roman"/>
                <w:sz w:val="20"/>
                <w:szCs w:val="20"/>
              </w:rPr>
              <w:t> </w:t>
            </w:r>
          </w:p>
        </w:tc>
      </w:tr>
      <w:tr w:rsidR="00000000" w14:paraId="0B336D61" w14:textId="77777777">
        <w:trPr>
          <w:divId w:val="1185943591"/>
          <w:tblCellSpacing w:w="0" w:type="dxa"/>
        </w:trPr>
        <w:tc>
          <w:tcPr>
            <w:tcW w:w="0" w:type="auto"/>
            <w:shd w:val="clear" w:color="auto" w:fill="CCEEFF"/>
            <w:vAlign w:val="bottom"/>
            <w:hideMark/>
          </w:tcPr>
          <w:p w14:paraId="158F9504" w14:textId="77777777" w:rsidR="00000000" w:rsidRDefault="00527094">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14:paraId="4054870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5CD09D0"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5FE241D" w14:textId="77777777" w:rsidR="00000000" w:rsidRDefault="00527094">
            <w:pPr>
              <w:jc w:val="right"/>
              <w:rPr>
                <w:rFonts w:eastAsia="Times New Roman"/>
                <w:sz w:val="20"/>
                <w:szCs w:val="20"/>
              </w:rPr>
            </w:pPr>
            <w:r>
              <w:rPr>
                <w:rFonts w:eastAsia="Times New Roman"/>
                <w:sz w:val="20"/>
                <w:szCs w:val="20"/>
              </w:rPr>
              <w:t>11,040,903</w:t>
            </w:r>
          </w:p>
        </w:tc>
        <w:tc>
          <w:tcPr>
            <w:tcW w:w="50" w:type="pct"/>
            <w:shd w:val="clear" w:color="auto" w:fill="CCEEFF"/>
            <w:tcMar>
              <w:top w:w="0" w:type="dxa"/>
              <w:left w:w="0" w:type="dxa"/>
              <w:bottom w:w="45" w:type="dxa"/>
              <w:right w:w="0" w:type="dxa"/>
            </w:tcMar>
            <w:vAlign w:val="bottom"/>
            <w:hideMark/>
          </w:tcPr>
          <w:p w14:paraId="21BC45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B6A49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FD60FFF"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230983B" w14:textId="77777777" w:rsidR="00000000" w:rsidRDefault="00527094">
            <w:pPr>
              <w:jc w:val="right"/>
              <w:rPr>
                <w:rFonts w:eastAsia="Times New Roman"/>
                <w:sz w:val="20"/>
                <w:szCs w:val="20"/>
              </w:rPr>
            </w:pPr>
            <w:r>
              <w:rPr>
                <w:rFonts w:eastAsia="Times New Roman"/>
                <w:sz w:val="20"/>
                <w:szCs w:val="20"/>
              </w:rPr>
              <w:t>10,999,100</w:t>
            </w:r>
          </w:p>
        </w:tc>
        <w:tc>
          <w:tcPr>
            <w:tcW w:w="50" w:type="pct"/>
            <w:shd w:val="clear" w:color="auto" w:fill="CCEEFF"/>
            <w:tcMar>
              <w:top w:w="0" w:type="dxa"/>
              <w:left w:w="0" w:type="dxa"/>
              <w:bottom w:w="45" w:type="dxa"/>
              <w:right w:w="0" w:type="dxa"/>
            </w:tcMar>
            <w:vAlign w:val="bottom"/>
            <w:hideMark/>
          </w:tcPr>
          <w:p w14:paraId="7D4CED2A" w14:textId="77777777" w:rsidR="00000000" w:rsidRDefault="00527094">
            <w:pPr>
              <w:rPr>
                <w:rFonts w:eastAsia="Times New Roman"/>
                <w:sz w:val="20"/>
                <w:szCs w:val="20"/>
              </w:rPr>
            </w:pPr>
            <w:r>
              <w:rPr>
                <w:rFonts w:eastAsia="Times New Roman"/>
                <w:sz w:val="20"/>
                <w:szCs w:val="20"/>
              </w:rPr>
              <w:t> </w:t>
            </w:r>
          </w:p>
        </w:tc>
      </w:tr>
    </w:tbl>
    <w:p w14:paraId="4EF7E54C" w14:textId="77777777" w:rsidR="00000000" w:rsidRDefault="0052709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7D18A59" w14:textId="77777777">
        <w:trPr>
          <w:tblCellSpacing w:w="0" w:type="dxa"/>
        </w:trPr>
        <w:tc>
          <w:tcPr>
            <w:tcW w:w="360" w:type="dxa"/>
            <w:hideMark/>
          </w:tcPr>
          <w:p w14:paraId="17248441" w14:textId="77777777" w:rsidR="00000000" w:rsidRDefault="00527094">
            <w:pPr>
              <w:pStyle w:val="a3"/>
              <w:spacing w:before="0" w:beforeAutospacing="0" w:after="0" w:afterAutospacing="0"/>
              <w:rPr>
                <w:sz w:val="20"/>
                <w:szCs w:val="20"/>
              </w:rPr>
            </w:pPr>
            <w:r>
              <w:rPr>
                <w:sz w:val="20"/>
                <w:szCs w:val="20"/>
              </w:rPr>
              <w:t>(1)</w:t>
            </w:r>
          </w:p>
        </w:tc>
        <w:tc>
          <w:tcPr>
            <w:tcW w:w="0" w:type="auto"/>
            <w:hideMark/>
          </w:tcPr>
          <w:p w14:paraId="6EF27DD0" w14:textId="77777777" w:rsidR="00000000" w:rsidRDefault="00527094">
            <w:pPr>
              <w:pStyle w:val="a3"/>
              <w:spacing w:before="0" w:beforeAutospacing="0" w:after="0" w:afterAutospacing="0"/>
              <w:jc w:val="both"/>
              <w:rPr>
                <w:sz w:val="20"/>
                <w:szCs w:val="20"/>
              </w:rPr>
            </w:pPr>
            <w:r>
              <w:rPr>
                <w:sz w:val="20"/>
                <w:szCs w:val="20"/>
              </w:rPr>
              <w:t>Includes restricted assets of consolidated variable interest entities (“VIEs”) at June 30, 2019 and December 31, 2018 of $227,980 and $239,012, respectively.  See Footnote 11 of the Notes to Condensed Consolidated Financial Statements.</w:t>
            </w:r>
          </w:p>
        </w:tc>
      </w:tr>
      <w:tr w:rsidR="00000000" w14:paraId="1C9AB765" w14:textId="77777777">
        <w:trPr>
          <w:tblCellSpacing w:w="0" w:type="dxa"/>
        </w:trPr>
        <w:tc>
          <w:tcPr>
            <w:tcW w:w="360" w:type="dxa"/>
            <w:hideMark/>
          </w:tcPr>
          <w:p w14:paraId="6CB566D9" w14:textId="77777777" w:rsidR="00000000" w:rsidRDefault="00527094">
            <w:pPr>
              <w:pStyle w:val="a3"/>
              <w:spacing w:before="0" w:beforeAutospacing="0" w:after="0" w:afterAutospacing="0"/>
              <w:rPr>
                <w:sz w:val="20"/>
                <w:szCs w:val="20"/>
              </w:rPr>
            </w:pPr>
            <w:r>
              <w:rPr>
                <w:sz w:val="20"/>
                <w:szCs w:val="20"/>
              </w:rPr>
              <w:t> </w:t>
            </w:r>
          </w:p>
        </w:tc>
        <w:tc>
          <w:tcPr>
            <w:tcW w:w="0" w:type="auto"/>
            <w:hideMark/>
          </w:tcPr>
          <w:p w14:paraId="06378FF7" w14:textId="77777777" w:rsidR="00000000" w:rsidRDefault="00527094">
            <w:pPr>
              <w:rPr>
                <w:rFonts w:eastAsia="Times New Roman"/>
              </w:rPr>
            </w:pPr>
            <w:r>
              <w:rPr>
                <w:rFonts w:eastAsia="Times New Roman"/>
              </w:rPr>
              <w:t> </w:t>
            </w:r>
          </w:p>
        </w:tc>
      </w:tr>
      <w:tr w:rsidR="00000000" w14:paraId="44521A66" w14:textId="77777777">
        <w:trPr>
          <w:tblCellSpacing w:w="0" w:type="dxa"/>
        </w:trPr>
        <w:tc>
          <w:tcPr>
            <w:tcW w:w="360" w:type="dxa"/>
            <w:hideMark/>
          </w:tcPr>
          <w:p w14:paraId="767A6E29" w14:textId="77777777" w:rsidR="00000000" w:rsidRDefault="00527094">
            <w:pPr>
              <w:pStyle w:val="a3"/>
              <w:spacing w:before="0" w:beforeAutospacing="0" w:after="0" w:afterAutospacing="0"/>
              <w:rPr>
                <w:sz w:val="20"/>
                <w:szCs w:val="20"/>
              </w:rPr>
            </w:pPr>
            <w:r>
              <w:rPr>
                <w:sz w:val="20"/>
                <w:szCs w:val="20"/>
              </w:rPr>
              <w:t>(2)</w:t>
            </w:r>
          </w:p>
        </w:tc>
        <w:tc>
          <w:tcPr>
            <w:tcW w:w="0" w:type="auto"/>
            <w:hideMark/>
          </w:tcPr>
          <w:p w14:paraId="51E11E3E" w14:textId="77777777" w:rsidR="00000000" w:rsidRDefault="00527094">
            <w:pPr>
              <w:pStyle w:val="a3"/>
              <w:spacing w:before="0" w:beforeAutospacing="0" w:after="0" w:afterAutospacing="0"/>
              <w:rPr>
                <w:sz w:val="20"/>
                <w:szCs w:val="20"/>
              </w:rPr>
            </w:pPr>
            <w:r>
              <w:rPr>
                <w:sz w:val="20"/>
                <w:szCs w:val="20"/>
              </w:rPr>
              <w:t>Includes non-recourse liabilities of consolidated VIEs at June 30, 2019 and December 31, 2018 of $145,075 and $143,186, respectively.  See Footnote 11 of the Notes to Condensed Consolidated Financial Statements.</w:t>
            </w:r>
          </w:p>
        </w:tc>
      </w:tr>
    </w:tbl>
    <w:p w14:paraId="1CCB87C9" w14:textId="77777777" w:rsidR="00000000" w:rsidRDefault="00527094">
      <w:pPr>
        <w:pStyle w:val="a3"/>
        <w:spacing w:before="0" w:beforeAutospacing="0" w:after="0" w:afterAutospacing="0"/>
        <w:rPr>
          <w:sz w:val="20"/>
          <w:szCs w:val="20"/>
        </w:rPr>
      </w:pPr>
      <w:r>
        <w:rPr>
          <w:sz w:val="20"/>
          <w:szCs w:val="20"/>
        </w:rPr>
        <w:t> </w:t>
      </w:r>
    </w:p>
    <w:p w14:paraId="4724DD7F" w14:textId="77777777" w:rsidR="00000000" w:rsidRDefault="00527094">
      <w:pPr>
        <w:pStyle w:val="a3"/>
        <w:spacing w:before="0" w:beforeAutospacing="0" w:after="0" w:afterAutospacing="0"/>
        <w:jc w:val="center"/>
        <w:rPr>
          <w:sz w:val="20"/>
          <w:szCs w:val="20"/>
        </w:rPr>
      </w:pPr>
      <w:r>
        <w:rPr>
          <w:sz w:val="20"/>
          <w:szCs w:val="20"/>
        </w:rPr>
        <w:t> </w:t>
      </w:r>
    </w:p>
    <w:p w14:paraId="6C5222CE" w14:textId="77777777" w:rsidR="00000000" w:rsidRDefault="00527094">
      <w:pPr>
        <w:pStyle w:val="a3"/>
        <w:spacing w:before="0" w:beforeAutospacing="0" w:after="0" w:afterAutospacing="0"/>
        <w:jc w:val="center"/>
        <w:rPr>
          <w:sz w:val="20"/>
          <w:szCs w:val="20"/>
        </w:rPr>
      </w:pPr>
      <w:r>
        <w:rPr>
          <w:sz w:val="20"/>
          <w:szCs w:val="20"/>
        </w:rPr>
        <w:t xml:space="preserve">The accompanying notes are an integral </w:t>
      </w:r>
      <w:r>
        <w:rPr>
          <w:sz w:val="20"/>
          <w:szCs w:val="20"/>
        </w:rPr>
        <w:t>part of these condensed consolidated financial statements.</w:t>
      </w:r>
    </w:p>
    <w:p w14:paraId="260E3897" w14:textId="77777777" w:rsidR="00000000" w:rsidRDefault="00527094">
      <w:pPr>
        <w:pStyle w:val="a3"/>
        <w:spacing w:before="0" w:beforeAutospacing="0" w:after="0" w:afterAutospacing="0"/>
        <w:jc w:val="center"/>
        <w:rPr>
          <w:sz w:val="20"/>
          <w:szCs w:val="20"/>
        </w:rPr>
      </w:pPr>
      <w:r>
        <w:rPr>
          <w:sz w:val="20"/>
          <w:szCs w:val="20"/>
        </w:rPr>
        <w:t> </w:t>
      </w:r>
    </w:p>
    <w:p w14:paraId="0A9DC729" w14:textId="77777777" w:rsidR="00000000" w:rsidRDefault="00527094">
      <w:pPr>
        <w:jc w:val="center"/>
        <w:divId w:val="518156638"/>
        <w:rPr>
          <w:rFonts w:eastAsia="Times New Roman"/>
          <w:sz w:val="20"/>
          <w:szCs w:val="20"/>
        </w:rPr>
      </w:pPr>
      <w:r>
        <w:rPr>
          <w:rFonts w:eastAsia="Times New Roman"/>
          <w:sz w:val="20"/>
          <w:szCs w:val="20"/>
        </w:rPr>
        <w:t xml:space="preserve">3 </w:t>
      </w:r>
    </w:p>
    <w:p w14:paraId="61EE1C40" w14:textId="77777777" w:rsidR="00000000" w:rsidRDefault="00527094">
      <w:pPr>
        <w:divId w:val="518156638"/>
        <w:rPr>
          <w:rFonts w:eastAsia="Times New Roman"/>
          <w:sz w:val="20"/>
          <w:szCs w:val="20"/>
        </w:rPr>
      </w:pPr>
      <w:r>
        <w:rPr>
          <w:rFonts w:eastAsia="Times New Roman"/>
          <w:sz w:val="20"/>
          <w:szCs w:val="20"/>
        </w:rPr>
        <w:pict w14:anchorId="50AA02EC">
          <v:rect id="_x0000_i1031" style="width:0;height:1.5pt" o:hralign="center" o:hrstd="t" o:hr="t" fillcolor="#a0a0a0" stroked="f"/>
        </w:pict>
      </w:r>
    </w:p>
    <w:p w14:paraId="06BEB179" w14:textId="77777777" w:rsidR="00000000" w:rsidRDefault="00527094">
      <w:pPr>
        <w:divId w:val="51815663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CAB29D9" w14:textId="77777777" w:rsidR="00000000" w:rsidRDefault="00527094">
      <w:pPr>
        <w:pStyle w:val="a3"/>
        <w:spacing w:before="0" w:beforeAutospacing="0" w:after="0" w:afterAutospacing="0"/>
        <w:rPr>
          <w:sz w:val="20"/>
          <w:szCs w:val="20"/>
        </w:rPr>
      </w:pPr>
      <w:r>
        <w:rPr>
          <w:sz w:val="20"/>
          <w:szCs w:val="20"/>
        </w:rPr>
        <w:t> </w:t>
      </w:r>
    </w:p>
    <w:p w14:paraId="2D716132" w14:textId="77777777" w:rsidR="00000000" w:rsidRDefault="00527094">
      <w:pPr>
        <w:divId w:val="1570771768"/>
        <w:rPr>
          <w:rFonts w:eastAsia="Times New Roman"/>
          <w:sz w:val="20"/>
          <w:szCs w:val="20"/>
        </w:rPr>
      </w:pPr>
      <w:r>
        <w:rPr>
          <w:rFonts w:eastAsia="Times New Roman"/>
          <w:sz w:val="20"/>
          <w:szCs w:val="20"/>
        </w:rPr>
        <w:t xml:space="preserve">  </w:t>
      </w:r>
    </w:p>
    <w:p w14:paraId="71AA7C33" w14:textId="77777777" w:rsidR="00000000" w:rsidRDefault="00527094">
      <w:pPr>
        <w:pStyle w:val="a3"/>
        <w:spacing w:before="0" w:beforeAutospacing="0" w:after="0" w:afterAutospacing="0"/>
        <w:jc w:val="center"/>
        <w:rPr>
          <w:sz w:val="20"/>
          <w:szCs w:val="20"/>
        </w:rPr>
      </w:pPr>
      <w:r>
        <w:rPr>
          <w:sz w:val="20"/>
          <w:szCs w:val="20"/>
        </w:rPr>
        <w:t>KIMCO REALTY CORPORATION AND SUBSIDIARIES</w:t>
      </w:r>
    </w:p>
    <w:p w14:paraId="346BA3D8" w14:textId="77777777" w:rsidR="00000000" w:rsidRDefault="00527094">
      <w:pPr>
        <w:pStyle w:val="a3"/>
        <w:spacing w:before="0" w:beforeAutospacing="0" w:after="0" w:afterAutospacing="0"/>
        <w:jc w:val="center"/>
        <w:rPr>
          <w:sz w:val="20"/>
          <w:szCs w:val="20"/>
        </w:rPr>
      </w:pPr>
      <w:r>
        <w:rPr>
          <w:sz w:val="20"/>
          <w:szCs w:val="20"/>
        </w:rPr>
        <w:t>CONDENSED CONSOLIDATED STATEMENTS O</w:t>
      </w:r>
      <w:r>
        <w:rPr>
          <w:sz w:val="20"/>
          <w:szCs w:val="20"/>
        </w:rPr>
        <w:t>F INCOME</w:t>
      </w:r>
    </w:p>
    <w:p w14:paraId="20795DED" w14:textId="77777777" w:rsidR="00000000" w:rsidRDefault="00527094">
      <w:pPr>
        <w:pStyle w:val="a3"/>
        <w:spacing w:before="0" w:beforeAutospacing="0" w:after="0" w:afterAutospacing="0"/>
        <w:jc w:val="center"/>
        <w:rPr>
          <w:sz w:val="20"/>
          <w:szCs w:val="20"/>
        </w:rPr>
      </w:pPr>
      <w:r>
        <w:rPr>
          <w:sz w:val="20"/>
          <w:szCs w:val="20"/>
        </w:rPr>
        <w:t>(Unaudited)</w:t>
      </w:r>
    </w:p>
    <w:p w14:paraId="6B15195F" w14:textId="77777777" w:rsidR="00000000" w:rsidRDefault="00527094">
      <w:pPr>
        <w:pStyle w:val="a3"/>
        <w:spacing w:before="0" w:beforeAutospacing="0" w:after="0" w:afterAutospacing="0"/>
        <w:jc w:val="center"/>
        <w:rPr>
          <w:sz w:val="20"/>
          <w:szCs w:val="20"/>
        </w:rPr>
      </w:pPr>
      <w:r>
        <w:rPr>
          <w:sz w:val="20"/>
          <w:szCs w:val="20"/>
        </w:rPr>
        <w:t>(in thousands, except per share data)</w:t>
      </w:r>
    </w:p>
    <w:p w14:paraId="237B4E45" w14:textId="77777777" w:rsidR="00000000" w:rsidRDefault="0052709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27"/>
        <w:gridCol w:w="82"/>
        <w:gridCol w:w="100"/>
        <w:gridCol w:w="779"/>
        <w:gridCol w:w="83"/>
        <w:gridCol w:w="83"/>
        <w:gridCol w:w="100"/>
        <w:gridCol w:w="779"/>
        <w:gridCol w:w="83"/>
        <w:gridCol w:w="83"/>
        <w:gridCol w:w="100"/>
        <w:gridCol w:w="779"/>
        <w:gridCol w:w="83"/>
        <w:gridCol w:w="83"/>
        <w:gridCol w:w="100"/>
        <w:gridCol w:w="779"/>
        <w:gridCol w:w="83"/>
      </w:tblGrid>
      <w:tr w:rsidR="00000000" w14:paraId="4E29CA1B" w14:textId="77777777">
        <w:trPr>
          <w:divId w:val="1088112578"/>
          <w:tblCellSpacing w:w="0" w:type="dxa"/>
        </w:trPr>
        <w:tc>
          <w:tcPr>
            <w:tcW w:w="0" w:type="auto"/>
            <w:vAlign w:val="bottom"/>
            <w:hideMark/>
          </w:tcPr>
          <w:p w14:paraId="4C76712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6E0A974" w14:textId="77777777" w:rsidR="00000000" w:rsidRDefault="00527094">
            <w:pPr>
              <w:rPr>
                <w:rFonts w:eastAsia="Times New Roman"/>
                <w:sz w:val="20"/>
                <w:szCs w:val="20"/>
              </w:rPr>
            </w:pPr>
            <w:r>
              <w:rPr>
                <w:rFonts w:eastAsia="Times New Roman"/>
                <w:sz w:val="20"/>
                <w:szCs w:val="20"/>
              </w:rPr>
              <w:t> </w:t>
            </w:r>
          </w:p>
        </w:tc>
        <w:tc>
          <w:tcPr>
            <w:tcW w:w="0" w:type="auto"/>
            <w:gridSpan w:val="6"/>
            <w:vAlign w:val="bottom"/>
            <w:hideMark/>
          </w:tcPr>
          <w:p w14:paraId="23D1CCBD" w14:textId="77777777" w:rsidR="00000000" w:rsidRDefault="00527094">
            <w:pPr>
              <w:pStyle w:val="a3"/>
              <w:spacing w:before="0" w:beforeAutospacing="0" w:after="0" w:afterAutospacing="0"/>
              <w:jc w:val="center"/>
              <w:rPr>
                <w:sz w:val="20"/>
                <w:szCs w:val="20"/>
              </w:rPr>
            </w:pPr>
            <w:r>
              <w:rPr>
                <w:b/>
                <w:bCs/>
                <w:sz w:val="20"/>
                <w:szCs w:val="20"/>
              </w:rPr>
              <w:t xml:space="preserve">Three Months Ended June 30, </w:t>
            </w:r>
          </w:p>
        </w:tc>
        <w:tc>
          <w:tcPr>
            <w:tcW w:w="0" w:type="auto"/>
            <w:vAlign w:val="bottom"/>
            <w:hideMark/>
          </w:tcPr>
          <w:p w14:paraId="42A8436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C2EB0F7" w14:textId="77777777" w:rsidR="00000000" w:rsidRDefault="00527094">
            <w:pPr>
              <w:rPr>
                <w:rFonts w:eastAsia="Times New Roman"/>
                <w:sz w:val="20"/>
                <w:szCs w:val="20"/>
              </w:rPr>
            </w:pPr>
            <w:r>
              <w:rPr>
                <w:rFonts w:eastAsia="Times New Roman"/>
                <w:sz w:val="20"/>
                <w:szCs w:val="20"/>
              </w:rPr>
              <w:t> </w:t>
            </w:r>
          </w:p>
        </w:tc>
        <w:tc>
          <w:tcPr>
            <w:tcW w:w="0" w:type="auto"/>
            <w:gridSpan w:val="6"/>
            <w:vAlign w:val="bottom"/>
            <w:hideMark/>
          </w:tcPr>
          <w:p w14:paraId="3647D8CF" w14:textId="77777777" w:rsidR="00000000" w:rsidRDefault="00527094">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14:paraId="7D55584F" w14:textId="77777777" w:rsidR="00000000" w:rsidRDefault="00527094">
            <w:pPr>
              <w:rPr>
                <w:rFonts w:eastAsia="Times New Roman"/>
                <w:sz w:val="20"/>
                <w:szCs w:val="20"/>
              </w:rPr>
            </w:pPr>
            <w:r>
              <w:rPr>
                <w:rFonts w:eastAsia="Times New Roman"/>
                <w:sz w:val="20"/>
                <w:szCs w:val="20"/>
              </w:rPr>
              <w:t> </w:t>
            </w:r>
          </w:p>
        </w:tc>
      </w:tr>
      <w:tr w:rsidR="00000000" w14:paraId="428F80AA" w14:textId="77777777">
        <w:trPr>
          <w:divId w:val="1088112578"/>
          <w:tblCellSpacing w:w="0" w:type="dxa"/>
        </w:trPr>
        <w:tc>
          <w:tcPr>
            <w:tcW w:w="0" w:type="auto"/>
            <w:vAlign w:val="bottom"/>
            <w:hideMark/>
          </w:tcPr>
          <w:p w14:paraId="343B4DF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229F21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E3A1B06"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62BA2E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3144238"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B3D25D3"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3E0F46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80E059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CF84AD7"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C5BF8B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F62545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A493909"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61DDC0D" w14:textId="77777777" w:rsidR="00000000" w:rsidRDefault="00527094">
            <w:pPr>
              <w:rPr>
                <w:rFonts w:eastAsia="Times New Roman"/>
                <w:sz w:val="20"/>
                <w:szCs w:val="20"/>
              </w:rPr>
            </w:pPr>
            <w:r>
              <w:rPr>
                <w:rFonts w:eastAsia="Times New Roman"/>
                <w:sz w:val="20"/>
                <w:szCs w:val="20"/>
              </w:rPr>
              <w:t> </w:t>
            </w:r>
          </w:p>
        </w:tc>
      </w:tr>
      <w:tr w:rsidR="00000000" w14:paraId="435B6186" w14:textId="77777777">
        <w:trPr>
          <w:divId w:val="1088112578"/>
          <w:tblCellSpacing w:w="0" w:type="dxa"/>
        </w:trPr>
        <w:tc>
          <w:tcPr>
            <w:tcW w:w="0" w:type="auto"/>
            <w:vAlign w:val="bottom"/>
            <w:hideMark/>
          </w:tcPr>
          <w:p w14:paraId="1647DE7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E2E338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D7A9F2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43852F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FD49A1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A291B1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600D89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981B1C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F8F185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FA54F5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3E0B98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F3B625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43870B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448A61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217E3F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9917C5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D5C920A" w14:textId="77777777" w:rsidR="00000000" w:rsidRDefault="00527094">
            <w:pPr>
              <w:rPr>
                <w:rFonts w:eastAsia="Times New Roman"/>
                <w:sz w:val="20"/>
                <w:szCs w:val="20"/>
              </w:rPr>
            </w:pPr>
            <w:r>
              <w:rPr>
                <w:rFonts w:eastAsia="Times New Roman"/>
                <w:sz w:val="20"/>
                <w:szCs w:val="20"/>
              </w:rPr>
              <w:t> </w:t>
            </w:r>
          </w:p>
        </w:tc>
      </w:tr>
      <w:tr w:rsidR="00000000" w14:paraId="6BD9A1D3" w14:textId="77777777">
        <w:trPr>
          <w:divId w:val="1088112578"/>
          <w:tblCellSpacing w:w="0" w:type="dxa"/>
        </w:trPr>
        <w:tc>
          <w:tcPr>
            <w:tcW w:w="0" w:type="auto"/>
            <w:shd w:val="clear" w:color="auto" w:fill="CCEEFF"/>
            <w:vAlign w:val="bottom"/>
            <w:hideMark/>
          </w:tcPr>
          <w:p w14:paraId="23B92DFE" w14:textId="77777777" w:rsidR="00000000" w:rsidRDefault="00527094">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12263AB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78FB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4053E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DF1C7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38B0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A1D5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414C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6DFA6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2BE84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BDC9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CA7F0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78C24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C3071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F41EF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552EF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6B063" w14:textId="77777777" w:rsidR="00000000" w:rsidRDefault="00527094">
            <w:pPr>
              <w:rPr>
                <w:rFonts w:eastAsia="Times New Roman"/>
                <w:sz w:val="20"/>
                <w:szCs w:val="20"/>
              </w:rPr>
            </w:pPr>
            <w:r>
              <w:rPr>
                <w:rFonts w:eastAsia="Times New Roman"/>
                <w:sz w:val="20"/>
                <w:szCs w:val="20"/>
              </w:rPr>
              <w:t> </w:t>
            </w:r>
          </w:p>
        </w:tc>
      </w:tr>
      <w:tr w:rsidR="00000000" w14:paraId="243E5A6E" w14:textId="77777777">
        <w:trPr>
          <w:divId w:val="1088112578"/>
          <w:tblCellSpacing w:w="0" w:type="dxa"/>
        </w:trPr>
        <w:tc>
          <w:tcPr>
            <w:tcW w:w="2375" w:type="pct"/>
            <w:shd w:val="clear" w:color="auto" w:fill="FFFFFF"/>
            <w:vAlign w:val="bottom"/>
            <w:hideMark/>
          </w:tcPr>
          <w:p w14:paraId="17221005" w14:textId="77777777" w:rsidR="00000000" w:rsidRDefault="00527094">
            <w:pPr>
              <w:pStyle w:val="a3"/>
              <w:spacing w:before="0" w:beforeAutospacing="0" w:after="0" w:afterAutospacing="0"/>
              <w:ind w:left="540" w:hanging="180"/>
              <w:rPr>
                <w:sz w:val="20"/>
                <w:szCs w:val="20"/>
              </w:rPr>
            </w:pPr>
            <w:r>
              <w:rPr>
                <w:sz w:val="20"/>
                <w:szCs w:val="20"/>
              </w:rPr>
              <w:t>Revenues from rental properties, net</w:t>
            </w:r>
          </w:p>
        </w:tc>
        <w:tc>
          <w:tcPr>
            <w:tcW w:w="50" w:type="pct"/>
            <w:shd w:val="clear" w:color="auto" w:fill="FFFFFF"/>
            <w:vAlign w:val="bottom"/>
            <w:hideMark/>
          </w:tcPr>
          <w:p w14:paraId="10CD46B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1F9FF8" w14:textId="77777777" w:rsidR="00000000" w:rsidRDefault="00527094">
            <w:pPr>
              <w:rPr>
                <w:rFonts w:eastAsia="Times New Roman"/>
                <w:sz w:val="20"/>
                <w:szCs w:val="20"/>
              </w:rPr>
            </w:pPr>
            <w:r>
              <w:rPr>
                <w:rFonts w:eastAsia="Times New Roman"/>
                <w:sz w:val="20"/>
                <w:szCs w:val="20"/>
              </w:rPr>
              <w:t>$</w:t>
            </w:r>
          </w:p>
        </w:tc>
        <w:tc>
          <w:tcPr>
            <w:tcW w:w="450" w:type="pct"/>
            <w:shd w:val="clear" w:color="auto" w:fill="FFFFFF"/>
            <w:vAlign w:val="bottom"/>
            <w:hideMark/>
          </w:tcPr>
          <w:p w14:paraId="0E48C8BC" w14:textId="77777777" w:rsidR="00000000" w:rsidRDefault="00527094">
            <w:pPr>
              <w:jc w:val="right"/>
              <w:rPr>
                <w:rFonts w:eastAsia="Times New Roman"/>
                <w:sz w:val="20"/>
                <w:szCs w:val="20"/>
              </w:rPr>
            </w:pPr>
            <w:r>
              <w:rPr>
                <w:rFonts w:eastAsia="Times New Roman"/>
                <w:sz w:val="20"/>
                <w:szCs w:val="20"/>
              </w:rPr>
              <w:t>280,710</w:t>
            </w:r>
          </w:p>
        </w:tc>
        <w:tc>
          <w:tcPr>
            <w:tcW w:w="50" w:type="pct"/>
            <w:shd w:val="clear" w:color="auto" w:fill="FFFFFF"/>
            <w:vAlign w:val="bottom"/>
            <w:hideMark/>
          </w:tcPr>
          <w:p w14:paraId="19498D6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C21EE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285B22" w14:textId="77777777" w:rsidR="00000000" w:rsidRDefault="00527094">
            <w:pPr>
              <w:rPr>
                <w:rFonts w:eastAsia="Times New Roman"/>
                <w:sz w:val="20"/>
                <w:szCs w:val="20"/>
              </w:rPr>
            </w:pPr>
            <w:r>
              <w:rPr>
                <w:rFonts w:eastAsia="Times New Roman"/>
                <w:sz w:val="20"/>
                <w:szCs w:val="20"/>
              </w:rPr>
              <w:t>$</w:t>
            </w:r>
          </w:p>
        </w:tc>
        <w:tc>
          <w:tcPr>
            <w:tcW w:w="450" w:type="pct"/>
            <w:shd w:val="clear" w:color="auto" w:fill="FFFFFF"/>
            <w:vAlign w:val="bottom"/>
            <w:hideMark/>
          </w:tcPr>
          <w:p w14:paraId="6E3D11AC" w14:textId="77777777" w:rsidR="00000000" w:rsidRDefault="00527094">
            <w:pPr>
              <w:jc w:val="right"/>
              <w:rPr>
                <w:rFonts w:eastAsia="Times New Roman"/>
                <w:sz w:val="20"/>
                <w:szCs w:val="20"/>
              </w:rPr>
            </w:pPr>
            <w:r>
              <w:rPr>
                <w:rFonts w:eastAsia="Times New Roman"/>
                <w:sz w:val="20"/>
                <w:szCs w:val="20"/>
              </w:rPr>
              <w:t>289,383</w:t>
            </w:r>
          </w:p>
        </w:tc>
        <w:tc>
          <w:tcPr>
            <w:tcW w:w="50" w:type="pct"/>
            <w:shd w:val="clear" w:color="auto" w:fill="FFFFFF"/>
            <w:vAlign w:val="bottom"/>
            <w:hideMark/>
          </w:tcPr>
          <w:p w14:paraId="37DBEA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B089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8DBFEE" w14:textId="77777777" w:rsidR="00000000" w:rsidRDefault="00527094">
            <w:pPr>
              <w:rPr>
                <w:rFonts w:eastAsia="Times New Roman"/>
                <w:sz w:val="20"/>
                <w:szCs w:val="20"/>
              </w:rPr>
            </w:pPr>
            <w:r>
              <w:rPr>
                <w:rFonts w:eastAsia="Times New Roman"/>
                <w:sz w:val="20"/>
                <w:szCs w:val="20"/>
              </w:rPr>
              <w:t>$</w:t>
            </w:r>
          </w:p>
        </w:tc>
        <w:tc>
          <w:tcPr>
            <w:tcW w:w="450" w:type="pct"/>
            <w:shd w:val="clear" w:color="auto" w:fill="FFFFFF"/>
            <w:vAlign w:val="bottom"/>
            <w:hideMark/>
          </w:tcPr>
          <w:p w14:paraId="2608CDFA" w14:textId="77777777" w:rsidR="00000000" w:rsidRDefault="00527094">
            <w:pPr>
              <w:jc w:val="right"/>
              <w:rPr>
                <w:rFonts w:eastAsia="Times New Roman"/>
                <w:sz w:val="20"/>
                <w:szCs w:val="20"/>
              </w:rPr>
            </w:pPr>
            <w:r>
              <w:rPr>
                <w:rFonts w:eastAsia="Times New Roman"/>
                <w:sz w:val="20"/>
                <w:szCs w:val="20"/>
              </w:rPr>
              <w:t>571,344</w:t>
            </w:r>
          </w:p>
        </w:tc>
        <w:tc>
          <w:tcPr>
            <w:tcW w:w="50" w:type="pct"/>
            <w:shd w:val="clear" w:color="auto" w:fill="FFFFFF"/>
            <w:vAlign w:val="bottom"/>
            <w:hideMark/>
          </w:tcPr>
          <w:p w14:paraId="3AD2B25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11324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C30391" w14:textId="77777777" w:rsidR="00000000" w:rsidRDefault="00527094">
            <w:pPr>
              <w:rPr>
                <w:rFonts w:eastAsia="Times New Roman"/>
                <w:sz w:val="20"/>
                <w:szCs w:val="20"/>
              </w:rPr>
            </w:pPr>
            <w:r>
              <w:rPr>
                <w:rFonts w:eastAsia="Times New Roman"/>
                <w:sz w:val="20"/>
                <w:szCs w:val="20"/>
              </w:rPr>
              <w:t>$</w:t>
            </w:r>
          </w:p>
        </w:tc>
        <w:tc>
          <w:tcPr>
            <w:tcW w:w="450" w:type="pct"/>
            <w:shd w:val="clear" w:color="auto" w:fill="FFFFFF"/>
            <w:vAlign w:val="bottom"/>
            <w:hideMark/>
          </w:tcPr>
          <w:p w14:paraId="4A6CC4D7" w14:textId="77777777" w:rsidR="00000000" w:rsidRDefault="00527094">
            <w:pPr>
              <w:jc w:val="right"/>
              <w:rPr>
                <w:rFonts w:eastAsia="Times New Roman"/>
                <w:sz w:val="20"/>
                <w:szCs w:val="20"/>
              </w:rPr>
            </w:pPr>
            <w:r>
              <w:rPr>
                <w:rFonts w:eastAsia="Times New Roman"/>
                <w:sz w:val="20"/>
                <w:szCs w:val="20"/>
              </w:rPr>
              <w:t>589,100</w:t>
            </w:r>
          </w:p>
        </w:tc>
        <w:tc>
          <w:tcPr>
            <w:tcW w:w="50" w:type="pct"/>
            <w:shd w:val="clear" w:color="auto" w:fill="FFFFFF"/>
            <w:vAlign w:val="bottom"/>
            <w:hideMark/>
          </w:tcPr>
          <w:p w14:paraId="49C84CFD" w14:textId="77777777" w:rsidR="00000000" w:rsidRDefault="00527094">
            <w:pPr>
              <w:rPr>
                <w:rFonts w:eastAsia="Times New Roman"/>
                <w:sz w:val="20"/>
                <w:szCs w:val="20"/>
              </w:rPr>
            </w:pPr>
            <w:r>
              <w:rPr>
                <w:rFonts w:eastAsia="Times New Roman"/>
                <w:sz w:val="20"/>
                <w:szCs w:val="20"/>
              </w:rPr>
              <w:t> </w:t>
            </w:r>
          </w:p>
        </w:tc>
      </w:tr>
      <w:tr w:rsidR="00000000" w14:paraId="6FA5C209" w14:textId="77777777">
        <w:trPr>
          <w:divId w:val="1088112578"/>
          <w:tblCellSpacing w:w="0" w:type="dxa"/>
        </w:trPr>
        <w:tc>
          <w:tcPr>
            <w:tcW w:w="0" w:type="auto"/>
            <w:shd w:val="clear" w:color="auto" w:fill="CCEEFF"/>
            <w:vAlign w:val="bottom"/>
            <w:hideMark/>
          </w:tcPr>
          <w:p w14:paraId="0720039C" w14:textId="77777777" w:rsidR="00000000" w:rsidRDefault="00527094">
            <w:pPr>
              <w:pStyle w:val="a3"/>
              <w:spacing w:before="0" w:beforeAutospacing="0" w:after="0" w:afterAutospacing="0"/>
              <w:ind w:left="540" w:hanging="180"/>
              <w:rPr>
                <w:sz w:val="20"/>
                <w:szCs w:val="20"/>
              </w:rPr>
            </w:pPr>
            <w:r>
              <w:rPr>
                <w:sz w:val="20"/>
                <w:szCs w:val="20"/>
              </w:rPr>
              <w:t>Management and other fee income</w:t>
            </w:r>
          </w:p>
        </w:tc>
        <w:tc>
          <w:tcPr>
            <w:tcW w:w="50" w:type="pct"/>
            <w:shd w:val="clear" w:color="auto" w:fill="CCEEFF"/>
            <w:vAlign w:val="bottom"/>
            <w:hideMark/>
          </w:tcPr>
          <w:p w14:paraId="72371C6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748DBF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12AFF53" w14:textId="77777777" w:rsidR="00000000" w:rsidRDefault="00527094">
            <w:pPr>
              <w:jc w:val="right"/>
              <w:rPr>
                <w:rFonts w:eastAsia="Times New Roman"/>
                <w:sz w:val="20"/>
                <w:szCs w:val="20"/>
              </w:rPr>
            </w:pPr>
            <w:r>
              <w:rPr>
                <w:rFonts w:eastAsia="Times New Roman"/>
                <w:sz w:val="20"/>
                <w:szCs w:val="20"/>
              </w:rPr>
              <w:t>4,163</w:t>
            </w:r>
          </w:p>
        </w:tc>
        <w:tc>
          <w:tcPr>
            <w:tcW w:w="50" w:type="pct"/>
            <w:shd w:val="clear" w:color="auto" w:fill="CCEEFF"/>
            <w:tcMar>
              <w:top w:w="0" w:type="dxa"/>
              <w:left w:w="0" w:type="dxa"/>
              <w:bottom w:w="15" w:type="dxa"/>
              <w:right w:w="0" w:type="dxa"/>
            </w:tcMar>
            <w:vAlign w:val="bottom"/>
            <w:hideMark/>
          </w:tcPr>
          <w:p w14:paraId="7991EB4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FB80E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48DA2E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8AEF7D8" w14:textId="77777777" w:rsidR="00000000" w:rsidRDefault="00527094">
            <w:pPr>
              <w:jc w:val="right"/>
              <w:rPr>
                <w:rFonts w:eastAsia="Times New Roman"/>
                <w:sz w:val="20"/>
                <w:szCs w:val="20"/>
              </w:rPr>
            </w:pPr>
            <w:r>
              <w:rPr>
                <w:rFonts w:eastAsia="Times New Roman"/>
                <w:sz w:val="20"/>
                <w:szCs w:val="20"/>
              </w:rPr>
              <w:t>4,020</w:t>
            </w:r>
          </w:p>
        </w:tc>
        <w:tc>
          <w:tcPr>
            <w:tcW w:w="50" w:type="pct"/>
            <w:shd w:val="clear" w:color="auto" w:fill="CCEEFF"/>
            <w:tcMar>
              <w:top w:w="0" w:type="dxa"/>
              <w:left w:w="0" w:type="dxa"/>
              <w:bottom w:w="15" w:type="dxa"/>
              <w:right w:w="0" w:type="dxa"/>
            </w:tcMar>
            <w:vAlign w:val="bottom"/>
            <w:hideMark/>
          </w:tcPr>
          <w:p w14:paraId="5B66EC5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859B67"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EA77112"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8A9914A" w14:textId="77777777" w:rsidR="00000000" w:rsidRDefault="00527094">
            <w:pPr>
              <w:jc w:val="right"/>
              <w:rPr>
                <w:rFonts w:eastAsia="Times New Roman"/>
                <w:sz w:val="20"/>
                <w:szCs w:val="20"/>
              </w:rPr>
            </w:pPr>
            <w:r>
              <w:rPr>
                <w:rFonts w:eastAsia="Times New Roman"/>
                <w:sz w:val="20"/>
                <w:szCs w:val="20"/>
              </w:rPr>
              <w:t>8,539</w:t>
            </w:r>
          </w:p>
        </w:tc>
        <w:tc>
          <w:tcPr>
            <w:tcW w:w="50" w:type="pct"/>
            <w:shd w:val="clear" w:color="auto" w:fill="CCEEFF"/>
            <w:tcMar>
              <w:top w:w="0" w:type="dxa"/>
              <w:left w:w="0" w:type="dxa"/>
              <w:bottom w:w="15" w:type="dxa"/>
              <w:right w:w="0" w:type="dxa"/>
            </w:tcMar>
            <w:vAlign w:val="bottom"/>
            <w:hideMark/>
          </w:tcPr>
          <w:p w14:paraId="3C377DE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E4EAD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4122C98"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845B20A" w14:textId="77777777" w:rsidR="00000000" w:rsidRDefault="00527094">
            <w:pPr>
              <w:jc w:val="right"/>
              <w:rPr>
                <w:rFonts w:eastAsia="Times New Roman"/>
                <w:sz w:val="20"/>
                <w:szCs w:val="20"/>
              </w:rPr>
            </w:pPr>
            <w:r>
              <w:rPr>
                <w:rFonts w:eastAsia="Times New Roman"/>
                <w:sz w:val="20"/>
                <w:szCs w:val="20"/>
              </w:rPr>
              <w:t>8,381</w:t>
            </w:r>
          </w:p>
        </w:tc>
        <w:tc>
          <w:tcPr>
            <w:tcW w:w="50" w:type="pct"/>
            <w:shd w:val="clear" w:color="auto" w:fill="CCEEFF"/>
            <w:tcMar>
              <w:top w:w="0" w:type="dxa"/>
              <w:left w:w="0" w:type="dxa"/>
              <w:bottom w:w="15" w:type="dxa"/>
              <w:right w:w="0" w:type="dxa"/>
            </w:tcMar>
            <w:vAlign w:val="bottom"/>
            <w:hideMark/>
          </w:tcPr>
          <w:p w14:paraId="14CBF5EA" w14:textId="77777777" w:rsidR="00000000" w:rsidRDefault="00527094">
            <w:pPr>
              <w:rPr>
                <w:rFonts w:eastAsia="Times New Roman"/>
                <w:sz w:val="20"/>
                <w:szCs w:val="20"/>
              </w:rPr>
            </w:pPr>
            <w:r>
              <w:rPr>
                <w:rFonts w:eastAsia="Times New Roman"/>
                <w:sz w:val="20"/>
                <w:szCs w:val="20"/>
              </w:rPr>
              <w:t> </w:t>
            </w:r>
          </w:p>
        </w:tc>
      </w:tr>
      <w:tr w:rsidR="00000000" w14:paraId="0206B3A6" w14:textId="77777777">
        <w:trPr>
          <w:divId w:val="1088112578"/>
          <w:tblCellSpacing w:w="0" w:type="dxa"/>
        </w:trPr>
        <w:tc>
          <w:tcPr>
            <w:tcW w:w="0" w:type="auto"/>
            <w:shd w:val="clear" w:color="auto" w:fill="FFFFFF"/>
            <w:vAlign w:val="bottom"/>
            <w:hideMark/>
          </w:tcPr>
          <w:p w14:paraId="4511BDAB" w14:textId="77777777" w:rsidR="00000000" w:rsidRDefault="00527094">
            <w:pPr>
              <w:pStyle w:val="a3"/>
              <w:spacing w:before="0" w:beforeAutospacing="0" w:after="0" w:afterAutospacing="0"/>
              <w:ind w:left="900" w:hanging="180"/>
              <w:rPr>
                <w:sz w:val="20"/>
                <w:szCs w:val="20"/>
              </w:rPr>
            </w:pPr>
            <w:r>
              <w:rPr>
                <w:sz w:val="20"/>
                <w:szCs w:val="20"/>
              </w:rPr>
              <w:t>Total revenues</w:t>
            </w:r>
          </w:p>
        </w:tc>
        <w:tc>
          <w:tcPr>
            <w:tcW w:w="50" w:type="pct"/>
            <w:shd w:val="clear" w:color="auto" w:fill="FFFFFF"/>
            <w:vAlign w:val="bottom"/>
            <w:hideMark/>
          </w:tcPr>
          <w:p w14:paraId="54A6204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4308DB3"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5B8B9F5" w14:textId="77777777" w:rsidR="00000000" w:rsidRDefault="00527094">
            <w:pPr>
              <w:jc w:val="right"/>
              <w:rPr>
                <w:rFonts w:eastAsia="Times New Roman"/>
                <w:sz w:val="20"/>
                <w:szCs w:val="20"/>
              </w:rPr>
            </w:pPr>
            <w:r>
              <w:rPr>
                <w:rFonts w:eastAsia="Times New Roman"/>
                <w:sz w:val="20"/>
                <w:szCs w:val="20"/>
              </w:rPr>
              <w:t>284,873</w:t>
            </w:r>
          </w:p>
        </w:tc>
        <w:tc>
          <w:tcPr>
            <w:tcW w:w="50" w:type="pct"/>
            <w:shd w:val="clear" w:color="auto" w:fill="FFFFFF"/>
            <w:tcMar>
              <w:top w:w="0" w:type="dxa"/>
              <w:left w:w="0" w:type="dxa"/>
              <w:bottom w:w="15" w:type="dxa"/>
              <w:right w:w="0" w:type="dxa"/>
            </w:tcMar>
            <w:vAlign w:val="bottom"/>
            <w:hideMark/>
          </w:tcPr>
          <w:p w14:paraId="2AC2D3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298A4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7A9921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F574CB5" w14:textId="77777777" w:rsidR="00000000" w:rsidRDefault="00527094">
            <w:pPr>
              <w:jc w:val="right"/>
              <w:rPr>
                <w:rFonts w:eastAsia="Times New Roman"/>
                <w:sz w:val="20"/>
                <w:szCs w:val="20"/>
              </w:rPr>
            </w:pPr>
            <w:r>
              <w:rPr>
                <w:rFonts w:eastAsia="Times New Roman"/>
                <w:sz w:val="20"/>
                <w:szCs w:val="20"/>
              </w:rPr>
              <w:t>293,403</w:t>
            </w:r>
          </w:p>
        </w:tc>
        <w:tc>
          <w:tcPr>
            <w:tcW w:w="50" w:type="pct"/>
            <w:shd w:val="clear" w:color="auto" w:fill="FFFFFF"/>
            <w:tcMar>
              <w:top w:w="0" w:type="dxa"/>
              <w:left w:w="0" w:type="dxa"/>
              <w:bottom w:w="15" w:type="dxa"/>
              <w:right w:w="0" w:type="dxa"/>
            </w:tcMar>
            <w:vAlign w:val="bottom"/>
            <w:hideMark/>
          </w:tcPr>
          <w:p w14:paraId="6326A45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7C006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C28B5AE"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0CE9F83" w14:textId="77777777" w:rsidR="00000000" w:rsidRDefault="00527094">
            <w:pPr>
              <w:jc w:val="right"/>
              <w:rPr>
                <w:rFonts w:eastAsia="Times New Roman"/>
                <w:sz w:val="20"/>
                <w:szCs w:val="20"/>
              </w:rPr>
            </w:pPr>
            <w:r>
              <w:rPr>
                <w:rFonts w:eastAsia="Times New Roman"/>
                <w:sz w:val="20"/>
                <w:szCs w:val="20"/>
              </w:rPr>
              <w:t>579,883</w:t>
            </w:r>
          </w:p>
        </w:tc>
        <w:tc>
          <w:tcPr>
            <w:tcW w:w="50" w:type="pct"/>
            <w:shd w:val="clear" w:color="auto" w:fill="FFFFFF"/>
            <w:tcMar>
              <w:top w:w="0" w:type="dxa"/>
              <w:left w:w="0" w:type="dxa"/>
              <w:bottom w:w="15" w:type="dxa"/>
              <w:right w:w="0" w:type="dxa"/>
            </w:tcMar>
            <w:vAlign w:val="bottom"/>
            <w:hideMark/>
          </w:tcPr>
          <w:p w14:paraId="71CA53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F18F4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3130298"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B574CAC" w14:textId="77777777" w:rsidR="00000000" w:rsidRDefault="00527094">
            <w:pPr>
              <w:jc w:val="right"/>
              <w:rPr>
                <w:rFonts w:eastAsia="Times New Roman"/>
                <w:sz w:val="20"/>
                <w:szCs w:val="20"/>
              </w:rPr>
            </w:pPr>
            <w:r>
              <w:rPr>
                <w:rFonts w:eastAsia="Times New Roman"/>
                <w:sz w:val="20"/>
                <w:szCs w:val="20"/>
              </w:rPr>
              <w:t>597,481</w:t>
            </w:r>
          </w:p>
        </w:tc>
        <w:tc>
          <w:tcPr>
            <w:tcW w:w="50" w:type="pct"/>
            <w:shd w:val="clear" w:color="auto" w:fill="FFFFFF"/>
            <w:tcMar>
              <w:top w:w="0" w:type="dxa"/>
              <w:left w:w="0" w:type="dxa"/>
              <w:bottom w:w="15" w:type="dxa"/>
              <w:right w:w="0" w:type="dxa"/>
            </w:tcMar>
            <w:vAlign w:val="bottom"/>
            <w:hideMark/>
          </w:tcPr>
          <w:p w14:paraId="6F2538F3" w14:textId="77777777" w:rsidR="00000000" w:rsidRDefault="00527094">
            <w:pPr>
              <w:rPr>
                <w:rFonts w:eastAsia="Times New Roman"/>
                <w:sz w:val="20"/>
                <w:szCs w:val="20"/>
              </w:rPr>
            </w:pPr>
            <w:r>
              <w:rPr>
                <w:rFonts w:eastAsia="Times New Roman"/>
                <w:sz w:val="20"/>
                <w:szCs w:val="20"/>
              </w:rPr>
              <w:t> </w:t>
            </w:r>
          </w:p>
        </w:tc>
      </w:tr>
      <w:tr w:rsidR="00000000" w14:paraId="466AAA29" w14:textId="77777777">
        <w:trPr>
          <w:divId w:val="1088112578"/>
          <w:tblCellSpacing w:w="0" w:type="dxa"/>
        </w:trPr>
        <w:tc>
          <w:tcPr>
            <w:tcW w:w="0" w:type="auto"/>
            <w:shd w:val="clear" w:color="auto" w:fill="CCEEFF"/>
            <w:vAlign w:val="bottom"/>
            <w:hideMark/>
          </w:tcPr>
          <w:p w14:paraId="5626940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0A07F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E098C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50C78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4693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44C8D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95E2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E092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B241A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8CD89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DF28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2EA89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6B0D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B68A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AB614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BFD5F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0DB53" w14:textId="77777777" w:rsidR="00000000" w:rsidRDefault="00527094">
            <w:pPr>
              <w:rPr>
                <w:rFonts w:eastAsia="Times New Roman"/>
                <w:sz w:val="20"/>
                <w:szCs w:val="20"/>
              </w:rPr>
            </w:pPr>
            <w:r>
              <w:rPr>
                <w:rFonts w:eastAsia="Times New Roman"/>
                <w:sz w:val="20"/>
                <w:szCs w:val="20"/>
              </w:rPr>
              <w:t> </w:t>
            </w:r>
          </w:p>
        </w:tc>
      </w:tr>
      <w:tr w:rsidR="00000000" w14:paraId="3C415548" w14:textId="77777777">
        <w:trPr>
          <w:divId w:val="1088112578"/>
          <w:tblCellSpacing w:w="0" w:type="dxa"/>
        </w:trPr>
        <w:tc>
          <w:tcPr>
            <w:tcW w:w="0" w:type="auto"/>
            <w:shd w:val="clear" w:color="auto" w:fill="FFFFFF"/>
            <w:vAlign w:val="bottom"/>
            <w:hideMark/>
          </w:tcPr>
          <w:p w14:paraId="050ECAC7" w14:textId="77777777" w:rsidR="00000000" w:rsidRDefault="00527094">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2385ECA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419D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EFDA7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C07A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DD788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652F4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4848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ECFA9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5348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BEDF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74648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1ACE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3825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FC550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57502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9C040" w14:textId="77777777" w:rsidR="00000000" w:rsidRDefault="00527094">
            <w:pPr>
              <w:rPr>
                <w:rFonts w:eastAsia="Times New Roman"/>
                <w:sz w:val="20"/>
                <w:szCs w:val="20"/>
              </w:rPr>
            </w:pPr>
            <w:r>
              <w:rPr>
                <w:rFonts w:eastAsia="Times New Roman"/>
                <w:sz w:val="20"/>
                <w:szCs w:val="20"/>
              </w:rPr>
              <w:t> </w:t>
            </w:r>
          </w:p>
        </w:tc>
      </w:tr>
      <w:tr w:rsidR="00000000" w14:paraId="2D0A2B1E" w14:textId="77777777">
        <w:trPr>
          <w:divId w:val="1088112578"/>
          <w:tblCellSpacing w:w="0" w:type="dxa"/>
        </w:trPr>
        <w:tc>
          <w:tcPr>
            <w:tcW w:w="0" w:type="auto"/>
            <w:shd w:val="clear" w:color="auto" w:fill="CCEEFF"/>
            <w:vAlign w:val="bottom"/>
            <w:hideMark/>
          </w:tcPr>
          <w:p w14:paraId="31717290" w14:textId="77777777" w:rsidR="00000000" w:rsidRDefault="00527094">
            <w:pPr>
              <w:pStyle w:val="a3"/>
              <w:spacing w:before="0" w:beforeAutospacing="0" w:after="0" w:afterAutospacing="0"/>
              <w:ind w:left="540" w:hanging="180"/>
              <w:rPr>
                <w:sz w:val="20"/>
                <w:szCs w:val="20"/>
              </w:rPr>
            </w:pPr>
            <w:r>
              <w:rPr>
                <w:sz w:val="20"/>
                <w:szCs w:val="20"/>
              </w:rPr>
              <w:t>Rent</w:t>
            </w:r>
          </w:p>
        </w:tc>
        <w:tc>
          <w:tcPr>
            <w:tcW w:w="50" w:type="pct"/>
            <w:shd w:val="clear" w:color="auto" w:fill="CCEEFF"/>
            <w:vAlign w:val="bottom"/>
            <w:hideMark/>
          </w:tcPr>
          <w:p w14:paraId="6844DC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BD7AF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423FAB3" w14:textId="77777777" w:rsidR="00000000" w:rsidRDefault="00527094">
            <w:pPr>
              <w:jc w:val="right"/>
              <w:rPr>
                <w:rFonts w:eastAsia="Times New Roman"/>
                <w:sz w:val="20"/>
                <w:szCs w:val="20"/>
              </w:rPr>
            </w:pPr>
            <w:r>
              <w:rPr>
                <w:rFonts w:eastAsia="Times New Roman"/>
                <w:sz w:val="20"/>
                <w:szCs w:val="20"/>
              </w:rPr>
              <w:t>(2,924</w:t>
            </w:r>
          </w:p>
        </w:tc>
        <w:tc>
          <w:tcPr>
            <w:tcW w:w="50" w:type="pct"/>
            <w:shd w:val="clear" w:color="auto" w:fill="CCEEFF"/>
            <w:vAlign w:val="bottom"/>
            <w:hideMark/>
          </w:tcPr>
          <w:p w14:paraId="5355871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32D0E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828F2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5BA9C3E" w14:textId="77777777" w:rsidR="00000000" w:rsidRDefault="00527094">
            <w:pPr>
              <w:jc w:val="right"/>
              <w:rPr>
                <w:rFonts w:eastAsia="Times New Roman"/>
                <w:sz w:val="20"/>
                <w:szCs w:val="20"/>
              </w:rPr>
            </w:pPr>
            <w:r>
              <w:rPr>
                <w:rFonts w:eastAsia="Times New Roman"/>
                <w:sz w:val="20"/>
                <w:szCs w:val="20"/>
              </w:rPr>
              <w:t>(2,742</w:t>
            </w:r>
          </w:p>
        </w:tc>
        <w:tc>
          <w:tcPr>
            <w:tcW w:w="50" w:type="pct"/>
            <w:shd w:val="clear" w:color="auto" w:fill="CCEEFF"/>
            <w:vAlign w:val="bottom"/>
            <w:hideMark/>
          </w:tcPr>
          <w:p w14:paraId="0308BE89"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18230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815CE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FD67C28" w14:textId="77777777" w:rsidR="00000000" w:rsidRDefault="00527094">
            <w:pPr>
              <w:jc w:val="right"/>
              <w:rPr>
                <w:rFonts w:eastAsia="Times New Roman"/>
                <w:sz w:val="20"/>
                <w:szCs w:val="20"/>
              </w:rPr>
            </w:pPr>
            <w:r>
              <w:rPr>
                <w:rFonts w:eastAsia="Times New Roman"/>
                <w:sz w:val="20"/>
                <w:szCs w:val="20"/>
              </w:rPr>
              <w:t>(5,616</w:t>
            </w:r>
          </w:p>
        </w:tc>
        <w:tc>
          <w:tcPr>
            <w:tcW w:w="50" w:type="pct"/>
            <w:shd w:val="clear" w:color="auto" w:fill="CCEEFF"/>
            <w:vAlign w:val="bottom"/>
            <w:hideMark/>
          </w:tcPr>
          <w:p w14:paraId="7265DAA0"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488132F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8E38A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E212F19" w14:textId="77777777" w:rsidR="00000000" w:rsidRDefault="00527094">
            <w:pPr>
              <w:jc w:val="right"/>
              <w:rPr>
                <w:rFonts w:eastAsia="Times New Roman"/>
                <w:sz w:val="20"/>
                <w:szCs w:val="20"/>
              </w:rPr>
            </w:pPr>
            <w:r>
              <w:rPr>
                <w:rFonts w:eastAsia="Times New Roman"/>
                <w:sz w:val="20"/>
                <w:szCs w:val="20"/>
              </w:rPr>
              <w:t>(5,560</w:t>
            </w:r>
          </w:p>
        </w:tc>
        <w:tc>
          <w:tcPr>
            <w:tcW w:w="50" w:type="pct"/>
            <w:shd w:val="clear" w:color="auto" w:fill="CCEEFF"/>
            <w:vAlign w:val="bottom"/>
            <w:hideMark/>
          </w:tcPr>
          <w:p w14:paraId="4A189B49" w14:textId="77777777" w:rsidR="00000000" w:rsidRDefault="00527094">
            <w:pPr>
              <w:rPr>
                <w:rFonts w:eastAsia="Times New Roman"/>
                <w:sz w:val="20"/>
                <w:szCs w:val="20"/>
              </w:rPr>
            </w:pPr>
            <w:r>
              <w:rPr>
                <w:rFonts w:eastAsia="Times New Roman"/>
                <w:sz w:val="20"/>
                <w:szCs w:val="20"/>
              </w:rPr>
              <w:t>)</w:t>
            </w:r>
          </w:p>
        </w:tc>
      </w:tr>
      <w:tr w:rsidR="00000000" w14:paraId="1D5DF74E" w14:textId="77777777">
        <w:trPr>
          <w:divId w:val="1088112578"/>
          <w:tblCellSpacing w:w="0" w:type="dxa"/>
        </w:trPr>
        <w:tc>
          <w:tcPr>
            <w:tcW w:w="0" w:type="auto"/>
            <w:shd w:val="clear" w:color="auto" w:fill="FFFFFF"/>
            <w:vAlign w:val="bottom"/>
            <w:hideMark/>
          </w:tcPr>
          <w:p w14:paraId="7A24F171" w14:textId="77777777" w:rsidR="00000000" w:rsidRDefault="00527094">
            <w:pPr>
              <w:pStyle w:val="a3"/>
              <w:spacing w:before="0" w:beforeAutospacing="0" w:after="0" w:afterAutospacing="0"/>
              <w:ind w:left="540" w:hanging="180"/>
              <w:rPr>
                <w:sz w:val="20"/>
                <w:szCs w:val="20"/>
              </w:rPr>
            </w:pPr>
            <w:r>
              <w:rPr>
                <w:sz w:val="20"/>
                <w:szCs w:val="20"/>
              </w:rPr>
              <w:t>Real estate taxes</w:t>
            </w:r>
          </w:p>
        </w:tc>
        <w:tc>
          <w:tcPr>
            <w:tcW w:w="50" w:type="pct"/>
            <w:shd w:val="clear" w:color="auto" w:fill="FFFFFF"/>
            <w:vAlign w:val="bottom"/>
            <w:hideMark/>
          </w:tcPr>
          <w:p w14:paraId="764F6A3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A9DA9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342914" w14:textId="77777777" w:rsidR="00000000" w:rsidRDefault="00527094">
            <w:pPr>
              <w:jc w:val="right"/>
              <w:rPr>
                <w:rFonts w:eastAsia="Times New Roman"/>
                <w:sz w:val="20"/>
                <w:szCs w:val="20"/>
              </w:rPr>
            </w:pPr>
            <w:r>
              <w:rPr>
                <w:rFonts w:eastAsia="Times New Roman"/>
                <w:sz w:val="20"/>
                <w:szCs w:val="20"/>
              </w:rPr>
              <w:t>(37,005</w:t>
            </w:r>
          </w:p>
        </w:tc>
        <w:tc>
          <w:tcPr>
            <w:tcW w:w="50" w:type="pct"/>
            <w:shd w:val="clear" w:color="auto" w:fill="FFFFFF"/>
            <w:vAlign w:val="bottom"/>
            <w:hideMark/>
          </w:tcPr>
          <w:p w14:paraId="7618A3A7"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A4B312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A8BBB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137526B" w14:textId="77777777" w:rsidR="00000000" w:rsidRDefault="00527094">
            <w:pPr>
              <w:jc w:val="right"/>
              <w:rPr>
                <w:rFonts w:eastAsia="Times New Roman"/>
                <w:sz w:val="20"/>
                <w:szCs w:val="20"/>
              </w:rPr>
            </w:pPr>
            <w:r>
              <w:rPr>
                <w:rFonts w:eastAsia="Times New Roman"/>
                <w:sz w:val="20"/>
                <w:szCs w:val="20"/>
              </w:rPr>
              <w:t>(37,274</w:t>
            </w:r>
          </w:p>
        </w:tc>
        <w:tc>
          <w:tcPr>
            <w:tcW w:w="50" w:type="pct"/>
            <w:shd w:val="clear" w:color="auto" w:fill="FFFFFF"/>
            <w:vAlign w:val="bottom"/>
            <w:hideMark/>
          </w:tcPr>
          <w:p w14:paraId="2261D061"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1D83D63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BE69B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EAEBAC" w14:textId="77777777" w:rsidR="00000000" w:rsidRDefault="00527094">
            <w:pPr>
              <w:jc w:val="right"/>
              <w:rPr>
                <w:rFonts w:eastAsia="Times New Roman"/>
                <w:sz w:val="20"/>
                <w:szCs w:val="20"/>
              </w:rPr>
            </w:pPr>
            <w:r>
              <w:rPr>
                <w:rFonts w:eastAsia="Times New Roman"/>
                <w:sz w:val="20"/>
                <w:szCs w:val="20"/>
              </w:rPr>
              <w:t>(76,352</w:t>
            </w:r>
          </w:p>
        </w:tc>
        <w:tc>
          <w:tcPr>
            <w:tcW w:w="50" w:type="pct"/>
            <w:shd w:val="clear" w:color="auto" w:fill="FFFFFF"/>
            <w:vAlign w:val="bottom"/>
            <w:hideMark/>
          </w:tcPr>
          <w:p w14:paraId="535FFCED"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476E8F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D40F8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26509BB" w14:textId="77777777" w:rsidR="00000000" w:rsidRDefault="00527094">
            <w:pPr>
              <w:jc w:val="right"/>
              <w:rPr>
                <w:rFonts w:eastAsia="Times New Roman"/>
                <w:sz w:val="20"/>
                <w:szCs w:val="20"/>
              </w:rPr>
            </w:pPr>
            <w:r>
              <w:rPr>
                <w:rFonts w:eastAsia="Times New Roman"/>
                <w:sz w:val="20"/>
                <w:szCs w:val="20"/>
              </w:rPr>
              <w:t>(77,708</w:t>
            </w:r>
          </w:p>
        </w:tc>
        <w:tc>
          <w:tcPr>
            <w:tcW w:w="50" w:type="pct"/>
            <w:shd w:val="clear" w:color="auto" w:fill="FFFFFF"/>
            <w:vAlign w:val="bottom"/>
            <w:hideMark/>
          </w:tcPr>
          <w:p w14:paraId="59333AA7" w14:textId="77777777" w:rsidR="00000000" w:rsidRDefault="00527094">
            <w:pPr>
              <w:rPr>
                <w:rFonts w:eastAsia="Times New Roman"/>
                <w:sz w:val="20"/>
                <w:szCs w:val="20"/>
              </w:rPr>
            </w:pPr>
            <w:r>
              <w:rPr>
                <w:rFonts w:eastAsia="Times New Roman"/>
                <w:sz w:val="20"/>
                <w:szCs w:val="20"/>
              </w:rPr>
              <w:t>)</w:t>
            </w:r>
          </w:p>
        </w:tc>
      </w:tr>
      <w:tr w:rsidR="00000000" w14:paraId="3C0093E3" w14:textId="77777777">
        <w:trPr>
          <w:divId w:val="1088112578"/>
          <w:tblCellSpacing w:w="0" w:type="dxa"/>
        </w:trPr>
        <w:tc>
          <w:tcPr>
            <w:tcW w:w="0" w:type="auto"/>
            <w:shd w:val="clear" w:color="auto" w:fill="CCEEFF"/>
            <w:vAlign w:val="bottom"/>
            <w:hideMark/>
          </w:tcPr>
          <w:p w14:paraId="38E52E9F" w14:textId="77777777" w:rsidR="00000000" w:rsidRDefault="00527094">
            <w:pPr>
              <w:pStyle w:val="a3"/>
              <w:spacing w:before="0" w:beforeAutospacing="0" w:after="0" w:afterAutospacing="0"/>
              <w:ind w:left="540" w:hanging="180"/>
              <w:rPr>
                <w:sz w:val="20"/>
                <w:szCs w:val="20"/>
              </w:rPr>
            </w:pPr>
            <w:r>
              <w:rPr>
                <w:sz w:val="20"/>
                <w:szCs w:val="20"/>
              </w:rPr>
              <w:t>Operating and maintenance</w:t>
            </w:r>
          </w:p>
        </w:tc>
        <w:tc>
          <w:tcPr>
            <w:tcW w:w="50" w:type="pct"/>
            <w:shd w:val="clear" w:color="auto" w:fill="CCEEFF"/>
            <w:vAlign w:val="bottom"/>
            <w:hideMark/>
          </w:tcPr>
          <w:p w14:paraId="4B3A67F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B2951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0F7072" w14:textId="77777777" w:rsidR="00000000" w:rsidRDefault="00527094">
            <w:pPr>
              <w:jc w:val="right"/>
              <w:rPr>
                <w:rFonts w:eastAsia="Times New Roman"/>
                <w:sz w:val="20"/>
                <w:szCs w:val="20"/>
              </w:rPr>
            </w:pPr>
            <w:r>
              <w:rPr>
                <w:rFonts w:eastAsia="Times New Roman"/>
                <w:sz w:val="20"/>
                <w:szCs w:val="20"/>
              </w:rPr>
              <w:t>(43,217</w:t>
            </w:r>
          </w:p>
        </w:tc>
        <w:tc>
          <w:tcPr>
            <w:tcW w:w="50" w:type="pct"/>
            <w:shd w:val="clear" w:color="auto" w:fill="CCEEFF"/>
            <w:vAlign w:val="bottom"/>
            <w:hideMark/>
          </w:tcPr>
          <w:p w14:paraId="7B59A95D"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9C360D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666B3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F2C4B1D" w14:textId="77777777" w:rsidR="00000000" w:rsidRDefault="00527094">
            <w:pPr>
              <w:jc w:val="right"/>
              <w:rPr>
                <w:rFonts w:eastAsia="Times New Roman"/>
                <w:sz w:val="20"/>
                <w:szCs w:val="20"/>
              </w:rPr>
            </w:pPr>
            <w:r>
              <w:rPr>
                <w:rFonts w:eastAsia="Times New Roman"/>
                <w:sz w:val="20"/>
                <w:szCs w:val="20"/>
              </w:rPr>
              <w:t>(41,325</w:t>
            </w:r>
          </w:p>
        </w:tc>
        <w:tc>
          <w:tcPr>
            <w:tcW w:w="50" w:type="pct"/>
            <w:shd w:val="clear" w:color="auto" w:fill="CCEEFF"/>
            <w:vAlign w:val="bottom"/>
            <w:hideMark/>
          </w:tcPr>
          <w:p w14:paraId="714A7677"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0AFB8C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4F91F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79F8002" w14:textId="77777777" w:rsidR="00000000" w:rsidRDefault="00527094">
            <w:pPr>
              <w:jc w:val="right"/>
              <w:rPr>
                <w:rFonts w:eastAsia="Times New Roman"/>
                <w:sz w:val="20"/>
                <w:szCs w:val="20"/>
              </w:rPr>
            </w:pPr>
            <w:r>
              <w:rPr>
                <w:rFonts w:eastAsia="Times New Roman"/>
                <w:sz w:val="20"/>
                <w:szCs w:val="20"/>
              </w:rPr>
              <w:t>(84,113</w:t>
            </w:r>
          </w:p>
        </w:tc>
        <w:tc>
          <w:tcPr>
            <w:tcW w:w="50" w:type="pct"/>
            <w:shd w:val="clear" w:color="auto" w:fill="CCEEFF"/>
            <w:vAlign w:val="bottom"/>
            <w:hideMark/>
          </w:tcPr>
          <w:p w14:paraId="0CFE86F3"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B8BDF4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025F0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6052CA5" w14:textId="77777777" w:rsidR="00000000" w:rsidRDefault="00527094">
            <w:pPr>
              <w:jc w:val="right"/>
              <w:rPr>
                <w:rFonts w:eastAsia="Times New Roman"/>
                <w:sz w:val="20"/>
                <w:szCs w:val="20"/>
              </w:rPr>
            </w:pPr>
            <w:r>
              <w:rPr>
                <w:rFonts w:eastAsia="Times New Roman"/>
                <w:sz w:val="20"/>
                <w:szCs w:val="20"/>
              </w:rPr>
              <w:t>(84,656</w:t>
            </w:r>
          </w:p>
        </w:tc>
        <w:tc>
          <w:tcPr>
            <w:tcW w:w="50" w:type="pct"/>
            <w:shd w:val="clear" w:color="auto" w:fill="CCEEFF"/>
            <w:vAlign w:val="bottom"/>
            <w:hideMark/>
          </w:tcPr>
          <w:p w14:paraId="1F8E9541" w14:textId="77777777" w:rsidR="00000000" w:rsidRDefault="00527094">
            <w:pPr>
              <w:rPr>
                <w:rFonts w:eastAsia="Times New Roman"/>
                <w:sz w:val="20"/>
                <w:szCs w:val="20"/>
              </w:rPr>
            </w:pPr>
            <w:r>
              <w:rPr>
                <w:rFonts w:eastAsia="Times New Roman"/>
                <w:sz w:val="20"/>
                <w:szCs w:val="20"/>
              </w:rPr>
              <w:t>)</w:t>
            </w:r>
          </w:p>
        </w:tc>
      </w:tr>
      <w:tr w:rsidR="00000000" w14:paraId="252C8A44" w14:textId="77777777">
        <w:trPr>
          <w:divId w:val="1088112578"/>
          <w:tblCellSpacing w:w="0" w:type="dxa"/>
        </w:trPr>
        <w:tc>
          <w:tcPr>
            <w:tcW w:w="0" w:type="auto"/>
            <w:shd w:val="clear" w:color="auto" w:fill="FFFFFF"/>
            <w:vAlign w:val="bottom"/>
            <w:hideMark/>
          </w:tcPr>
          <w:p w14:paraId="7D364AEC" w14:textId="77777777" w:rsidR="00000000" w:rsidRDefault="00527094">
            <w:pPr>
              <w:pStyle w:val="a3"/>
              <w:spacing w:before="0" w:beforeAutospacing="0" w:after="0" w:afterAutospacing="0"/>
              <w:ind w:left="540" w:hanging="180"/>
              <w:rPr>
                <w:sz w:val="20"/>
                <w:szCs w:val="20"/>
              </w:rPr>
            </w:pPr>
            <w:r>
              <w:rPr>
                <w:sz w:val="20"/>
                <w:szCs w:val="20"/>
              </w:rPr>
              <w:t>General and administrative</w:t>
            </w:r>
          </w:p>
        </w:tc>
        <w:tc>
          <w:tcPr>
            <w:tcW w:w="50" w:type="pct"/>
            <w:shd w:val="clear" w:color="auto" w:fill="FFFFFF"/>
            <w:vAlign w:val="bottom"/>
            <w:hideMark/>
          </w:tcPr>
          <w:p w14:paraId="26E529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6E92F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D09E533" w14:textId="77777777" w:rsidR="00000000" w:rsidRDefault="00527094">
            <w:pPr>
              <w:jc w:val="right"/>
              <w:rPr>
                <w:rFonts w:eastAsia="Times New Roman"/>
                <w:sz w:val="20"/>
                <w:szCs w:val="20"/>
              </w:rPr>
            </w:pPr>
            <w:r>
              <w:rPr>
                <w:rFonts w:eastAsia="Times New Roman"/>
                <w:sz w:val="20"/>
                <w:szCs w:val="20"/>
              </w:rPr>
              <w:t>(22,633</w:t>
            </w:r>
          </w:p>
        </w:tc>
        <w:tc>
          <w:tcPr>
            <w:tcW w:w="50" w:type="pct"/>
            <w:shd w:val="clear" w:color="auto" w:fill="FFFFFF"/>
            <w:vAlign w:val="bottom"/>
            <w:hideMark/>
          </w:tcPr>
          <w:p w14:paraId="2FAAC7F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5C550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AD2FB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80B44D6" w14:textId="77777777" w:rsidR="00000000" w:rsidRDefault="00527094">
            <w:pPr>
              <w:jc w:val="right"/>
              <w:rPr>
                <w:rFonts w:eastAsia="Times New Roman"/>
                <w:sz w:val="20"/>
                <w:szCs w:val="20"/>
              </w:rPr>
            </w:pPr>
            <w:r>
              <w:rPr>
                <w:rFonts w:eastAsia="Times New Roman"/>
                <w:sz w:val="20"/>
                <w:szCs w:val="20"/>
              </w:rPr>
              <w:t>(24,029</w:t>
            </w:r>
          </w:p>
        </w:tc>
        <w:tc>
          <w:tcPr>
            <w:tcW w:w="50" w:type="pct"/>
            <w:shd w:val="clear" w:color="auto" w:fill="FFFFFF"/>
            <w:vAlign w:val="bottom"/>
            <w:hideMark/>
          </w:tcPr>
          <w:p w14:paraId="235C8DAD"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0B3E7B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CCFDF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338E10C" w14:textId="77777777" w:rsidR="00000000" w:rsidRDefault="00527094">
            <w:pPr>
              <w:jc w:val="right"/>
              <w:rPr>
                <w:rFonts w:eastAsia="Times New Roman"/>
                <w:sz w:val="20"/>
                <w:szCs w:val="20"/>
              </w:rPr>
            </w:pPr>
            <w:r>
              <w:rPr>
                <w:rFonts w:eastAsia="Times New Roman"/>
                <w:sz w:val="20"/>
                <w:szCs w:val="20"/>
              </w:rPr>
              <w:t>(48,464</w:t>
            </w:r>
          </w:p>
        </w:tc>
        <w:tc>
          <w:tcPr>
            <w:tcW w:w="50" w:type="pct"/>
            <w:shd w:val="clear" w:color="auto" w:fill="FFFFFF"/>
            <w:vAlign w:val="bottom"/>
            <w:hideMark/>
          </w:tcPr>
          <w:p w14:paraId="481E7927"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41AB2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49151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BB1847" w14:textId="77777777" w:rsidR="00000000" w:rsidRDefault="00527094">
            <w:pPr>
              <w:jc w:val="right"/>
              <w:rPr>
                <w:rFonts w:eastAsia="Times New Roman"/>
                <w:sz w:val="20"/>
                <w:szCs w:val="20"/>
              </w:rPr>
            </w:pPr>
            <w:r>
              <w:rPr>
                <w:rFonts w:eastAsia="Times New Roman"/>
                <w:sz w:val="20"/>
                <w:szCs w:val="20"/>
              </w:rPr>
              <w:t>(46,427</w:t>
            </w:r>
          </w:p>
        </w:tc>
        <w:tc>
          <w:tcPr>
            <w:tcW w:w="50" w:type="pct"/>
            <w:shd w:val="clear" w:color="auto" w:fill="FFFFFF"/>
            <w:vAlign w:val="bottom"/>
            <w:hideMark/>
          </w:tcPr>
          <w:p w14:paraId="119F3E7A" w14:textId="77777777" w:rsidR="00000000" w:rsidRDefault="00527094">
            <w:pPr>
              <w:rPr>
                <w:rFonts w:eastAsia="Times New Roman"/>
                <w:sz w:val="20"/>
                <w:szCs w:val="20"/>
              </w:rPr>
            </w:pPr>
            <w:r>
              <w:rPr>
                <w:rFonts w:eastAsia="Times New Roman"/>
                <w:sz w:val="20"/>
                <w:szCs w:val="20"/>
              </w:rPr>
              <w:t>)</w:t>
            </w:r>
          </w:p>
        </w:tc>
      </w:tr>
      <w:tr w:rsidR="00000000" w14:paraId="2078C751" w14:textId="77777777">
        <w:trPr>
          <w:divId w:val="1088112578"/>
          <w:tblCellSpacing w:w="0" w:type="dxa"/>
        </w:trPr>
        <w:tc>
          <w:tcPr>
            <w:tcW w:w="0" w:type="auto"/>
            <w:shd w:val="clear" w:color="auto" w:fill="CCEEFF"/>
            <w:vAlign w:val="bottom"/>
            <w:hideMark/>
          </w:tcPr>
          <w:p w14:paraId="38C1122B" w14:textId="77777777" w:rsidR="00000000" w:rsidRDefault="00527094">
            <w:pPr>
              <w:pStyle w:val="a3"/>
              <w:spacing w:before="0" w:beforeAutospacing="0" w:after="0" w:afterAutospacing="0"/>
              <w:ind w:left="540" w:hanging="180"/>
              <w:rPr>
                <w:sz w:val="20"/>
                <w:szCs w:val="20"/>
              </w:rPr>
            </w:pPr>
            <w:r>
              <w:rPr>
                <w:sz w:val="20"/>
                <w:szCs w:val="20"/>
              </w:rPr>
              <w:t>Provision for doubtful accounts</w:t>
            </w:r>
          </w:p>
        </w:tc>
        <w:tc>
          <w:tcPr>
            <w:tcW w:w="50" w:type="pct"/>
            <w:shd w:val="clear" w:color="auto" w:fill="CCEEFF"/>
            <w:vAlign w:val="bottom"/>
            <w:hideMark/>
          </w:tcPr>
          <w:p w14:paraId="61E2CFB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468B7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E626AF2"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0AD774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C6469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901B9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17FB49D" w14:textId="77777777" w:rsidR="00000000" w:rsidRDefault="00527094">
            <w:pPr>
              <w:jc w:val="right"/>
              <w:rPr>
                <w:rFonts w:eastAsia="Times New Roman"/>
                <w:sz w:val="20"/>
                <w:szCs w:val="20"/>
              </w:rPr>
            </w:pPr>
            <w:r>
              <w:rPr>
                <w:rFonts w:eastAsia="Times New Roman"/>
                <w:sz w:val="20"/>
                <w:szCs w:val="20"/>
              </w:rPr>
              <w:t>(1,051</w:t>
            </w:r>
          </w:p>
        </w:tc>
        <w:tc>
          <w:tcPr>
            <w:tcW w:w="50" w:type="pct"/>
            <w:shd w:val="clear" w:color="auto" w:fill="CCEEFF"/>
            <w:vAlign w:val="bottom"/>
            <w:hideMark/>
          </w:tcPr>
          <w:p w14:paraId="4B40EACA"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47C15B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58AD4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FFD0478"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8A12A9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EAAE4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2CBD1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E5E4F3B" w14:textId="77777777" w:rsidR="00000000" w:rsidRDefault="00527094">
            <w:pPr>
              <w:jc w:val="right"/>
              <w:rPr>
                <w:rFonts w:eastAsia="Times New Roman"/>
                <w:sz w:val="20"/>
                <w:szCs w:val="20"/>
              </w:rPr>
            </w:pPr>
            <w:r>
              <w:rPr>
                <w:rFonts w:eastAsia="Times New Roman"/>
                <w:sz w:val="20"/>
                <w:szCs w:val="20"/>
              </w:rPr>
              <w:t>(3,182</w:t>
            </w:r>
          </w:p>
        </w:tc>
        <w:tc>
          <w:tcPr>
            <w:tcW w:w="50" w:type="pct"/>
            <w:shd w:val="clear" w:color="auto" w:fill="CCEEFF"/>
            <w:vAlign w:val="bottom"/>
            <w:hideMark/>
          </w:tcPr>
          <w:p w14:paraId="73124F4A" w14:textId="77777777" w:rsidR="00000000" w:rsidRDefault="00527094">
            <w:pPr>
              <w:rPr>
                <w:rFonts w:eastAsia="Times New Roman"/>
                <w:sz w:val="20"/>
                <w:szCs w:val="20"/>
              </w:rPr>
            </w:pPr>
            <w:r>
              <w:rPr>
                <w:rFonts w:eastAsia="Times New Roman"/>
                <w:sz w:val="20"/>
                <w:szCs w:val="20"/>
              </w:rPr>
              <w:t>)</w:t>
            </w:r>
          </w:p>
        </w:tc>
      </w:tr>
      <w:tr w:rsidR="00000000" w14:paraId="3A66BBE5" w14:textId="77777777">
        <w:trPr>
          <w:divId w:val="1088112578"/>
          <w:tblCellSpacing w:w="0" w:type="dxa"/>
        </w:trPr>
        <w:tc>
          <w:tcPr>
            <w:tcW w:w="0" w:type="auto"/>
            <w:shd w:val="clear" w:color="auto" w:fill="FFFFFF"/>
            <w:vAlign w:val="bottom"/>
            <w:hideMark/>
          </w:tcPr>
          <w:p w14:paraId="54832499" w14:textId="77777777" w:rsidR="00000000" w:rsidRDefault="00527094">
            <w:pPr>
              <w:pStyle w:val="a3"/>
              <w:spacing w:before="0" w:beforeAutospacing="0" w:after="0" w:afterAutospacing="0"/>
              <w:ind w:left="540" w:hanging="180"/>
              <w:rPr>
                <w:sz w:val="20"/>
                <w:szCs w:val="20"/>
              </w:rPr>
            </w:pPr>
            <w:r>
              <w:rPr>
                <w:sz w:val="20"/>
                <w:szCs w:val="20"/>
              </w:rPr>
              <w:t>Impairment charges</w:t>
            </w:r>
          </w:p>
        </w:tc>
        <w:tc>
          <w:tcPr>
            <w:tcW w:w="50" w:type="pct"/>
            <w:shd w:val="clear" w:color="auto" w:fill="FFFFFF"/>
            <w:vAlign w:val="bottom"/>
            <w:hideMark/>
          </w:tcPr>
          <w:p w14:paraId="461FE7E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119A4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B59A46A" w14:textId="77777777" w:rsidR="00000000" w:rsidRDefault="00527094">
            <w:pPr>
              <w:jc w:val="right"/>
              <w:rPr>
                <w:rFonts w:eastAsia="Times New Roman"/>
                <w:sz w:val="20"/>
                <w:szCs w:val="20"/>
              </w:rPr>
            </w:pPr>
            <w:r>
              <w:rPr>
                <w:rFonts w:eastAsia="Times New Roman"/>
                <w:sz w:val="20"/>
                <w:szCs w:val="20"/>
              </w:rPr>
              <w:t>(17,451</w:t>
            </w:r>
          </w:p>
        </w:tc>
        <w:tc>
          <w:tcPr>
            <w:tcW w:w="50" w:type="pct"/>
            <w:shd w:val="clear" w:color="auto" w:fill="FFFFFF"/>
            <w:vAlign w:val="bottom"/>
            <w:hideMark/>
          </w:tcPr>
          <w:p w14:paraId="29053693"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80B647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1B0D5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0DC8F96" w14:textId="77777777" w:rsidR="00000000" w:rsidRDefault="00527094">
            <w:pPr>
              <w:jc w:val="right"/>
              <w:rPr>
                <w:rFonts w:eastAsia="Times New Roman"/>
                <w:sz w:val="20"/>
                <w:szCs w:val="20"/>
              </w:rPr>
            </w:pPr>
            <w:r>
              <w:rPr>
                <w:rFonts w:eastAsia="Times New Roman"/>
                <w:sz w:val="20"/>
                <w:szCs w:val="20"/>
              </w:rPr>
              <w:t>(22,873</w:t>
            </w:r>
          </w:p>
        </w:tc>
        <w:tc>
          <w:tcPr>
            <w:tcW w:w="50" w:type="pct"/>
            <w:shd w:val="clear" w:color="auto" w:fill="FFFFFF"/>
            <w:vAlign w:val="bottom"/>
            <w:hideMark/>
          </w:tcPr>
          <w:p w14:paraId="687D4F6C"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A5CCB9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FAFBC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B9ADE28" w14:textId="77777777" w:rsidR="00000000" w:rsidRDefault="00527094">
            <w:pPr>
              <w:jc w:val="right"/>
              <w:rPr>
                <w:rFonts w:eastAsia="Times New Roman"/>
                <w:sz w:val="20"/>
                <w:szCs w:val="20"/>
              </w:rPr>
            </w:pPr>
            <w:r>
              <w:rPr>
                <w:rFonts w:eastAsia="Times New Roman"/>
                <w:sz w:val="20"/>
                <w:szCs w:val="20"/>
              </w:rPr>
              <w:t>(21,626</w:t>
            </w:r>
          </w:p>
        </w:tc>
        <w:tc>
          <w:tcPr>
            <w:tcW w:w="50" w:type="pct"/>
            <w:shd w:val="clear" w:color="auto" w:fill="FFFFFF"/>
            <w:vAlign w:val="bottom"/>
            <w:hideMark/>
          </w:tcPr>
          <w:p w14:paraId="2F4999F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5A3A4A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F1001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59D9FF6" w14:textId="77777777" w:rsidR="00000000" w:rsidRDefault="00527094">
            <w:pPr>
              <w:jc w:val="right"/>
              <w:rPr>
                <w:rFonts w:eastAsia="Times New Roman"/>
                <w:sz w:val="20"/>
                <w:szCs w:val="20"/>
              </w:rPr>
            </w:pPr>
            <w:r>
              <w:rPr>
                <w:rFonts w:eastAsia="Times New Roman"/>
                <w:sz w:val="20"/>
                <w:szCs w:val="20"/>
              </w:rPr>
              <w:t>(30,519</w:t>
            </w:r>
          </w:p>
        </w:tc>
        <w:tc>
          <w:tcPr>
            <w:tcW w:w="50" w:type="pct"/>
            <w:shd w:val="clear" w:color="auto" w:fill="FFFFFF"/>
            <w:vAlign w:val="bottom"/>
            <w:hideMark/>
          </w:tcPr>
          <w:p w14:paraId="3B0E9B40" w14:textId="77777777" w:rsidR="00000000" w:rsidRDefault="00527094">
            <w:pPr>
              <w:rPr>
                <w:rFonts w:eastAsia="Times New Roman"/>
                <w:sz w:val="20"/>
                <w:szCs w:val="20"/>
              </w:rPr>
            </w:pPr>
            <w:r>
              <w:rPr>
                <w:rFonts w:eastAsia="Times New Roman"/>
                <w:sz w:val="20"/>
                <w:szCs w:val="20"/>
              </w:rPr>
              <w:t>)</w:t>
            </w:r>
          </w:p>
        </w:tc>
      </w:tr>
      <w:tr w:rsidR="00000000" w14:paraId="0768C862" w14:textId="77777777">
        <w:trPr>
          <w:divId w:val="1088112578"/>
          <w:tblCellSpacing w:w="0" w:type="dxa"/>
        </w:trPr>
        <w:tc>
          <w:tcPr>
            <w:tcW w:w="0" w:type="auto"/>
            <w:shd w:val="clear" w:color="auto" w:fill="CCEEFF"/>
            <w:vAlign w:val="bottom"/>
            <w:hideMark/>
          </w:tcPr>
          <w:p w14:paraId="12430B46" w14:textId="77777777" w:rsidR="00000000" w:rsidRDefault="00527094">
            <w:pPr>
              <w:pStyle w:val="a3"/>
              <w:spacing w:before="0" w:beforeAutospacing="0" w:after="0" w:afterAutospacing="0"/>
              <w:ind w:left="540" w:hanging="180"/>
              <w:rPr>
                <w:sz w:val="20"/>
                <w:szCs w:val="20"/>
              </w:rPr>
            </w:pPr>
            <w:r>
              <w:rPr>
                <w:sz w:val="20"/>
                <w:szCs w:val="20"/>
              </w:rPr>
              <w:lastRenderedPageBreak/>
              <w:t>Depreciation and amortization</w:t>
            </w:r>
          </w:p>
        </w:tc>
        <w:tc>
          <w:tcPr>
            <w:tcW w:w="50" w:type="pct"/>
            <w:shd w:val="clear" w:color="auto" w:fill="CCEEFF"/>
            <w:vAlign w:val="bottom"/>
            <w:hideMark/>
          </w:tcPr>
          <w:p w14:paraId="3114300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E8468B1"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8B145CF" w14:textId="77777777" w:rsidR="00000000" w:rsidRDefault="00527094">
            <w:pPr>
              <w:jc w:val="right"/>
              <w:rPr>
                <w:rFonts w:eastAsia="Times New Roman"/>
                <w:sz w:val="20"/>
                <w:szCs w:val="20"/>
              </w:rPr>
            </w:pPr>
            <w:r>
              <w:rPr>
                <w:rFonts w:eastAsia="Times New Roman"/>
                <w:sz w:val="20"/>
                <w:szCs w:val="20"/>
              </w:rPr>
              <w:t>(69,005</w:t>
            </w:r>
          </w:p>
        </w:tc>
        <w:tc>
          <w:tcPr>
            <w:tcW w:w="50" w:type="pct"/>
            <w:shd w:val="clear" w:color="auto" w:fill="CCEEFF"/>
            <w:tcMar>
              <w:top w:w="0" w:type="dxa"/>
              <w:left w:w="0" w:type="dxa"/>
              <w:bottom w:w="15" w:type="dxa"/>
              <w:right w:w="0" w:type="dxa"/>
            </w:tcMar>
            <w:vAlign w:val="bottom"/>
            <w:hideMark/>
          </w:tcPr>
          <w:p w14:paraId="73D00B9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F5A51B7"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6FD9EA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ABBC628" w14:textId="77777777" w:rsidR="00000000" w:rsidRDefault="00527094">
            <w:pPr>
              <w:jc w:val="right"/>
              <w:rPr>
                <w:rFonts w:eastAsia="Times New Roman"/>
                <w:sz w:val="20"/>
                <w:szCs w:val="20"/>
              </w:rPr>
            </w:pPr>
            <w:r>
              <w:rPr>
                <w:rFonts w:eastAsia="Times New Roman"/>
                <w:sz w:val="20"/>
                <w:szCs w:val="20"/>
              </w:rPr>
              <w:t>(79,760</w:t>
            </w:r>
          </w:p>
        </w:tc>
        <w:tc>
          <w:tcPr>
            <w:tcW w:w="50" w:type="pct"/>
            <w:shd w:val="clear" w:color="auto" w:fill="CCEEFF"/>
            <w:tcMar>
              <w:top w:w="0" w:type="dxa"/>
              <w:left w:w="0" w:type="dxa"/>
              <w:bottom w:w="15" w:type="dxa"/>
              <w:right w:w="0" w:type="dxa"/>
            </w:tcMar>
            <w:vAlign w:val="bottom"/>
            <w:hideMark/>
          </w:tcPr>
          <w:p w14:paraId="30ADB86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389543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67180CE"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B670DBE" w14:textId="77777777" w:rsidR="00000000" w:rsidRDefault="00527094">
            <w:pPr>
              <w:jc w:val="right"/>
              <w:rPr>
                <w:rFonts w:eastAsia="Times New Roman"/>
                <w:sz w:val="20"/>
                <w:szCs w:val="20"/>
              </w:rPr>
            </w:pPr>
            <w:r>
              <w:rPr>
                <w:rFonts w:eastAsia="Times New Roman"/>
                <w:sz w:val="20"/>
                <w:szCs w:val="20"/>
              </w:rPr>
              <w:t>(140,566</w:t>
            </w:r>
          </w:p>
        </w:tc>
        <w:tc>
          <w:tcPr>
            <w:tcW w:w="50" w:type="pct"/>
            <w:shd w:val="clear" w:color="auto" w:fill="CCEEFF"/>
            <w:tcMar>
              <w:top w:w="0" w:type="dxa"/>
              <w:left w:w="0" w:type="dxa"/>
              <w:bottom w:w="15" w:type="dxa"/>
              <w:right w:w="0" w:type="dxa"/>
            </w:tcMar>
            <w:vAlign w:val="bottom"/>
            <w:hideMark/>
          </w:tcPr>
          <w:p w14:paraId="5B87009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52FC25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43FFACB"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5852080" w14:textId="77777777" w:rsidR="00000000" w:rsidRDefault="00527094">
            <w:pPr>
              <w:jc w:val="right"/>
              <w:rPr>
                <w:rFonts w:eastAsia="Times New Roman"/>
                <w:sz w:val="20"/>
                <w:szCs w:val="20"/>
              </w:rPr>
            </w:pPr>
            <w:r>
              <w:rPr>
                <w:rFonts w:eastAsia="Times New Roman"/>
                <w:sz w:val="20"/>
                <w:szCs w:val="20"/>
              </w:rPr>
              <w:t>(161,142</w:t>
            </w:r>
          </w:p>
        </w:tc>
        <w:tc>
          <w:tcPr>
            <w:tcW w:w="50" w:type="pct"/>
            <w:shd w:val="clear" w:color="auto" w:fill="CCEEFF"/>
            <w:tcMar>
              <w:top w:w="0" w:type="dxa"/>
              <w:left w:w="0" w:type="dxa"/>
              <w:bottom w:w="15" w:type="dxa"/>
              <w:right w:w="0" w:type="dxa"/>
            </w:tcMar>
            <w:vAlign w:val="bottom"/>
            <w:hideMark/>
          </w:tcPr>
          <w:p w14:paraId="6F3CB7EC" w14:textId="77777777" w:rsidR="00000000" w:rsidRDefault="00527094">
            <w:pPr>
              <w:rPr>
                <w:rFonts w:eastAsia="Times New Roman"/>
                <w:sz w:val="20"/>
                <w:szCs w:val="20"/>
              </w:rPr>
            </w:pPr>
            <w:r>
              <w:rPr>
                <w:rFonts w:eastAsia="Times New Roman"/>
                <w:sz w:val="20"/>
                <w:szCs w:val="20"/>
              </w:rPr>
              <w:t>)</w:t>
            </w:r>
          </w:p>
        </w:tc>
      </w:tr>
      <w:tr w:rsidR="00000000" w14:paraId="53E2356C" w14:textId="77777777">
        <w:trPr>
          <w:divId w:val="1088112578"/>
          <w:tblCellSpacing w:w="0" w:type="dxa"/>
        </w:trPr>
        <w:tc>
          <w:tcPr>
            <w:tcW w:w="0" w:type="auto"/>
            <w:shd w:val="clear" w:color="auto" w:fill="FFFFFF"/>
            <w:vAlign w:val="bottom"/>
            <w:hideMark/>
          </w:tcPr>
          <w:p w14:paraId="59DBFD97" w14:textId="77777777" w:rsidR="00000000" w:rsidRDefault="00527094">
            <w:pPr>
              <w:pStyle w:val="a3"/>
              <w:spacing w:before="0" w:beforeAutospacing="0" w:after="0" w:afterAutospacing="0"/>
              <w:ind w:left="900" w:hanging="180"/>
              <w:rPr>
                <w:sz w:val="20"/>
                <w:szCs w:val="20"/>
              </w:rPr>
            </w:pPr>
            <w:r>
              <w:rPr>
                <w:sz w:val="20"/>
                <w:szCs w:val="20"/>
              </w:rPr>
              <w:t>Total operating expenses</w:t>
            </w:r>
          </w:p>
        </w:tc>
        <w:tc>
          <w:tcPr>
            <w:tcW w:w="50" w:type="pct"/>
            <w:shd w:val="clear" w:color="auto" w:fill="FFFFFF"/>
            <w:vAlign w:val="bottom"/>
            <w:hideMark/>
          </w:tcPr>
          <w:p w14:paraId="679C6737"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6308F41"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FF4AE7E" w14:textId="77777777" w:rsidR="00000000" w:rsidRDefault="00527094">
            <w:pPr>
              <w:jc w:val="right"/>
              <w:rPr>
                <w:rFonts w:eastAsia="Times New Roman"/>
                <w:sz w:val="20"/>
                <w:szCs w:val="20"/>
              </w:rPr>
            </w:pPr>
            <w:r>
              <w:rPr>
                <w:rFonts w:eastAsia="Times New Roman"/>
                <w:sz w:val="20"/>
                <w:szCs w:val="20"/>
              </w:rPr>
              <w:t>(192,235</w:t>
            </w:r>
          </w:p>
        </w:tc>
        <w:tc>
          <w:tcPr>
            <w:tcW w:w="50" w:type="pct"/>
            <w:shd w:val="clear" w:color="auto" w:fill="FFFFFF"/>
            <w:tcMar>
              <w:top w:w="0" w:type="dxa"/>
              <w:left w:w="0" w:type="dxa"/>
              <w:bottom w:w="15" w:type="dxa"/>
              <w:right w:w="0" w:type="dxa"/>
            </w:tcMar>
            <w:vAlign w:val="bottom"/>
            <w:hideMark/>
          </w:tcPr>
          <w:p w14:paraId="28D6F79C"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9E5DB5C"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21D4165"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762ABE4" w14:textId="77777777" w:rsidR="00000000" w:rsidRDefault="00527094">
            <w:pPr>
              <w:jc w:val="right"/>
              <w:rPr>
                <w:rFonts w:eastAsia="Times New Roman"/>
                <w:sz w:val="20"/>
                <w:szCs w:val="20"/>
              </w:rPr>
            </w:pPr>
            <w:r>
              <w:rPr>
                <w:rFonts w:eastAsia="Times New Roman"/>
                <w:sz w:val="20"/>
                <w:szCs w:val="20"/>
              </w:rPr>
              <w:t>(209,054</w:t>
            </w:r>
          </w:p>
        </w:tc>
        <w:tc>
          <w:tcPr>
            <w:tcW w:w="50" w:type="pct"/>
            <w:shd w:val="clear" w:color="auto" w:fill="FFFFFF"/>
            <w:tcMar>
              <w:top w:w="0" w:type="dxa"/>
              <w:left w:w="0" w:type="dxa"/>
              <w:bottom w:w="15" w:type="dxa"/>
              <w:right w:w="0" w:type="dxa"/>
            </w:tcMar>
            <w:vAlign w:val="bottom"/>
            <w:hideMark/>
          </w:tcPr>
          <w:p w14:paraId="3F690865"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B73D7D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62D3CEF"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0877C21" w14:textId="77777777" w:rsidR="00000000" w:rsidRDefault="00527094">
            <w:pPr>
              <w:jc w:val="right"/>
              <w:rPr>
                <w:rFonts w:eastAsia="Times New Roman"/>
                <w:sz w:val="20"/>
                <w:szCs w:val="20"/>
              </w:rPr>
            </w:pPr>
            <w:r>
              <w:rPr>
                <w:rFonts w:eastAsia="Times New Roman"/>
                <w:sz w:val="20"/>
                <w:szCs w:val="20"/>
              </w:rPr>
              <w:t>(376,737</w:t>
            </w:r>
          </w:p>
        </w:tc>
        <w:tc>
          <w:tcPr>
            <w:tcW w:w="50" w:type="pct"/>
            <w:shd w:val="clear" w:color="auto" w:fill="FFFFFF"/>
            <w:tcMar>
              <w:top w:w="0" w:type="dxa"/>
              <w:left w:w="0" w:type="dxa"/>
              <w:bottom w:w="15" w:type="dxa"/>
              <w:right w:w="0" w:type="dxa"/>
            </w:tcMar>
            <w:vAlign w:val="bottom"/>
            <w:hideMark/>
          </w:tcPr>
          <w:p w14:paraId="18B1FFFE"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7FB66C7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46B1B99"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C0E6976" w14:textId="77777777" w:rsidR="00000000" w:rsidRDefault="00527094">
            <w:pPr>
              <w:jc w:val="right"/>
              <w:rPr>
                <w:rFonts w:eastAsia="Times New Roman"/>
                <w:sz w:val="20"/>
                <w:szCs w:val="20"/>
              </w:rPr>
            </w:pPr>
            <w:r>
              <w:rPr>
                <w:rFonts w:eastAsia="Times New Roman"/>
                <w:sz w:val="20"/>
                <w:szCs w:val="20"/>
              </w:rPr>
              <w:t>(409,194</w:t>
            </w:r>
          </w:p>
        </w:tc>
        <w:tc>
          <w:tcPr>
            <w:tcW w:w="50" w:type="pct"/>
            <w:shd w:val="clear" w:color="auto" w:fill="FFFFFF"/>
            <w:tcMar>
              <w:top w:w="0" w:type="dxa"/>
              <w:left w:w="0" w:type="dxa"/>
              <w:bottom w:w="15" w:type="dxa"/>
              <w:right w:w="0" w:type="dxa"/>
            </w:tcMar>
            <w:vAlign w:val="bottom"/>
            <w:hideMark/>
          </w:tcPr>
          <w:p w14:paraId="7FF0CC80" w14:textId="77777777" w:rsidR="00000000" w:rsidRDefault="00527094">
            <w:pPr>
              <w:rPr>
                <w:rFonts w:eastAsia="Times New Roman"/>
                <w:sz w:val="20"/>
                <w:szCs w:val="20"/>
              </w:rPr>
            </w:pPr>
            <w:r>
              <w:rPr>
                <w:rFonts w:eastAsia="Times New Roman"/>
                <w:sz w:val="20"/>
                <w:szCs w:val="20"/>
              </w:rPr>
              <w:t>)</w:t>
            </w:r>
          </w:p>
        </w:tc>
      </w:tr>
      <w:tr w:rsidR="00000000" w14:paraId="4EF42A7D" w14:textId="77777777">
        <w:trPr>
          <w:divId w:val="1088112578"/>
          <w:tblCellSpacing w:w="0" w:type="dxa"/>
        </w:trPr>
        <w:tc>
          <w:tcPr>
            <w:tcW w:w="0" w:type="auto"/>
            <w:shd w:val="clear" w:color="auto" w:fill="CCEEFF"/>
            <w:vAlign w:val="bottom"/>
            <w:hideMark/>
          </w:tcPr>
          <w:p w14:paraId="282851D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97F2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EEC16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7F1B0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3DEB9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3AAD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3EC42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85DF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39BD5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21D96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DDE4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64CA1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9CA1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B9D5B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491B7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F3E0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EA98C8" w14:textId="77777777" w:rsidR="00000000" w:rsidRDefault="00527094">
            <w:pPr>
              <w:rPr>
                <w:rFonts w:eastAsia="Times New Roman"/>
                <w:sz w:val="20"/>
                <w:szCs w:val="20"/>
              </w:rPr>
            </w:pPr>
            <w:r>
              <w:rPr>
                <w:rFonts w:eastAsia="Times New Roman"/>
                <w:sz w:val="20"/>
                <w:szCs w:val="20"/>
              </w:rPr>
              <w:t> </w:t>
            </w:r>
          </w:p>
        </w:tc>
      </w:tr>
      <w:tr w:rsidR="00000000" w14:paraId="4F61AB5A" w14:textId="77777777">
        <w:trPr>
          <w:divId w:val="1088112578"/>
          <w:tblCellSpacing w:w="0" w:type="dxa"/>
        </w:trPr>
        <w:tc>
          <w:tcPr>
            <w:tcW w:w="0" w:type="auto"/>
            <w:shd w:val="clear" w:color="auto" w:fill="FFFFFF"/>
            <w:vAlign w:val="bottom"/>
            <w:hideMark/>
          </w:tcPr>
          <w:p w14:paraId="080EE4BD" w14:textId="77777777" w:rsidR="00000000" w:rsidRDefault="00527094">
            <w:pPr>
              <w:pStyle w:val="a3"/>
              <w:spacing w:before="0" w:beforeAutospacing="0" w:after="0" w:afterAutospacing="0"/>
              <w:ind w:left="540" w:hanging="180"/>
              <w:rPr>
                <w:sz w:val="20"/>
                <w:szCs w:val="20"/>
              </w:rPr>
            </w:pPr>
            <w:r>
              <w:rPr>
                <w:sz w:val="20"/>
                <w:szCs w:val="20"/>
              </w:rPr>
              <w:t>Gain on sale of properties/change in control of interests</w:t>
            </w:r>
          </w:p>
        </w:tc>
        <w:tc>
          <w:tcPr>
            <w:tcW w:w="50" w:type="pct"/>
            <w:shd w:val="clear" w:color="auto" w:fill="FFFFFF"/>
            <w:vAlign w:val="bottom"/>
            <w:hideMark/>
          </w:tcPr>
          <w:p w14:paraId="3E69ECA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A84273"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209D459" w14:textId="77777777" w:rsidR="00000000" w:rsidRDefault="00527094">
            <w:pPr>
              <w:jc w:val="right"/>
              <w:rPr>
                <w:rFonts w:eastAsia="Times New Roman"/>
                <w:sz w:val="20"/>
                <w:szCs w:val="20"/>
              </w:rPr>
            </w:pPr>
            <w:r>
              <w:rPr>
                <w:rFonts w:eastAsia="Times New Roman"/>
                <w:sz w:val="20"/>
                <w:szCs w:val="20"/>
              </w:rPr>
              <w:t>14,762</w:t>
            </w:r>
          </w:p>
        </w:tc>
        <w:tc>
          <w:tcPr>
            <w:tcW w:w="50" w:type="pct"/>
            <w:shd w:val="clear" w:color="auto" w:fill="FFFFFF"/>
            <w:tcMar>
              <w:top w:w="0" w:type="dxa"/>
              <w:left w:w="0" w:type="dxa"/>
              <w:bottom w:w="15" w:type="dxa"/>
              <w:right w:w="0" w:type="dxa"/>
            </w:tcMar>
            <w:vAlign w:val="bottom"/>
            <w:hideMark/>
          </w:tcPr>
          <w:p w14:paraId="5E24385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9351E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4B8F582"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6AF7516" w14:textId="77777777" w:rsidR="00000000" w:rsidRDefault="00527094">
            <w:pPr>
              <w:jc w:val="right"/>
              <w:rPr>
                <w:rFonts w:eastAsia="Times New Roman"/>
                <w:sz w:val="20"/>
                <w:szCs w:val="20"/>
              </w:rPr>
            </w:pPr>
            <w:r>
              <w:rPr>
                <w:rFonts w:eastAsia="Times New Roman"/>
                <w:sz w:val="20"/>
                <w:szCs w:val="20"/>
              </w:rPr>
              <w:t>95,240</w:t>
            </w:r>
          </w:p>
        </w:tc>
        <w:tc>
          <w:tcPr>
            <w:tcW w:w="50" w:type="pct"/>
            <w:shd w:val="clear" w:color="auto" w:fill="FFFFFF"/>
            <w:tcMar>
              <w:top w:w="0" w:type="dxa"/>
              <w:left w:w="0" w:type="dxa"/>
              <w:bottom w:w="15" w:type="dxa"/>
              <w:right w:w="0" w:type="dxa"/>
            </w:tcMar>
            <w:vAlign w:val="bottom"/>
            <w:hideMark/>
          </w:tcPr>
          <w:p w14:paraId="342BA6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97EBF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443E5E1"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BD6B457" w14:textId="77777777" w:rsidR="00000000" w:rsidRDefault="00527094">
            <w:pPr>
              <w:jc w:val="right"/>
              <w:rPr>
                <w:rFonts w:eastAsia="Times New Roman"/>
                <w:sz w:val="20"/>
                <w:szCs w:val="20"/>
              </w:rPr>
            </w:pPr>
            <w:r>
              <w:rPr>
                <w:rFonts w:eastAsia="Times New Roman"/>
                <w:sz w:val="20"/>
                <w:szCs w:val="20"/>
              </w:rPr>
              <w:t>38,357</w:t>
            </w:r>
          </w:p>
        </w:tc>
        <w:tc>
          <w:tcPr>
            <w:tcW w:w="50" w:type="pct"/>
            <w:shd w:val="clear" w:color="auto" w:fill="FFFFFF"/>
            <w:tcMar>
              <w:top w:w="0" w:type="dxa"/>
              <w:left w:w="0" w:type="dxa"/>
              <w:bottom w:w="15" w:type="dxa"/>
              <w:right w:w="0" w:type="dxa"/>
            </w:tcMar>
            <w:vAlign w:val="bottom"/>
            <w:hideMark/>
          </w:tcPr>
          <w:p w14:paraId="56D152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43FFD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6BB21F7"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412DD6B" w14:textId="77777777" w:rsidR="00000000" w:rsidRDefault="00527094">
            <w:pPr>
              <w:jc w:val="right"/>
              <w:rPr>
                <w:rFonts w:eastAsia="Times New Roman"/>
                <w:sz w:val="20"/>
                <w:szCs w:val="20"/>
              </w:rPr>
            </w:pPr>
            <w:r>
              <w:rPr>
                <w:rFonts w:eastAsia="Times New Roman"/>
                <w:sz w:val="20"/>
                <w:szCs w:val="20"/>
              </w:rPr>
              <w:t>152,211</w:t>
            </w:r>
          </w:p>
        </w:tc>
        <w:tc>
          <w:tcPr>
            <w:tcW w:w="50" w:type="pct"/>
            <w:shd w:val="clear" w:color="auto" w:fill="FFFFFF"/>
            <w:tcMar>
              <w:top w:w="0" w:type="dxa"/>
              <w:left w:w="0" w:type="dxa"/>
              <w:bottom w:w="15" w:type="dxa"/>
              <w:right w:w="0" w:type="dxa"/>
            </w:tcMar>
            <w:vAlign w:val="bottom"/>
            <w:hideMark/>
          </w:tcPr>
          <w:p w14:paraId="32C51FCC" w14:textId="77777777" w:rsidR="00000000" w:rsidRDefault="00527094">
            <w:pPr>
              <w:rPr>
                <w:rFonts w:eastAsia="Times New Roman"/>
                <w:sz w:val="20"/>
                <w:szCs w:val="20"/>
              </w:rPr>
            </w:pPr>
            <w:r>
              <w:rPr>
                <w:rFonts w:eastAsia="Times New Roman"/>
                <w:sz w:val="20"/>
                <w:szCs w:val="20"/>
              </w:rPr>
              <w:t> </w:t>
            </w:r>
          </w:p>
        </w:tc>
      </w:tr>
      <w:tr w:rsidR="00000000" w14:paraId="1081C295" w14:textId="77777777">
        <w:trPr>
          <w:divId w:val="1088112578"/>
          <w:tblCellSpacing w:w="0" w:type="dxa"/>
        </w:trPr>
        <w:tc>
          <w:tcPr>
            <w:tcW w:w="0" w:type="auto"/>
            <w:shd w:val="clear" w:color="auto" w:fill="CCEEFF"/>
            <w:vAlign w:val="bottom"/>
            <w:hideMark/>
          </w:tcPr>
          <w:p w14:paraId="70F7782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C975E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BD74B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2663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93E5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29D6C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20EF6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8CFFD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4072A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BB22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D9C0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0815B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6889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21F02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06DAF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0B048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BA98BA" w14:textId="77777777" w:rsidR="00000000" w:rsidRDefault="00527094">
            <w:pPr>
              <w:rPr>
                <w:rFonts w:eastAsia="Times New Roman"/>
                <w:sz w:val="20"/>
                <w:szCs w:val="20"/>
              </w:rPr>
            </w:pPr>
            <w:r>
              <w:rPr>
                <w:rFonts w:eastAsia="Times New Roman"/>
                <w:sz w:val="20"/>
                <w:szCs w:val="20"/>
              </w:rPr>
              <w:t> </w:t>
            </w:r>
          </w:p>
        </w:tc>
      </w:tr>
      <w:tr w:rsidR="00000000" w14:paraId="58F66A21" w14:textId="77777777">
        <w:trPr>
          <w:divId w:val="1088112578"/>
          <w:tblCellSpacing w:w="0" w:type="dxa"/>
        </w:trPr>
        <w:tc>
          <w:tcPr>
            <w:tcW w:w="0" w:type="auto"/>
            <w:shd w:val="clear" w:color="auto" w:fill="FFFFFF"/>
            <w:vAlign w:val="bottom"/>
            <w:hideMark/>
          </w:tcPr>
          <w:p w14:paraId="5D128BA5" w14:textId="77777777" w:rsidR="00000000" w:rsidRDefault="00527094">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14:paraId="2B8417A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8C2BE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D7DD6CC" w14:textId="77777777" w:rsidR="00000000" w:rsidRDefault="00527094">
            <w:pPr>
              <w:jc w:val="right"/>
              <w:rPr>
                <w:rFonts w:eastAsia="Times New Roman"/>
                <w:sz w:val="20"/>
                <w:szCs w:val="20"/>
              </w:rPr>
            </w:pPr>
            <w:r>
              <w:rPr>
                <w:rFonts w:eastAsia="Times New Roman"/>
                <w:sz w:val="20"/>
                <w:szCs w:val="20"/>
              </w:rPr>
              <w:t>107,400</w:t>
            </w:r>
          </w:p>
        </w:tc>
        <w:tc>
          <w:tcPr>
            <w:tcW w:w="50" w:type="pct"/>
            <w:shd w:val="clear" w:color="auto" w:fill="FFFFFF"/>
            <w:vAlign w:val="bottom"/>
            <w:hideMark/>
          </w:tcPr>
          <w:p w14:paraId="0FA636B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8CCB0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5614F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B6E91B6" w14:textId="77777777" w:rsidR="00000000" w:rsidRDefault="00527094">
            <w:pPr>
              <w:jc w:val="right"/>
              <w:rPr>
                <w:rFonts w:eastAsia="Times New Roman"/>
                <w:sz w:val="20"/>
                <w:szCs w:val="20"/>
              </w:rPr>
            </w:pPr>
            <w:r>
              <w:rPr>
                <w:rFonts w:eastAsia="Times New Roman"/>
                <w:sz w:val="20"/>
                <w:szCs w:val="20"/>
              </w:rPr>
              <w:t>179,589</w:t>
            </w:r>
          </w:p>
        </w:tc>
        <w:tc>
          <w:tcPr>
            <w:tcW w:w="50" w:type="pct"/>
            <w:shd w:val="clear" w:color="auto" w:fill="FFFFFF"/>
            <w:vAlign w:val="bottom"/>
            <w:hideMark/>
          </w:tcPr>
          <w:p w14:paraId="2BD8A80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B2846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8F6E2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181306C" w14:textId="77777777" w:rsidR="00000000" w:rsidRDefault="00527094">
            <w:pPr>
              <w:jc w:val="right"/>
              <w:rPr>
                <w:rFonts w:eastAsia="Times New Roman"/>
                <w:sz w:val="20"/>
                <w:szCs w:val="20"/>
              </w:rPr>
            </w:pPr>
            <w:r>
              <w:rPr>
                <w:rFonts w:eastAsia="Times New Roman"/>
                <w:sz w:val="20"/>
                <w:szCs w:val="20"/>
              </w:rPr>
              <w:t>241,503</w:t>
            </w:r>
          </w:p>
        </w:tc>
        <w:tc>
          <w:tcPr>
            <w:tcW w:w="50" w:type="pct"/>
            <w:shd w:val="clear" w:color="auto" w:fill="FFFFFF"/>
            <w:vAlign w:val="bottom"/>
            <w:hideMark/>
          </w:tcPr>
          <w:p w14:paraId="742B74C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2CC6F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D9101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44B754A" w14:textId="77777777" w:rsidR="00000000" w:rsidRDefault="00527094">
            <w:pPr>
              <w:jc w:val="right"/>
              <w:rPr>
                <w:rFonts w:eastAsia="Times New Roman"/>
                <w:sz w:val="20"/>
                <w:szCs w:val="20"/>
              </w:rPr>
            </w:pPr>
            <w:r>
              <w:rPr>
                <w:rFonts w:eastAsia="Times New Roman"/>
                <w:sz w:val="20"/>
                <w:szCs w:val="20"/>
              </w:rPr>
              <w:t>340,498</w:t>
            </w:r>
          </w:p>
        </w:tc>
        <w:tc>
          <w:tcPr>
            <w:tcW w:w="50" w:type="pct"/>
            <w:shd w:val="clear" w:color="auto" w:fill="FFFFFF"/>
            <w:vAlign w:val="bottom"/>
            <w:hideMark/>
          </w:tcPr>
          <w:p w14:paraId="5DDF4211" w14:textId="77777777" w:rsidR="00000000" w:rsidRDefault="00527094">
            <w:pPr>
              <w:rPr>
                <w:rFonts w:eastAsia="Times New Roman"/>
                <w:sz w:val="20"/>
                <w:szCs w:val="20"/>
              </w:rPr>
            </w:pPr>
            <w:r>
              <w:rPr>
                <w:rFonts w:eastAsia="Times New Roman"/>
                <w:sz w:val="20"/>
                <w:szCs w:val="20"/>
              </w:rPr>
              <w:t> </w:t>
            </w:r>
          </w:p>
        </w:tc>
      </w:tr>
      <w:tr w:rsidR="00000000" w14:paraId="66C48E2A" w14:textId="77777777">
        <w:trPr>
          <w:divId w:val="1088112578"/>
          <w:tblCellSpacing w:w="0" w:type="dxa"/>
        </w:trPr>
        <w:tc>
          <w:tcPr>
            <w:tcW w:w="0" w:type="auto"/>
            <w:shd w:val="clear" w:color="auto" w:fill="CCEEFF"/>
            <w:vAlign w:val="bottom"/>
            <w:hideMark/>
          </w:tcPr>
          <w:p w14:paraId="005259A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46BB4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A870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BEF3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5D81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0D26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3F17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A413D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ADBC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ED464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AD7FB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A31C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3868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EC41C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4689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4DB8B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B3CCCD" w14:textId="77777777" w:rsidR="00000000" w:rsidRDefault="00527094">
            <w:pPr>
              <w:rPr>
                <w:rFonts w:eastAsia="Times New Roman"/>
                <w:sz w:val="20"/>
                <w:szCs w:val="20"/>
              </w:rPr>
            </w:pPr>
            <w:r>
              <w:rPr>
                <w:rFonts w:eastAsia="Times New Roman"/>
                <w:sz w:val="20"/>
                <w:szCs w:val="20"/>
              </w:rPr>
              <w:t> </w:t>
            </w:r>
          </w:p>
        </w:tc>
      </w:tr>
      <w:tr w:rsidR="00000000" w14:paraId="6DECDC4A" w14:textId="77777777">
        <w:trPr>
          <w:divId w:val="1088112578"/>
          <w:tblCellSpacing w:w="0" w:type="dxa"/>
        </w:trPr>
        <w:tc>
          <w:tcPr>
            <w:tcW w:w="0" w:type="auto"/>
            <w:shd w:val="clear" w:color="auto" w:fill="FFFFFF"/>
            <w:vAlign w:val="bottom"/>
            <w:hideMark/>
          </w:tcPr>
          <w:p w14:paraId="1D8EDC38" w14:textId="77777777" w:rsidR="00000000" w:rsidRDefault="00527094">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14:paraId="0CA3069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40BC2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7FE4B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5F63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730BE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9B41D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9375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0D99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9696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ACB2B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50CF5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2F845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F5C75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EE23F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E7554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BFAA15" w14:textId="77777777" w:rsidR="00000000" w:rsidRDefault="00527094">
            <w:pPr>
              <w:rPr>
                <w:rFonts w:eastAsia="Times New Roman"/>
                <w:sz w:val="20"/>
                <w:szCs w:val="20"/>
              </w:rPr>
            </w:pPr>
            <w:r>
              <w:rPr>
                <w:rFonts w:eastAsia="Times New Roman"/>
                <w:sz w:val="20"/>
                <w:szCs w:val="20"/>
              </w:rPr>
              <w:t> </w:t>
            </w:r>
          </w:p>
        </w:tc>
      </w:tr>
      <w:tr w:rsidR="00000000" w14:paraId="5320F913" w14:textId="77777777">
        <w:trPr>
          <w:divId w:val="1088112578"/>
          <w:tblCellSpacing w:w="0" w:type="dxa"/>
        </w:trPr>
        <w:tc>
          <w:tcPr>
            <w:tcW w:w="0" w:type="auto"/>
            <w:shd w:val="clear" w:color="auto" w:fill="CCEEFF"/>
            <w:vAlign w:val="bottom"/>
            <w:hideMark/>
          </w:tcPr>
          <w:p w14:paraId="32CBFBF8" w14:textId="77777777" w:rsidR="00000000" w:rsidRDefault="00527094">
            <w:pPr>
              <w:pStyle w:val="a3"/>
              <w:spacing w:before="0" w:beforeAutospacing="0" w:after="0" w:afterAutospacing="0"/>
              <w:ind w:left="540" w:hanging="180"/>
              <w:rPr>
                <w:sz w:val="20"/>
                <w:szCs w:val="20"/>
              </w:rPr>
            </w:pPr>
            <w:r>
              <w:rPr>
                <w:sz w:val="20"/>
                <w:szCs w:val="20"/>
              </w:rPr>
              <w:t>Other income, net</w:t>
            </w:r>
          </w:p>
        </w:tc>
        <w:tc>
          <w:tcPr>
            <w:tcW w:w="50" w:type="pct"/>
            <w:shd w:val="clear" w:color="auto" w:fill="CCEEFF"/>
            <w:vAlign w:val="bottom"/>
            <w:hideMark/>
          </w:tcPr>
          <w:p w14:paraId="568E20F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92EB8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062B7C5" w14:textId="77777777" w:rsidR="00000000" w:rsidRDefault="00527094">
            <w:pPr>
              <w:jc w:val="right"/>
              <w:rPr>
                <w:rFonts w:eastAsia="Times New Roman"/>
                <w:sz w:val="20"/>
                <w:szCs w:val="20"/>
              </w:rPr>
            </w:pPr>
            <w:r>
              <w:rPr>
                <w:rFonts w:eastAsia="Times New Roman"/>
                <w:sz w:val="20"/>
                <w:szCs w:val="20"/>
              </w:rPr>
              <w:t>1,938</w:t>
            </w:r>
          </w:p>
        </w:tc>
        <w:tc>
          <w:tcPr>
            <w:tcW w:w="50" w:type="pct"/>
            <w:shd w:val="clear" w:color="auto" w:fill="CCEEFF"/>
            <w:vAlign w:val="bottom"/>
            <w:hideMark/>
          </w:tcPr>
          <w:p w14:paraId="3630C19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80244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FBE6B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FCF0C84" w14:textId="77777777" w:rsidR="00000000" w:rsidRDefault="00527094">
            <w:pPr>
              <w:jc w:val="right"/>
              <w:rPr>
                <w:rFonts w:eastAsia="Times New Roman"/>
                <w:sz w:val="20"/>
                <w:szCs w:val="20"/>
              </w:rPr>
            </w:pPr>
            <w:r>
              <w:rPr>
                <w:rFonts w:eastAsia="Times New Roman"/>
                <w:sz w:val="20"/>
                <w:szCs w:val="20"/>
              </w:rPr>
              <w:t>3,277</w:t>
            </w:r>
          </w:p>
        </w:tc>
        <w:tc>
          <w:tcPr>
            <w:tcW w:w="50" w:type="pct"/>
            <w:shd w:val="clear" w:color="auto" w:fill="CCEEFF"/>
            <w:vAlign w:val="bottom"/>
            <w:hideMark/>
          </w:tcPr>
          <w:p w14:paraId="351FFE7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7205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40694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E139A64" w14:textId="77777777" w:rsidR="00000000" w:rsidRDefault="00527094">
            <w:pPr>
              <w:jc w:val="right"/>
              <w:rPr>
                <w:rFonts w:eastAsia="Times New Roman"/>
                <w:sz w:val="20"/>
                <w:szCs w:val="20"/>
              </w:rPr>
            </w:pPr>
            <w:r>
              <w:rPr>
                <w:rFonts w:eastAsia="Times New Roman"/>
                <w:sz w:val="20"/>
                <w:szCs w:val="20"/>
              </w:rPr>
              <w:t>4,560</w:t>
            </w:r>
          </w:p>
        </w:tc>
        <w:tc>
          <w:tcPr>
            <w:tcW w:w="50" w:type="pct"/>
            <w:shd w:val="clear" w:color="auto" w:fill="CCEEFF"/>
            <w:vAlign w:val="bottom"/>
            <w:hideMark/>
          </w:tcPr>
          <w:p w14:paraId="4116C0C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ED58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59827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EEB85E" w14:textId="77777777" w:rsidR="00000000" w:rsidRDefault="00527094">
            <w:pPr>
              <w:jc w:val="right"/>
              <w:rPr>
                <w:rFonts w:eastAsia="Times New Roman"/>
                <w:sz w:val="20"/>
                <w:szCs w:val="20"/>
              </w:rPr>
            </w:pPr>
            <w:r>
              <w:rPr>
                <w:rFonts w:eastAsia="Times New Roman"/>
                <w:sz w:val="20"/>
                <w:szCs w:val="20"/>
              </w:rPr>
              <w:t>9,456</w:t>
            </w:r>
          </w:p>
        </w:tc>
        <w:tc>
          <w:tcPr>
            <w:tcW w:w="50" w:type="pct"/>
            <w:shd w:val="clear" w:color="auto" w:fill="CCEEFF"/>
            <w:vAlign w:val="bottom"/>
            <w:hideMark/>
          </w:tcPr>
          <w:p w14:paraId="0123BD47" w14:textId="77777777" w:rsidR="00000000" w:rsidRDefault="00527094">
            <w:pPr>
              <w:rPr>
                <w:rFonts w:eastAsia="Times New Roman"/>
                <w:sz w:val="20"/>
                <w:szCs w:val="20"/>
              </w:rPr>
            </w:pPr>
            <w:r>
              <w:rPr>
                <w:rFonts w:eastAsia="Times New Roman"/>
                <w:sz w:val="20"/>
                <w:szCs w:val="20"/>
              </w:rPr>
              <w:t> </w:t>
            </w:r>
          </w:p>
        </w:tc>
      </w:tr>
      <w:tr w:rsidR="00000000" w14:paraId="16636548" w14:textId="77777777">
        <w:trPr>
          <w:divId w:val="1088112578"/>
          <w:tblCellSpacing w:w="0" w:type="dxa"/>
        </w:trPr>
        <w:tc>
          <w:tcPr>
            <w:tcW w:w="0" w:type="auto"/>
            <w:shd w:val="clear" w:color="auto" w:fill="FFFFFF"/>
            <w:vAlign w:val="bottom"/>
            <w:hideMark/>
          </w:tcPr>
          <w:p w14:paraId="33003528" w14:textId="77777777" w:rsidR="00000000" w:rsidRDefault="00527094">
            <w:pPr>
              <w:pStyle w:val="a3"/>
              <w:spacing w:before="0" w:beforeAutospacing="0" w:after="0" w:afterAutospacing="0"/>
              <w:ind w:left="540" w:hanging="180"/>
              <w:rPr>
                <w:sz w:val="20"/>
                <w:szCs w:val="20"/>
              </w:rPr>
            </w:pPr>
            <w:r>
              <w:rPr>
                <w:sz w:val="20"/>
                <w:szCs w:val="20"/>
              </w:rPr>
              <w:t>Interest expense</w:t>
            </w:r>
          </w:p>
        </w:tc>
        <w:tc>
          <w:tcPr>
            <w:tcW w:w="50" w:type="pct"/>
            <w:shd w:val="clear" w:color="auto" w:fill="FFFFFF"/>
            <w:tcMar>
              <w:top w:w="0" w:type="dxa"/>
              <w:left w:w="0" w:type="dxa"/>
              <w:bottom w:w="15" w:type="dxa"/>
              <w:right w:w="0" w:type="dxa"/>
            </w:tcMar>
            <w:vAlign w:val="bottom"/>
            <w:hideMark/>
          </w:tcPr>
          <w:p w14:paraId="2A040A0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800DDB1"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445CFE0" w14:textId="77777777" w:rsidR="00000000" w:rsidRDefault="00527094">
            <w:pPr>
              <w:jc w:val="right"/>
              <w:rPr>
                <w:rFonts w:eastAsia="Times New Roman"/>
                <w:sz w:val="20"/>
                <w:szCs w:val="20"/>
              </w:rPr>
            </w:pPr>
            <w:r>
              <w:rPr>
                <w:rFonts w:eastAsia="Times New Roman"/>
                <w:sz w:val="20"/>
                <w:szCs w:val="20"/>
              </w:rPr>
              <w:t>(44,097</w:t>
            </w:r>
          </w:p>
        </w:tc>
        <w:tc>
          <w:tcPr>
            <w:tcW w:w="50" w:type="pct"/>
            <w:shd w:val="clear" w:color="auto" w:fill="FFFFFF"/>
            <w:tcMar>
              <w:top w:w="0" w:type="dxa"/>
              <w:left w:w="0" w:type="dxa"/>
              <w:bottom w:w="15" w:type="dxa"/>
              <w:right w:w="0" w:type="dxa"/>
            </w:tcMar>
            <w:vAlign w:val="bottom"/>
            <w:hideMark/>
          </w:tcPr>
          <w:p w14:paraId="1544B8E4"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875C79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977A223"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D93D2DB" w14:textId="77777777" w:rsidR="00000000" w:rsidRDefault="00527094">
            <w:pPr>
              <w:jc w:val="right"/>
              <w:rPr>
                <w:rFonts w:eastAsia="Times New Roman"/>
                <w:sz w:val="20"/>
                <w:szCs w:val="20"/>
              </w:rPr>
            </w:pPr>
            <w:r>
              <w:rPr>
                <w:rFonts w:eastAsia="Times New Roman"/>
                <w:sz w:val="20"/>
                <w:szCs w:val="20"/>
              </w:rPr>
              <w:t>(46,434</w:t>
            </w:r>
          </w:p>
        </w:tc>
        <w:tc>
          <w:tcPr>
            <w:tcW w:w="50" w:type="pct"/>
            <w:shd w:val="clear" w:color="auto" w:fill="FFFFFF"/>
            <w:tcMar>
              <w:top w:w="0" w:type="dxa"/>
              <w:left w:w="0" w:type="dxa"/>
              <w:bottom w:w="15" w:type="dxa"/>
              <w:right w:w="0" w:type="dxa"/>
            </w:tcMar>
            <w:vAlign w:val="bottom"/>
            <w:hideMark/>
          </w:tcPr>
          <w:p w14:paraId="5B0D19F6"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0A9DCB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F84427A"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FF7036E" w14:textId="77777777" w:rsidR="00000000" w:rsidRDefault="00527094">
            <w:pPr>
              <w:jc w:val="right"/>
              <w:rPr>
                <w:rFonts w:eastAsia="Times New Roman"/>
                <w:sz w:val="20"/>
                <w:szCs w:val="20"/>
              </w:rPr>
            </w:pPr>
            <w:r>
              <w:rPr>
                <w:rFonts w:eastAsia="Times New Roman"/>
                <w:sz w:val="20"/>
                <w:szCs w:val="20"/>
              </w:rPr>
              <w:t>(88,492</w:t>
            </w:r>
          </w:p>
        </w:tc>
        <w:tc>
          <w:tcPr>
            <w:tcW w:w="50" w:type="pct"/>
            <w:shd w:val="clear" w:color="auto" w:fill="FFFFFF"/>
            <w:tcMar>
              <w:top w:w="0" w:type="dxa"/>
              <w:left w:w="0" w:type="dxa"/>
              <w:bottom w:w="15" w:type="dxa"/>
              <w:right w:w="0" w:type="dxa"/>
            </w:tcMar>
            <w:vAlign w:val="bottom"/>
            <w:hideMark/>
          </w:tcPr>
          <w:p w14:paraId="424B8D3E"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67766E2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56C6D7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BB12B66" w14:textId="77777777" w:rsidR="00000000" w:rsidRDefault="00527094">
            <w:pPr>
              <w:jc w:val="right"/>
              <w:rPr>
                <w:rFonts w:eastAsia="Times New Roman"/>
                <w:sz w:val="20"/>
                <w:szCs w:val="20"/>
              </w:rPr>
            </w:pPr>
            <w:r>
              <w:rPr>
                <w:rFonts w:eastAsia="Times New Roman"/>
                <w:sz w:val="20"/>
                <w:szCs w:val="20"/>
              </w:rPr>
              <w:t>(96,377</w:t>
            </w:r>
          </w:p>
        </w:tc>
        <w:tc>
          <w:tcPr>
            <w:tcW w:w="50" w:type="pct"/>
            <w:shd w:val="clear" w:color="auto" w:fill="FFFFFF"/>
            <w:tcMar>
              <w:top w:w="0" w:type="dxa"/>
              <w:left w:w="0" w:type="dxa"/>
              <w:bottom w:w="15" w:type="dxa"/>
              <w:right w:w="0" w:type="dxa"/>
            </w:tcMar>
            <w:vAlign w:val="bottom"/>
            <w:hideMark/>
          </w:tcPr>
          <w:p w14:paraId="06DAE3D7" w14:textId="77777777" w:rsidR="00000000" w:rsidRDefault="00527094">
            <w:pPr>
              <w:rPr>
                <w:rFonts w:eastAsia="Times New Roman"/>
                <w:sz w:val="20"/>
                <w:szCs w:val="20"/>
              </w:rPr>
            </w:pPr>
            <w:r>
              <w:rPr>
                <w:rFonts w:eastAsia="Times New Roman"/>
                <w:sz w:val="20"/>
                <w:szCs w:val="20"/>
              </w:rPr>
              <w:t>)</w:t>
            </w:r>
          </w:p>
        </w:tc>
      </w:tr>
      <w:tr w:rsidR="00000000" w14:paraId="05352427" w14:textId="77777777">
        <w:trPr>
          <w:divId w:val="1088112578"/>
          <w:tblCellSpacing w:w="0" w:type="dxa"/>
        </w:trPr>
        <w:tc>
          <w:tcPr>
            <w:tcW w:w="0" w:type="auto"/>
            <w:shd w:val="clear" w:color="auto" w:fill="CCEEFF"/>
            <w:vAlign w:val="bottom"/>
            <w:hideMark/>
          </w:tcPr>
          <w:p w14:paraId="7E313B24" w14:textId="77777777" w:rsidR="00000000" w:rsidRDefault="00527094">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real estate investments, net</w:t>
            </w:r>
          </w:p>
        </w:tc>
        <w:tc>
          <w:tcPr>
            <w:tcW w:w="50" w:type="pct"/>
            <w:shd w:val="clear" w:color="auto" w:fill="CCEEFF"/>
            <w:vAlign w:val="bottom"/>
            <w:hideMark/>
          </w:tcPr>
          <w:p w14:paraId="41B6D8E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ACD7E3"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7E2E67F" w14:textId="77777777" w:rsidR="00000000" w:rsidRDefault="00527094">
            <w:pPr>
              <w:jc w:val="right"/>
              <w:rPr>
                <w:rFonts w:eastAsia="Times New Roman"/>
                <w:sz w:val="20"/>
                <w:szCs w:val="20"/>
              </w:rPr>
            </w:pPr>
            <w:r>
              <w:rPr>
                <w:rFonts w:eastAsia="Times New Roman"/>
                <w:sz w:val="20"/>
                <w:szCs w:val="20"/>
              </w:rPr>
              <w:t>65,241</w:t>
            </w:r>
          </w:p>
        </w:tc>
        <w:tc>
          <w:tcPr>
            <w:tcW w:w="50" w:type="pct"/>
            <w:shd w:val="clear" w:color="auto" w:fill="CCEEFF"/>
            <w:vAlign w:val="bottom"/>
            <w:hideMark/>
          </w:tcPr>
          <w:p w14:paraId="06B1777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410E8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D8673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3FD0FC2" w14:textId="77777777" w:rsidR="00000000" w:rsidRDefault="00527094">
            <w:pPr>
              <w:jc w:val="right"/>
              <w:rPr>
                <w:rFonts w:eastAsia="Times New Roman"/>
                <w:sz w:val="20"/>
                <w:szCs w:val="20"/>
              </w:rPr>
            </w:pPr>
            <w:r>
              <w:rPr>
                <w:rFonts w:eastAsia="Times New Roman"/>
                <w:sz w:val="20"/>
                <w:szCs w:val="20"/>
              </w:rPr>
              <w:t>136,432</w:t>
            </w:r>
          </w:p>
        </w:tc>
        <w:tc>
          <w:tcPr>
            <w:tcW w:w="50" w:type="pct"/>
            <w:shd w:val="clear" w:color="auto" w:fill="CCEEFF"/>
            <w:vAlign w:val="bottom"/>
            <w:hideMark/>
          </w:tcPr>
          <w:p w14:paraId="7E5270B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BA5A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1F274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131CEF8" w14:textId="77777777" w:rsidR="00000000" w:rsidRDefault="00527094">
            <w:pPr>
              <w:jc w:val="right"/>
              <w:rPr>
                <w:rFonts w:eastAsia="Times New Roman"/>
                <w:sz w:val="20"/>
                <w:szCs w:val="20"/>
              </w:rPr>
            </w:pPr>
            <w:r>
              <w:rPr>
                <w:rFonts w:eastAsia="Times New Roman"/>
                <w:sz w:val="20"/>
                <w:szCs w:val="20"/>
              </w:rPr>
              <w:t>157,571</w:t>
            </w:r>
          </w:p>
        </w:tc>
        <w:tc>
          <w:tcPr>
            <w:tcW w:w="50" w:type="pct"/>
            <w:shd w:val="clear" w:color="auto" w:fill="CCEEFF"/>
            <w:vAlign w:val="bottom"/>
            <w:hideMark/>
          </w:tcPr>
          <w:p w14:paraId="6EDDB85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F6B16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01D90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2F08683" w14:textId="77777777" w:rsidR="00000000" w:rsidRDefault="00527094">
            <w:pPr>
              <w:jc w:val="right"/>
              <w:rPr>
                <w:rFonts w:eastAsia="Times New Roman"/>
                <w:sz w:val="20"/>
                <w:szCs w:val="20"/>
              </w:rPr>
            </w:pPr>
            <w:r>
              <w:rPr>
                <w:rFonts w:eastAsia="Times New Roman"/>
                <w:sz w:val="20"/>
                <w:szCs w:val="20"/>
              </w:rPr>
              <w:t>253,577</w:t>
            </w:r>
          </w:p>
        </w:tc>
        <w:tc>
          <w:tcPr>
            <w:tcW w:w="50" w:type="pct"/>
            <w:shd w:val="clear" w:color="auto" w:fill="CCEEFF"/>
            <w:vAlign w:val="bottom"/>
            <w:hideMark/>
          </w:tcPr>
          <w:p w14:paraId="406531D2" w14:textId="77777777" w:rsidR="00000000" w:rsidRDefault="00527094">
            <w:pPr>
              <w:rPr>
                <w:rFonts w:eastAsia="Times New Roman"/>
                <w:sz w:val="20"/>
                <w:szCs w:val="20"/>
              </w:rPr>
            </w:pPr>
            <w:r>
              <w:rPr>
                <w:rFonts w:eastAsia="Times New Roman"/>
                <w:sz w:val="20"/>
                <w:szCs w:val="20"/>
              </w:rPr>
              <w:t> </w:t>
            </w:r>
          </w:p>
        </w:tc>
      </w:tr>
      <w:tr w:rsidR="00000000" w14:paraId="200832E2" w14:textId="77777777">
        <w:trPr>
          <w:divId w:val="1088112578"/>
          <w:tblCellSpacing w:w="0" w:type="dxa"/>
        </w:trPr>
        <w:tc>
          <w:tcPr>
            <w:tcW w:w="0" w:type="auto"/>
            <w:shd w:val="clear" w:color="auto" w:fill="FFFFFF"/>
            <w:vAlign w:val="bottom"/>
            <w:hideMark/>
          </w:tcPr>
          <w:p w14:paraId="62B89D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92117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B49CD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F15D5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97854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143D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F3484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8DFD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F151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79633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DFBD2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682CE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905CF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4A2FB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145E3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7001D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0320A4" w14:textId="77777777" w:rsidR="00000000" w:rsidRDefault="00527094">
            <w:pPr>
              <w:rPr>
                <w:rFonts w:eastAsia="Times New Roman"/>
                <w:sz w:val="20"/>
                <w:szCs w:val="20"/>
              </w:rPr>
            </w:pPr>
            <w:r>
              <w:rPr>
                <w:rFonts w:eastAsia="Times New Roman"/>
                <w:sz w:val="20"/>
                <w:szCs w:val="20"/>
              </w:rPr>
              <w:t> </w:t>
            </w:r>
          </w:p>
        </w:tc>
      </w:tr>
      <w:tr w:rsidR="00000000" w14:paraId="6BC1D4F8" w14:textId="77777777">
        <w:trPr>
          <w:divId w:val="1088112578"/>
          <w:tblCellSpacing w:w="0" w:type="dxa"/>
        </w:trPr>
        <w:tc>
          <w:tcPr>
            <w:tcW w:w="0" w:type="auto"/>
            <w:shd w:val="clear" w:color="auto" w:fill="CCEEFF"/>
            <w:vAlign w:val="bottom"/>
            <w:hideMark/>
          </w:tcPr>
          <w:p w14:paraId="7594D2F4" w14:textId="77777777" w:rsidR="00000000" w:rsidRDefault="00527094">
            <w:pPr>
              <w:pStyle w:val="a3"/>
              <w:spacing w:before="0" w:beforeAutospacing="0" w:after="0" w:afterAutospacing="0"/>
              <w:ind w:left="540" w:hanging="180"/>
              <w:rPr>
                <w:sz w:val="20"/>
                <w:szCs w:val="20"/>
              </w:rPr>
            </w:pPr>
            <w:r>
              <w:rPr>
                <w:sz w:val="20"/>
                <w:szCs w:val="20"/>
              </w:rPr>
              <w:t>Benefit/(provision) for income taxes, net</w:t>
            </w:r>
          </w:p>
        </w:tc>
        <w:tc>
          <w:tcPr>
            <w:tcW w:w="50" w:type="pct"/>
            <w:shd w:val="clear" w:color="auto" w:fill="CCEEFF"/>
            <w:vAlign w:val="bottom"/>
            <w:hideMark/>
          </w:tcPr>
          <w:p w14:paraId="696DC61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55261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4A4047E" w14:textId="77777777" w:rsidR="00000000" w:rsidRDefault="00527094">
            <w:pPr>
              <w:jc w:val="right"/>
              <w:rPr>
                <w:rFonts w:eastAsia="Times New Roman"/>
                <w:sz w:val="20"/>
                <w:szCs w:val="20"/>
              </w:rPr>
            </w:pPr>
            <w:r>
              <w:rPr>
                <w:rFonts w:eastAsia="Times New Roman"/>
                <w:sz w:val="20"/>
                <w:szCs w:val="20"/>
              </w:rPr>
              <w:t>344</w:t>
            </w:r>
          </w:p>
        </w:tc>
        <w:tc>
          <w:tcPr>
            <w:tcW w:w="50" w:type="pct"/>
            <w:shd w:val="clear" w:color="auto" w:fill="CCEEFF"/>
            <w:vAlign w:val="bottom"/>
            <w:hideMark/>
          </w:tcPr>
          <w:p w14:paraId="034D4D7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A0783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3178A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EED995E" w14:textId="77777777" w:rsidR="00000000" w:rsidRDefault="00527094">
            <w:pPr>
              <w:jc w:val="right"/>
              <w:rPr>
                <w:rFonts w:eastAsia="Times New Roman"/>
                <w:sz w:val="20"/>
                <w:szCs w:val="20"/>
              </w:rPr>
            </w:pPr>
            <w:r>
              <w:rPr>
                <w:rFonts w:eastAsia="Times New Roman"/>
                <w:sz w:val="20"/>
                <w:szCs w:val="20"/>
              </w:rPr>
              <w:t>720</w:t>
            </w:r>
          </w:p>
        </w:tc>
        <w:tc>
          <w:tcPr>
            <w:tcW w:w="50" w:type="pct"/>
            <w:shd w:val="clear" w:color="auto" w:fill="CCEEFF"/>
            <w:vAlign w:val="bottom"/>
            <w:hideMark/>
          </w:tcPr>
          <w:p w14:paraId="2C21A6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EE367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AD741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4A600D" w14:textId="77777777" w:rsidR="00000000" w:rsidRDefault="00527094">
            <w:pPr>
              <w:jc w:val="right"/>
              <w:rPr>
                <w:rFonts w:eastAsia="Times New Roman"/>
                <w:sz w:val="20"/>
                <w:szCs w:val="20"/>
              </w:rPr>
            </w:pPr>
            <w:r>
              <w:rPr>
                <w:rFonts w:eastAsia="Times New Roman"/>
                <w:sz w:val="20"/>
                <w:szCs w:val="20"/>
              </w:rPr>
              <w:t>(286</w:t>
            </w:r>
          </w:p>
        </w:tc>
        <w:tc>
          <w:tcPr>
            <w:tcW w:w="50" w:type="pct"/>
            <w:shd w:val="clear" w:color="auto" w:fill="CCEEFF"/>
            <w:vAlign w:val="bottom"/>
            <w:hideMark/>
          </w:tcPr>
          <w:p w14:paraId="6F53D58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E343B6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D75BF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4EF2D0E" w14:textId="77777777" w:rsidR="00000000" w:rsidRDefault="00527094">
            <w:pPr>
              <w:jc w:val="right"/>
              <w:rPr>
                <w:rFonts w:eastAsia="Times New Roman"/>
                <w:sz w:val="20"/>
                <w:szCs w:val="20"/>
              </w:rPr>
            </w:pPr>
            <w:r>
              <w:rPr>
                <w:rFonts w:eastAsia="Times New Roman"/>
                <w:sz w:val="20"/>
                <w:szCs w:val="20"/>
              </w:rPr>
              <w:t>668</w:t>
            </w:r>
          </w:p>
        </w:tc>
        <w:tc>
          <w:tcPr>
            <w:tcW w:w="50" w:type="pct"/>
            <w:shd w:val="clear" w:color="auto" w:fill="CCEEFF"/>
            <w:vAlign w:val="bottom"/>
            <w:hideMark/>
          </w:tcPr>
          <w:p w14:paraId="26A03945" w14:textId="77777777" w:rsidR="00000000" w:rsidRDefault="00527094">
            <w:pPr>
              <w:rPr>
                <w:rFonts w:eastAsia="Times New Roman"/>
                <w:sz w:val="20"/>
                <w:szCs w:val="20"/>
              </w:rPr>
            </w:pPr>
            <w:r>
              <w:rPr>
                <w:rFonts w:eastAsia="Times New Roman"/>
                <w:sz w:val="20"/>
                <w:szCs w:val="20"/>
              </w:rPr>
              <w:t> </w:t>
            </w:r>
          </w:p>
        </w:tc>
      </w:tr>
      <w:tr w:rsidR="00000000" w14:paraId="2156AB75" w14:textId="77777777">
        <w:trPr>
          <w:divId w:val="1088112578"/>
          <w:tblCellSpacing w:w="0" w:type="dxa"/>
        </w:trPr>
        <w:tc>
          <w:tcPr>
            <w:tcW w:w="0" w:type="auto"/>
            <w:shd w:val="clear" w:color="auto" w:fill="FFFFFF"/>
            <w:vAlign w:val="bottom"/>
            <w:hideMark/>
          </w:tcPr>
          <w:p w14:paraId="0614242F" w14:textId="77777777" w:rsidR="00000000" w:rsidRDefault="00527094">
            <w:pPr>
              <w:pStyle w:val="a3"/>
              <w:spacing w:before="0" w:beforeAutospacing="0" w:after="0" w:afterAutospacing="0"/>
              <w:ind w:left="540" w:hanging="180"/>
              <w:rPr>
                <w:sz w:val="20"/>
                <w:szCs w:val="20"/>
              </w:rPr>
            </w:pPr>
            <w:r>
              <w:rPr>
                <w:sz w:val="20"/>
                <w:szCs w:val="20"/>
              </w:rPr>
              <w:t>Equity in income of joint ventures, net</w:t>
            </w:r>
          </w:p>
        </w:tc>
        <w:tc>
          <w:tcPr>
            <w:tcW w:w="50" w:type="pct"/>
            <w:shd w:val="clear" w:color="auto" w:fill="FFFFFF"/>
            <w:vAlign w:val="bottom"/>
            <w:hideMark/>
          </w:tcPr>
          <w:p w14:paraId="4DBCDCB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6D2B4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42337B6" w14:textId="77777777" w:rsidR="00000000" w:rsidRDefault="00527094">
            <w:pPr>
              <w:jc w:val="right"/>
              <w:rPr>
                <w:rFonts w:eastAsia="Times New Roman"/>
                <w:sz w:val="20"/>
                <w:szCs w:val="20"/>
              </w:rPr>
            </w:pPr>
            <w:r>
              <w:rPr>
                <w:rFonts w:eastAsia="Times New Roman"/>
                <w:sz w:val="20"/>
                <w:szCs w:val="20"/>
              </w:rPr>
              <w:t>22,533</w:t>
            </w:r>
          </w:p>
        </w:tc>
        <w:tc>
          <w:tcPr>
            <w:tcW w:w="50" w:type="pct"/>
            <w:shd w:val="clear" w:color="auto" w:fill="FFFFFF"/>
            <w:vAlign w:val="bottom"/>
            <w:hideMark/>
          </w:tcPr>
          <w:p w14:paraId="461D1BE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C558F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F3F8D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09D3D05" w14:textId="77777777" w:rsidR="00000000" w:rsidRDefault="00527094">
            <w:pPr>
              <w:jc w:val="right"/>
              <w:rPr>
                <w:rFonts w:eastAsia="Times New Roman"/>
                <w:sz w:val="20"/>
                <w:szCs w:val="20"/>
              </w:rPr>
            </w:pPr>
            <w:r>
              <w:rPr>
                <w:rFonts w:eastAsia="Times New Roman"/>
                <w:sz w:val="20"/>
                <w:szCs w:val="20"/>
              </w:rPr>
              <w:t>19,040</w:t>
            </w:r>
          </w:p>
        </w:tc>
        <w:tc>
          <w:tcPr>
            <w:tcW w:w="50" w:type="pct"/>
            <w:shd w:val="clear" w:color="auto" w:fill="FFFFFF"/>
            <w:vAlign w:val="bottom"/>
            <w:hideMark/>
          </w:tcPr>
          <w:p w14:paraId="3B3AD38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D13B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E87C2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CF0C682" w14:textId="77777777" w:rsidR="00000000" w:rsidRDefault="00527094">
            <w:pPr>
              <w:jc w:val="right"/>
              <w:rPr>
                <w:rFonts w:eastAsia="Times New Roman"/>
                <w:sz w:val="20"/>
                <w:szCs w:val="20"/>
              </w:rPr>
            </w:pPr>
            <w:r>
              <w:rPr>
                <w:rFonts w:eastAsia="Times New Roman"/>
                <w:sz w:val="20"/>
                <w:szCs w:val="20"/>
              </w:rPr>
              <w:t>41,287</w:t>
            </w:r>
          </w:p>
        </w:tc>
        <w:tc>
          <w:tcPr>
            <w:tcW w:w="50" w:type="pct"/>
            <w:shd w:val="clear" w:color="auto" w:fill="FFFFFF"/>
            <w:vAlign w:val="bottom"/>
            <w:hideMark/>
          </w:tcPr>
          <w:p w14:paraId="5BFC1BE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C658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3D6D6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C9AF90A" w14:textId="77777777" w:rsidR="00000000" w:rsidRDefault="00527094">
            <w:pPr>
              <w:jc w:val="right"/>
              <w:rPr>
                <w:rFonts w:eastAsia="Times New Roman"/>
                <w:sz w:val="20"/>
                <w:szCs w:val="20"/>
              </w:rPr>
            </w:pPr>
            <w:r>
              <w:rPr>
                <w:rFonts w:eastAsia="Times New Roman"/>
                <w:sz w:val="20"/>
                <w:szCs w:val="20"/>
              </w:rPr>
              <w:t>35,953</w:t>
            </w:r>
          </w:p>
        </w:tc>
        <w:tc>
          <w:tcPr>
            <w:tcW w:w="50" w:type="pct"/>
            <w:shd w:val="clear" w:color="auto" w:fill="FFFFFF"/>
            <w:vAlign w:val="bottom"/>
            <w:hideMark/>
          </w:tcPr>
          <w:p w14:paraId="3050A856" w14:textId="77777777" w:rsidR="00000000" w:rsidRDefault="00527094">
            <w:pPr>
              <w:rPr>
                <w:rFonts w:eastAsia="Times New Roman"/>
                <w:sz w:val="20"/>
                <w:szCs w:val="20"/>
              </w:rPr>
            </w:pPr>
            <w:r>
              <w:rPr>
                <w:rFonts w:eastAsia="Times New Roman"/>
                <w:sz w:val="20"/>
                <w:szCs w:val="20"/>
              </w:rPr>
              <w:t> </w:t>
            </w:r>
          </w:p>
        </w:tc>
      </w:tr>
      <w:tr w:rsidR="00000000" w14:paraId="31C481B7" w14:textId="77777777">
        <w:trPr>
          <w:divId w:val="1088112578"/>
          <w:tblCellSpacing w:w="0" w:type="dxa"/>
        </w:trPr>
        <w:tc>
          <w:tcPr>
            <w:tcW w:w="0" w:type="auto"/>
            <w:shd w:val="clear" w:color="auto" w:fill="CCEEFF"/>
            <w:vAlign w:val="bottom"/>
            <w:hideMark/>
          </w:tcPr>
          <w:p w14:paraId="14FC7488" w14:textId="77777777" w:rsidR="00000000" w:rsidRDefault="00527094">
            <w:pPr>
              <w:pStyle w:val="a3"/>
              <w:spacing w:before="0" w:beforeAutospacing="0" w:after="0" w:afterAutospacing="0"/>
              <w:ind w:left="540" w:hanging="180"/>
              <w:rPr>
                <w:sz w:val="20"/>
                <w:szCs w:val="20"/>
              </w:rPr>
            </w:pPr>
            <w:r>
              <w:rPr>
                <w:sz w:val="20"/>
                <w:szCs w:val="20"/>
              </w:rPr>
              <w:t>Equity in income of other real estate investments, net</w:t>
            </w:r>
          </w:p>
        </w:tc>
        <w:tc>
          <w:tcPr>
            <w:tcW w:w="50" w:type="pct"/>
            <w:shd w:val="clear" w:color="auto" w:fill="CCEEFF"/>
            <w:vAlign w:val="bottom"/>
            <w:hideMark/>
          </w:tcPr>
          <w:p w14:paraId="340F54C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3357A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BB6EFA6" w14:textId="77777777" w:rsidR="00000000" w:rsidRDefault="00527094">
            <w:pPr>
              <w:jc w:val="right"/>
              <w:rPr>
                <w:rFonts w:eastAsia="Times New Roman"/>
                <w:sz w:val="20"/>
                <w:szCs w:val="20"/>
              </w:rPr>
            </w:pPr>
            <w:r>
              <w:rPr>
                <w:rFonts w:eastAsia="Times New Roman"/>
                <w:sz w:val="20"/>
                <w:szCs w:val="20"/>
              </w:rPr>
              <w:t>13,269</w:t>
            </w:r>
          </w:p>
        </w:tc>
        <w:tc>
          <w:tcPr>
            <w:tcW w:w="50" w:type="pct"/>
            <w:shd w:val="clear" w:color="auto" w:fill="CCEEFF"/>
            <w:vAlign w:val="bottom"/>
            <w:hideMark/>
          </w:tcPr>
          <w:p w14:paraId="0414737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9DA27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6ECF6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F186FC7" w14:textId="77777777" w:rsidR="00000000" w:rsidRDefault="00527094">
            <w:pPr>
              <w:jc w:val="right"/>
              <w:rPr>
                <w:rFonts w:eastAsia="Times New Roman"/>
                <w:sz w:val="20"/>
                <w:szCs w:val="20"/>
              </w:rPr>
            </w:pPr>
            <w:r>
              <w:rPr>
                <w:rFonts w:eastAsia="Times New Roman"/>
                <w:sz w:val="20"/>
                <w:szCs w:val="20"/>
              </w:rPr>
              <w:t>9,617</w:t>
            </w:r>
          </w:p>
        </w:tc>
        <w:tc>
          <w:tcPr>
            <w:tcW w:w="50" w:type="pct"/>
            <w:shd w:val="clear" w:color="auto" w:fill="CCEEFF"/>
            <w:vAlign w:val="bottom"/>
            <w:hideMark/>
          </w:tcPr>
          <w:p w14:paraId="0784DD6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2F073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34D5C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7F9CC04" w14:textId="77777777" w:rsidR="00000000" w:rsidRDefault="00527094">
            <w:pPr>
              <w:jc w:val="right"/>
              <w:rPr>
                <w:rFonts w:eastAsia="Times New Roman"/>
                <w:sz w:val="20"/>
                <w:szCs w:val="20"/>
              </w:rPr>
            </w:pPr>
            <w:r>
              <w:rPr>
                <w:rFonts w:eastAsia="Times New Roman"/>
                <w:sz w:val="20"/>
                <w:szCs w:val="20"/>
              </w:rPr>
              <w:t>19,493</w:t>
            </w:r>
          </w:p>
        </w:tc>
        <w:tc>
          <w:tcPr>
            <w:tcW w:w="50" w:type="pct"/>
            <w:shd w:val="clear" w:color="auto" w:fill="CCEEFF"/>
            <w:vAlign w:val="bottom"/>
            <w:hideMark/>
          </w:tcPr>
          <w:p w14:paraId="4514B36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3383A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4EACE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24D0BB1" w14:textId="77777777" w:rsidR="00000000" w:rsidRDefault="00527094">
            <w:pPr>
              <w:jc w:val="right"/>
              <w:rPr>
                <w:rFonts w:eastAsia="Times New Roman"/>
                <w:sz w:val="20"/>
                <w:szCs w:val="20"/>
              </w:rPr>
            </w:pPr>
            <w:r>
              <w:rPr>
                <w:rFonts w:eastAsia="Times New Roman"/>
                <w:sz w:val="20"/>
                <w:szCs w:val="20"/>
              </w:rPr>
              <w:t>19,593</w:t>
            </w:r>
          </w:p>
        </w:tc>
        <w:tc>
          <w:tcPr>
            <w:tcW w:w="50" w:type="pct"/>
            <w:shd w:val="clear" w:color="auto" w:fill="CCEEFF"/>
            <w:vAlign w:val="bottom"/>
            <w:hideMark/>
          </w:tcPr>
          <w:p w14:paraId="60C647FC" w14:textId="77777777" w:rsidR="00000000" w:rsidRDefault="00527094">
            <w:pPr>
              <w:rPr>
                <w:rFonts w:eastAsia="Times New Roman"/>
                <w:sz w:val="20"/>
                <w:szCs w:val="20"/>
              </w:rPr>
            </w:pPr>
            <w:r>
              <w:rPr>
                <w:rFonts w:eastAsia="Times New Roman"/>
                <w:sz w:val="20"/>
                <w:szCs w:val="20"/>
              </w:rPr>
              <w:t> </w:t>
            </w:r>
          </w:p>
        </w:tc>
      </w:tr>
      <w:tr w:rsidR="00000000" w14:paraId="710D0753" w14:textId="77777777">
        <w:trPr>
          <w:divId w:val="1088112578"/>
          <w:tblCellSpacing w:w="0" w:type="dxa"/>
        </w:trPr>
        <w:tc>
          <w:tcPr>
            <w:tcW w:w="0" w:type="auto"/>
            <w:shd w:val="clear" w:color="auto" w:fill="FFFFFF"/>
            <w:vAlign w:val="bottom"/>
            <w:hideMark/>
          </w:tcPr>
          <w:p w14:paraId="5AB11AE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762E0F2"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75C7E82"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26DE57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4D09E95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0489A67"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C5820F5"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6BF5320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88D9E1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2BF5FCDF"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16F2B2CF"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77C260B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7059BE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2D39FE8D"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4E72BC9"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387793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F41F97E" w14:textId="77777777" w:rsidR="00000000" w:rsidRDefault="00527094">
            <w:pPr>
              <w:rPr>
                <w:rFonts w:eastAsia="Times New Roman"/>
                <w:sz w:val="20"/>
                <w:szCs w:val="20"/>
              </w:rPr>
            </w:pPr>
            <w:r>
              <w:rPr>
                <w:rFonts w:eastAsia="Times New Roman"/>
                <w:sz w:val="20"/>
                <w:szCs w:val="20"/>
              </w:rPr>
              <w:t> </w:t>
            </w:r>
          </w:p>
        </w:tc>
      </w:tr>
      <w:tr w:rsidR="00000000" w14:paraId="06B79DC5" w14:textId="77777777">
        <w:trPr>
          <w:divId w:val="1088112578"/>
          <w:tblCellSpacing w:w="0" w:type="dxa"/>
        </w:trPr>
        <w:tc>
          <w:tcPr>
            <w:tcW w:w="0" w:type="auto"/>
            <w:shd w:val="clear" w:color="auto" w:fill="CCEEFF"/>
            <w:vAlign w:val="bottom"/>
            <w:hideMark/>
          </w:tcPr>
          <w:p w14:paraId="1BDEEFF8" w14:textId="77777777" w:rsidR="00000000" w:rsidRDefault="00527094">
            <w:pPr>
              <w:pStyle w:val="a3"/>
              <w:spacing w:before="0" w:beforeAutospacing="0" w:after="0" w:afterAutospacing="0"/>
              <w:ind w:left="720" w:hanging="180"/>
              <w:rPr>
                <w:sz w:val="20"/>
                <w:szCs w:val="20"/>
              </w:rPr>
            </w:pPr>
            <w:r>
              <w:rPr>
                <w:sz w:val="20"/>
                <w:szCs w:val="20"/>
              </w:rPr>
              <w:t>Net income</w:t>
            </w:r>
          </w:p>
        </w:tc>
        <w:tc>
          <w:tcPr>
            <w:tcW w:w="50" w:type="pct"/>
            <w:shd w:val="clear" w:color="auto" w:fill="CCEEFF"/>
            <w:vAlign w:val="bottom"/>
            <w:hideMark/>
          </w:tcPr>
          <w:p w14:paraId="52A8B77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9316D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EDF0772" w14:textId="77777777" w:rsidR="00000000" w:rsidRDefault="00527094">
            <w:pPr>
              <w:jc w:val="right"/>
              <w:rPr>
                <w:rFonts w:eastAsia="Times New Roman"/>
                <w:sz w:val="20"/>
                <w:szCs w:val="20"/>
              </w:rPr>
            </w:pPr>
            <w:r>
              <w:rPr>
                <w:rFonts w:eastAsia="Times New Roman"/>
                <w:sz w:val="20"/>
                <w:szCs w:val="20"/>
              </w:rPr>
              <w:t>101,387</w:t>
            </w:r>
          </w:p>
        </w:tc>
        <w:tc>
          <w:tcPr>
            <w:tcW w:w="50" w:type="pct"/>
            <w:shd w:val="clear" w:color="auto" w:fill="CCEEFF"/>
            <w:vAlign w:val="bottom"/>
            <w:hideMark/>
          </w:tcPr>
          <w:p w14:paraId="4D2D91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2499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2EAF8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D11F4B7" w14:textId="77777777" w:rsidR="00000000" w:rsidRDefault="00527094">
            <w:pPr>
              <w:jc w:val="right"/>
              <w:rPr>
                <w:rFonts w:eastAsia="Times New Roman"/>
                <w:sz w:val="20"/>
                <w:szCs w:val="20"/>
              </w:rPr>
            </w:pPr>
            <w:r>
              <w:rPr>
                <w:rFonts w:eastAsia="Times New Roman"/>
                <w:sz w:val="20"/>
                <w:szCs w:val="20"/>
              </w:rPr>
              <w:t>165,809</w:t>
            </w:r>
          </w:p>
        </w:tc>
        <w:tc>
          <w:tcPr>
            <w:tcW w:w="50" w:type="pct"/>
            <w:shd w:val="clear" w:color="auto" w:fill="CCEEFF"/>
            <w:vAlign w:val="bottom"/>
            <w:hideMark/>
          </w:tcPr>
          <w:p w14:paraId="54E5DC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4195A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16B7B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E924949" w14:textId="77777777" w:rsidR="00000000" w:rsidRDefault="00527094">
            <w:pPr>
              <w:jc w:val="right"/>
              <w:rPr>
                <w:rFonts w:eastAsia="Times New Roman"/>
                <w:sz w:val="20"/>
                <w:szCs w:val="20"/>
              </w:rPr>
            </w:pPr>
            <w:r>
              <w:rPr>
                <w:rFonts w:eastAsia="Times New Roman"/>
                <w:sz w:val="20"/>
                <w:szCs w:val="20"/>
              </w:rPr>
              <w:t>218,065</w:t>
            </w:r>
          </w:p>
        </w:tc>
        <w:tc>
          <w:tcPr>
            <w:tcW w:w="50" w:type="pct"/>
            <w:shd w:val="clear" w:color="auto" w:fill="CCEEFF"/>
            <w:vAlign w:val="bottom"/>
            <w:hideMark/>
          </w:tcPr>
          <w:p w14:paraId="3D1247A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533B6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1B2D5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AA86384" w14:textId="77777777" w:rsidR="00000000" w:rsidRDefault="00527094">
            <w:pPr>
              <w:jc w:val="right"/>
              <w:rPr>
                <w:rFonts w:eastAsia="Times New Roman"/>
                <w:sz w:val="20"/>
                <w:szCs w:val="20"/>
              </w:rPr>
            </w:pPr>
            <w:r>
              <w:rPr>
                <w:rFonts w:eastAsia="Times New Roman"/>
                <w:sz w:val="20"/>
                <w:szCs w:val="20"/>
              </w:rPr>
              <w:t>309,791</w:t>
            </w:r>
          </w:p>
        </w:tc>
        <w:tc>
          <w:tcPr>
            <w:tcW w:w="50" w:type="pct"/>
            <w:shd w:val="clear" w:color="auto" w:fill="CCEEFF"/>
            <w:vAlign w:val="bottom"/>
            <w:hideMark/>
          </w:tcPr>
          <w:p w14:paraId="68FE816A" w14:textId="77777777" w:rsidR="00000000" w:rsidRDefault="00527094">
            <w:pPr>
              <w:rPr>
                <w:rFonts w:eastAsia="Times New Roman"/>
                <w:sz w:val="20"/>
                <w:szCs w:val="20"/>
              </w:rPr>
            </w:pPr>
            <w:r>
              <w:rPr>
                <w:rFonts w:eastAsia="Times New Roman"/>
                <w:sz w:val="20"/>
                <w:szCs w:val="20"/>
              </w:rPr>
              <w:t> </w:t>
            </w:r>
          </w:p>
        </w:tc>
      </w:tr>
      <w:tr w:rsidR="00000000" w14:paraId="7A4044A2" w14:textId="77777777">
        <w:trPr>
          <w:divId w:val="1088112578"/>
          <w:tblCellSpacing w:w="0" w:type="dxa"/>
        </w:trPr>
        <w:tc>
          <w:tcPr>
            <w:tcW w:w="0" w:type="auto"/>
            <w:shd w:val="clear" w:color="auto" w:fill="FFFFFF"/>
            <w:vAlign w:val="bottom"/>
            <w:hideMark/>
          </w:tcPr>
          <w:p w14:paraId="4D2C556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D4104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823E4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9CF22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01B3E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5E9B0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6F132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F438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F0D0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4989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ED62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39CB2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33EAE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C7F8F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A7BD8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1FBA8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424B0" w14:textId="77777777" w:rsidR="00000000" w:rsidRDefault="00527094">
            <w:pPr>
              <w:rPr>
                <w:rFonts w:eastAsia="Times New Roman"/>
                <w:sz w:val="20"/>
                <w:szCs w:val="20"/>
              </w:rPr>
            </w:pPr>
            <w:r>
              <w:rPr>
                <w:rFonts w:eastAsia="Times New Roman"/>
                <w:sz w:val="20"/>
                <w:szCs w:val="20"/>
              </w:rPr>
              <w:t> </w:t>
            </w:r>
          </w:p>
        </w:tc>
      </w:tr>
      <w:tr w:rsidR="00000000" w14:paraId="0FBF48A7" w14:textId="77777777">
        <w:trPr>
          <w:divId w:val="1088112578"/>
          <w:tblCellSpacing w:w="0" w:type="dxa"/>
        </w:trPr>
        <w:tc>
          <w:tcPr>
            <w:tcW w:w="0" w:type="auto"/>
            <w:shd w:val="clear" w:color="auto" w:fill="CCEEFF"/>
            <w:vAlign w:val="bottom"/>
            <w:hideMark/>
          </w:tcPr>
          <w:p w14:paraId="0E95ECBF" w14:textId="77777777" w:rsidR="00000000" w:rsidRDefault="00527094">
            <w:pPr>
              <w:pStyle w:val="a3"/>
              <w:spacing w:before="0" w:beforeAutospacing="0" w:after="0" w:afterAutospacing="0"/>
              <w:ind w:left="540" w:hanging="180"/>
              <w:rPr>
                <w:sz w:val="20"/>
                <w:szCs w:val="20"/>
              </w:rPr>
            </w:pPr>
            <w:r>
              <w:rPr>
                <w:sz w:val="20"/>
                <w:szCs w:val="20"/>
              </w:rPr>
              <w:t>Net income attributable to noncontrolling interests</w:t>
            </w:r>
          </w:p>
        </w:tc>
        <w:tc>
          <w:tcPr>
            <w:tcW w:w="50" w:type="pct"/>
            <w:shd w:val="clear" w:color="auto" w:fill="CCEEFF"/>
            <w:vAlign w:val="bottom"/>
            <w:hideMark/>
          </w:tcPr>
          <w:p w14:paraId="28A8127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D8FFC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9D83C25" w14:textId="77777777" w:rsidR="00000000" w:rsidRDefault="00527094">
            <w:pPr>
              <w:jc w:val="right"/>
              <w:rPr>
                <w:rFonts w:eastAsia="Times New Roman"/>
                <w:sz w:val="20"/>
                <w:szCs w:val="20"/>
              </w:rPr>
            </w:pPr>
            <w:r>
              <w:rPr>
                <w:rFonts w:eastAsia="Times New Roman"/>
                <w:sz w:val="20"/>
                <w:szCs w:val="20"/>
              </w:rPr>
              <w:t>(360</w:t>
            </w:r>
          </w:p>
        </w:tc>
        <w:tc>
          <w:tcPr>
            <w:tcW w:w="50" w:type="pct"/>
            <w:shd w:val="clear" w:color="auto" w:fill="CCEEFF"/>
            <w:vAlign w:val="bottom"/>
            <w:hideMark/>
          </w:tcPr>
          <w:p w14:paraId="278837A7"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FCBBDD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3E8F1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905133F" w14:textId="77777777" w:rsidR="00000000" w:rsidRDefault="00527094">
            <w:pPr>
              <w:jc w:val="right"/>
              <w:rPr>
                <w:rFonts w:eastAsia="Times New Roman"/>
                <w:sz w:val="20"/>
                <w:szCs w:val="20"/>
              </w:rPr>
            </w:pPr>
            <w:r>
              <w:rPr>
                <w:rFonts w:eastAsia="Times New Roman"/>
                <w:sz w:val="20"/>
                <w:szCs w:val="20"/>
              </w:rPr>
              <w:t>(423</w:t>
            </w:r>
          </w:p>
        </w:tc>
        <w:tc>
          <w:tcPr>
            <w:tcW w:w="50" w:type="pct"/>
            <w:shd w:val="clear" w:color="auto" w:fill="CCEEFF"/>
            <w:vAlign w:val="bottom"/>
            <w:hideMark/>
          </w:tcPr>
          <w:p w14:paraId="72C004D7"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4B86ABB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76257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788BAA6" w14:textId="77777777" w:rsidR="00000000" w:rsidRDefault="00527094">
            <w:pPr>
              <w:jc w:val="right"/>
              <w:rPr>
                <w:rFonts w:eastAsia="Times New Roman"/>
                <w:sz w:val="20"/>
                <w:szCs w:val="20"/>
              </w:rPr>
            </w:pPr>
            <w:r>
              <w:rPr>
                <w:rFonts w:eastAsia="Times New Roman"/>
                <w:sz w:val="20"/>
                <w:szCs w:val="20"/>
              </w:rPr>
              <w:t>(869</w:t>
            </w:r>
          </w:p>
        </w:tc>
        <w:tc>
          <w:tcPr>
            <w:tcW w:w="50" w:type="pct"/>
            <w:shd w:val="clear" w:color="auto" w:fill="CCEEFF"/>
            <w:vAlign w:val="bottom"/>
            <w:hideMark/>
          </w:tcPr>
          <w:p w14:paraId="136D396A"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040597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B43E43"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0C54DA1" w14:textId="77777777" w:rsidR="00000000" w:rsidRDefault="00527094">
            <w:pPr>
              <w:jc w:val="right"/>
              <w:rPr>
                <w:rFonts w:eastAsia="Times New Roman"/>
                <w:sz w:val="20"/>
                <w:szCs w:val="20"/>
              </w:rPr>
            </w:pPr>
            <w:r>
              <w:rPr>
                <w:rFonts w:eastAsia="Times New Roman"/>
                <w:sz w:val="20"/>
                <w:szCs w:val="20"/>
              </w:rPr>
              <w:t>(315</w:t>
            </w:r>
          </w:p>
        </w:tc>
        <w:tc>
          <w:tcPr>
            <w:tcW w:w="50" w:type="pct"/>
            <w:shd w:val="clear" w:color="auto" w:fill="CCEEFF"/>
            <w:vAlign w:val="bottom"/>
            <w:hideMark/>
          </w:tcPr>
          <w:p w14:paraId="0C4009A9" w14:textId="77777777" w:rsidR="00000000" w:rsidRDefault="00527094">
            <w:pPr>
              <w:rPr>
                <w:rFonts w:eastAsia="Times New Roman"/>
                <w:sz w:val="20"/>
                <w:szCs w:val="20"/>
              </w:rPr>
            </w:pPr>
            <w:r>
              <w:rPr>
                <w:rFonts w:eastAsia="Times New Roman"/>
                <w:sz w:val="20"/>
                <w:szCs w:val="20"/>
              </w:rPr>
              <w:t>)</w:t>
            </w:r>
          </w:p>
        </w:tc>
      </w:tr>
      <w:tr w:rsidR="00000000" w14:paraId="29E4F0F6" w14:textId="77777777">
        <w:trPr>
          <w:divId w:val="1088112578"/>
          <w:tblCellSpacing w:w="0" w:type="dxa"/>
        </w:trPr>
        <w:tc>
          <w:tcPr>
            <w:tcW w:w="0" w:type="auto"/>
            <w:shd w:val="clear" w:color="auto" w:fill="FFFFFF"/>
            <w:vAlign w:val="bottom"/>
            <w:hideMark/>
          </w:tcPr>
          <w:p w14:paraId="3852E13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E97F8AA"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72B763E"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963CBE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491B97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5855A62"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37E92C28"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74FCA1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B0943E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4D7EC371"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131CADAE"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E3FA7B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B1186C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6A6C205C"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1225FBC"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EBF81D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3E601EF" w14:textId="77777777" w:rsidR="00000000" w:rsidRDefault="00527094">
            <w:pPr>
              <w:rPr>
                <w:rFonts w:eastAsia="Times New Roman"/>
                <w:sz w:val="20"/>
                <w:szCs w:val="20"/>
              </w:rPr>
            </w:pPr>
            <w:r>
              <w:rPr>
                <w:rFonts w:eastAsia="Times New Roman"/>
                <w:sz w:val="20"/>
                <w:szCs w:val="20"/>
              </w:rPr>
              <w:t> </w:t>
            </w:r>
          </w:p>
        </w:tc>
      </w:tr>
      <w:tr w:rsidR="00000000" w14:paraId="462B0DB2" w14:textId="77777777">
        <w:trPr>
          <w:divId w:val="1088112578"/>
          <w:tblCellSpacing w:w="0" w:type="dxa"/>
        </w:trPr>
        <w:tc>
          <w:tcPr>
            <w:tcW w:w="0" w:type="auto"/>
            <w:shd w:val="clear" w:color="auto" w:fill="CCEEFF"/>
            <w:vAlign w:val="bottom"/>
            <w:hideMark/>
          </w:tcPr>
          <w:p w14:paraId="4EFCDD9D" w14:textId="77777777" w:rsidR="00000000" w:rsidRDefault="00527094">
            <w:pPr>
              <w:pStyle w:val="a3"/>
              <w:spacing w:before="0" w:beforeAutospacing="0" w:after="0" w:afterAutospacing="0"/>
              <w:ind w:left="720" w:hanging="180"/>
              <w:rPr>
                <w:sz w:val="20"/>
                <w:szCs w:val="20"/>
              </w:rPr>
            </w:pPr>
            <w:r>
              <w:rPr>
                <w:sz w:val="20"/>
                <w:szCs w:val="20"/>
              </w:rPr>
              <w:t>Net income attributable to the Company</w:t>
            </w:r>
          </w:p>
        </w:tc>
        <w:tc>
          <w:tcPr>
            <w:tcW w:w="50" w:type="pct"/>
            <w:shd w:val="clear" w:color="auto" w:fill="CCEEFF"/>
            <w:vAlign w:val="bottom"/>
            <w:hideMark/>
          </w:tcPr>
          <w:p w14:paraId="55CEBE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6E447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C460DAE" w14:textId="77777777" w:rsidR="00000000" w:rsidRDefault="00527094">
            <w:pPr>
              <w:jc w:val="right"/>
              <w:rPr>
                <w:rFonts w:eastAsia="Times New Roman"/>
                <w:sz w:val="20"/>
                <w:szCs w:val="20"/>
              </w:rPr>
            </w:pPr>
            <w:r>
              <w:rPr>
                <w:rFonts w:eastAsia="Times New Roman"/>
                <w:sz w:val="20"/>
                <w:szCs w:val="20"/>
              </w:rPr>
              <w:t>101,027</w:t>
            </w:r>
          </w:p>
        </w:tc>
        <w:tc>
          <w:tcPr>
            <w:tcW w:w="50" w:type="pct"/>
            <w:shd w:val="clear" w:color="auto" w:fill="CCEEFF"/>
            <w:vAlign w:val="bottom"/>
            <w:hideMark/>
          </w:tcPr>
          <w:p w14:paraId="0687B4B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2D790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8998A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FB20998" w14:textId="77777777" w:rsidR="00000000" w:rsidRDefault="00527094">
            <w:pPr>
              <w:jc w:val="right"/>
              <w:rPr>
                <w:rFonts w:eastAsia="Times New Roman"/>
                <w:sz w:val="20"/>
                <w:szCs w:val="20"/>
              </w:rPr>
            </w:pPr>
            <w:r>
              <w:rPr>
                <w:rFonts w:eastAsia="Times New Roman"/>
                <w:sz w:val="20"/>
                <w:szCs w:val="20"/>
              </w:rPr>
              <w:t>165,386</w:t>
            </w:r>
          </w:p>
        </w:tc>
        <w:tc>
          <w:tcPr>
            <w:tcW w:w="50" w:type="pct"/>
            <w:shd w:val="clear" w:color="auto" w:fill="CCEEFF"/>
            <w:vAlign w:val="bottom"/>
            <w:hideMark/>
          </w:tcPr>
          <w:p w14:paraId="1C26FEA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0374C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A3CDA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1159E4B" w14:textId="77777777" w:rsidR="00000000" w:rsidRDefault="00527094">
            <w:pPr>
              <w:jc w:val="right"/>
              <w:rPr>
                <w:rFonts w:eastAsia="Times New Roman"/>
                <w:sz w:val="20"/>
                <w:szCs w:val="20"/>
              </w:rPr>
            </w:pPr>
            <w:r>
              <w:rPr>
                <w:rFonts w:eastAsia="Times New Roman"/>
                <w:sz w:val="20"/>
                <w:szCs w:val="20"/>
              </w:rPr>
              <w:t>217,196</w:t>
            </w:r>
          </w:p>
        </w:tc>
        <w:tc>
          <w:tcPr>
            <w:tcW w:w="50" w:type="pct"/>
            <w:shd w:val="clear" w:color="auto" w:fill="CCEEFF"/>
            <w:vAlign w:val="bottom"/>
            <w:hideMark/>
          </w:tcPr>
          <w:p w14:paraId="75666B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2A859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53255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FCCDC84" w14:textId="77777777" w:rsidR="00000000" w:rsidRDefault="00527094">
            <w:pPr>
              <w:jc w:val="right"/>
              <w:rPr>
                <w:rFonts w:eastAsia="Times New Roman"/>
                <w:sz w:val="20"/>
                <w:szCs w:val="20"/>
              </w:rPr>
            </w:pPr>
            <w:r>
              <w:rPr>
                <w:rFonts w:eastAsia="Times New Roman"/>
                <w:sz w:val="20"/>
                <w:szCs w:val="20"/>
              </w:rPr>
              <w:t>309,476</w:t>
            </w:r>
          </w:p>
        </w:tc>
        <w:tc>
          <w:tcPr>
            <w:tcW w:w="50" w:type="pct"/>
            <w:shd w:val="clear" w:color="auto" w:fill="CCEEFF"/>
            <w:vAlign w:val="bottom"/>
            <w:hideMark/>
          </w:tcPr>
          <w:p w14:paraId="3134804E" w14:textId="77777777" w:rsidR="00000000" w:rsidRDefault="00527094">
            <w:pPr>
              <w:rPr>
                <w:rFonts w:eastAsia="Times New Roman"/>
                <w:sz w:val="20"/>
                <w:szCs w:val="20"/>
              </w:rPr>
            </w:pPr>
            <w:r>
              <w:rPr>
                <w:rFonts w:eastAsia="Times New Roman"/>
                <w:sz w:val="20"/>
                <w:szCs w:val="20"/>
              </w:rPr>
              <w:t> </w:t>
            </w:r>
          </w:p>
        </w:tc>
      </w:tr>
      <w:tr w:rsidR="00000000" w14:paraId="46496941" w14:textId="77777777">
        <w:trPr>
          <w:divId w:val="1088112578"/>
          <w:tblCellSpacing w:w="0" w:type="dxa"/>
        </w:trPr>
        <w:tc>
          <w:tcPr>
            <w:tcW w:w="0" w:type="auto"/>
            <w:shd w:val="clear" w:color="auto" w:fill="FFFFFF"/>
            <w:vAlign w:val="bottom"/>
            <w:hideMark/>
          </w:tcPr>
          <w:p w14:paraId="7CB94BF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3341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11500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3742D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C953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C527A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8F5F9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27AC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3DA94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9388A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EDED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0111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2DC92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8B80F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DE5D0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A3368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6F84DF" w14:textId="77777777" w:rsidR="00000000" w:rsidRDefault="00527094">
            <w:pPr>
              <w:rPr>
                <w:rFonts w:eastAsia="Times New Roman"/>
                <w:sz w:val="20"/>
                <w:szCs w:val="20"/>
              </w:rPr>
            </w:pPr>
            <w:r>
              <w:rPr>
                <w:rFonts w:eastAsia="Times New Roman"/>
                <w:sz w:val="20"/>
                <w:szCs w:val="20"/>
              </w:rPr>
              <w:t> </w:t>
            </w:r>
          </w:p>
        </w:tc>
      </w:tr>
      <w:tr w:rsidR="00000000" w14:paraId="290B2417" w14:textId="77777777">
        <w:trPr>
          <w:divId w:val="1088112578"/>
          <w:tblCellSpacing w:w="0" w:type="dxa"/>
        </w:trPr>
        <w:tc>
          <w:tcPr>
            <w:tcW w:w="0" w:type="auto"/>
            <w:shd w:val="clear" w:color="auto" w:fill="CCEEFF"/>
            <w:vAlign w:val="bottom"/>
            <w:hideMark/>
          </w:tcPr>
          <w:p w14:paraId="0957C167" w14:textId="77777777" w:rsidR="00000000" w:rsidRDefault="00527094">
            <w:pPr>
              <w:pStyle w:val="a3"/>
              <w:spacing w:before="0" w:beforeAutospacing="0" w:after="0" w:afterAutospacing="0"/>
              <w:ind w:left="540" w:hanging="180"/>
              <w:rPr>
                <w:sz w:val="20"/>
                <w:szCs w:val="20"/>
              </w:rPr>
            </w:pPr>
            <w:r>
              <w:rPr>
                <w:sz w:val="20"/>
                <w:szCs w:val="20"/>
              </w:rPr>
              <w:t>Preferred dividends</w:t>
            </w:r>
          </w:p>
        </w:tc>
        <w:tc>
          <w:tcPr>
            <w:tcW w:w="50" w:type="pct"/>
            <w:shd w:val="clear" w:color="auto" w:fill="CCEEFF"/>
            <w:vAlign w:val="bottom"/>
            <w:hideMark/>
          </w:tcPr>
          <w:p w14:paraId="06A3374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E8C74BC"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D673740" w14:textId="77777777" w:rsidR="00000000" w:rsidRDefault="00527094">
            <w:pPr>
              <w:jc w:val="right"/>
              <w:rPr>
                <w:rFonts w:eastAsia="Times New Roman"/>
                <w:sz w:val="20"/>
                <w:szCs w:val="20"/>
              </w:rPr>
            </w:pPr>
            <w:r>
              <w:rPr>
                <w:rFonts w:eastAsia="Times New Roman"/>
                <w:sz w:val="20"/>
                <w:szCs w:val="20"/>
              </w:rPr>
              <w:t>(14,534</w:t>
            </w:r>
          </w:p>
        </w:tc>
        <w:tc>
          <w:tcPr>
            <w:tcW w:w="50" w:type="pct"/>
            <w:shd w:val="clear" w:color="auto" w:fill="CCEEFF"/>
            <w:tcMar>
              <w:top w:w="0" w:type="dxa"/>
              <w:left w:w="0" w:type="dxa"/>
              <w:bottom w:w="15" w:type="dxa"/>
              <w:right w:w="0" w:type="dxa"/>
            </w:tcMar>
            <w:vAlign w:val="bottom"/>
            <w:hideMark/>
          </w:tcPr>
          <w:p w14:paraId="6BBF5BC1"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72FDC3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22039C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95503D8" w14:textId="77777777" w:rsidR="00000000" w:rsidRDefault="00527094">
            <w:pPr>
              <w:jc w:val="right"/>
              <w:rPr>
                <w:rFonts w:eastAsia="Times New Roman"/>
                <w:sz w:val="20"/>
                <w:szCs w:val="20"/>
              </w:rPr>
            </w:pPr>
            <w:r>
              <w:rPr>
                <w:rFonts w:eastAsia="Times New Roman"/>
                <w:sz w:val="20"/>
                <w:szCs w:val="20"/>
              </w:rPr>
              <w:t>(14,534</w:t>
            </w:r>
          </w:p>
        </w:tc>
        <w:tc>
          <w:tcPr>
            <w:tcW w:w="50" w:type="pct"/>
            <w:shd w:val="clear" w:color="auto" w:fill="CCEEFF"/>
            <w:tcMar>
              <w:top w:w="0" w:type="dxa"/>
              <w:left w:w="0" w:type="dxa"/>
              <w:bottom w:w="15" w:type="dxa"/>
              <w:right w:w="0" w:type="dxa"/>
            </w:tcMar>
            <w:vAlign w:val="bottom"/>
            <w:hideMark/>
          </w:tcPr>
          <w:p w14:paraId="2D81682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886B06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22B789A"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8BE8377" w14:textId="77777777" w:rsidR="00000000" w:rsidRDefault="00527094">
            <w:pPr>
              <w:jc w:val="right"/>
              <w:rPr>
                <w:rFonts w:eastAsia="Times New Roman"/>
                <w:sz w:val="20"/>
                <w:szCs w:val="20"/>
              </w:rPr>
            </w:pPr>
            <w:r>
              <w:rPr>
                <w:rFonts w:eastAsia="Times New Roman"/>
                <w:sz w:val="20"/>
                <w:szCs w:val="20"/>
              </w:rPr>
              <w:t>(29,068</w:t>
            </w:r>
          </w:p>
        </w:tc>
        <w:tc>
          <w:tcPr>
            <w:tcW w:w="50" w:type="pct"/>
            <w:shd w:val="clear" w:color="auto" w:fill="CCEEFF"/>
            <w:tcMar>
              <w:top w:w="0" w:type="dxa"/>
              <w:left w:w="0" w:type="dxa"/>
              <w:bottom w:w="15" w:type="dxa"/>
              <w:right w:w="0" w:type="dxa"/>
            </w:tcMar>
            <w:vAlign w:val="bottom"/>
            <w:hideMark/>
          </w:tcPr>
          <w:p w14:paraId="5FC625B3"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4FA12A1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4D82A3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3D9525C" w14:textId="77777777" w:rsidR="00000000" w:rsidRDefault="00527094">
            <w:pPr>
              <w:jc w:val="right"/>
              <w:rPr>
                <w:rFonts w:eastAsia="Times New Roman"/>
                <w:sz w:val="20"/>
                <w:szCs w:val="20"/>
              </w:rPr>
            </w:pPr>
            <w:r>
              <w:rPr>
                <w:rFonts w:eastAsia="Times New Roman"/>
                <w:sz w:val="20"/>
                <w:szCs w:val="20"/>
              </w:rPr>
              <w:t>(29,123</w:t>
            </w:r>
          </w:p>
        </w:tc>
        <w:tc>
          <w:tcPr>
            <w:tcW w:w="50" w:type="pct"/>
            <w:shd w:val="clear" w:color="auto" w:fill="CCEEFF"/>
            <w:tcMar>
              <w:top w:w="0" w:type="dxa"/>
              <w:left w:w="0" w:type="dxa"/>
              <w:bottom w:w="15" w:type="dxa"/>
              <w:right w:w="0" w:type="dxa"/>
            </w:tcMar>
            <w:vAlign w:val="bottom"/>
            <w:hideMark/>
          </w:tcPr>
          <w:p w14:paraId="633951FC" w14:textId="77777777" w:rsidR="00000000" w:rsidRDefault="00527094">
            <w:pPr>
              <w:rPr>
                <w:rFonts w:eastAsia="Times New Roman"/>
                <w:sz w:val="20"/>
                <w:szCs w:val="20"/>
              </w:rPr>
            </w:pPr>
            <w:r>
              <w:rPr>
                <w:rFonts w:eastAsia="Times New Roman"/>
                <w:sz w:val="20"/>
                <w:szCs w:val="20"/>
              </w:rPr>
              <w:t>)</w:t>
            </w:r>
          </w:p>
        </w:tc>
      </w:tr>
      <w:tr w:rsidR="00000000" w14:paraId="40D052DD" w14:textId="77777777">
        <w:trPr>
          <w:divId w:val="1088112578"/>
          <w:tblCellSpacing w:w="0" w:type="dxa"/>
        </w:trPr>
        <w:tc>
          <w:tcPr>
            <w:tcW w:w="0" w:type="auto"/>
            <w:shd w:val="clear" w:color="auto" w:fill="FFFFFF"/>
            <w:vAlign w:val="bottom"/>
            <w:hideMark/>
          </w:tcPr>
          <w:p w14:paraId="2B743D4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5FAC1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A3D1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E62E1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2EB9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93F0E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8D452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2B95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AD261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9AC78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6307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DECAB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43EE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EDF8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1A77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D34CC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34B353" w14:textId="77777777" w:rsidR="00000000" w:rsidRDefault="00527094">
            <w:pPr>
              <w:rPr>
                <w:rFonts w:eastAsia="Times New Roman"/>
                <w:sz w:val="20"/>
                <w:szCs w:val="20"/>
              </w:rPr>
            </w:pPr>
            <w:r>
              <w:rPr>
                <w:rFonts w:eastAsia="Times New Roman"/>
                <w:sz w:val="20"/>
                <w:szCs w:val="20"/>
              </w:rPr>
              <w:t> </w:t>
            </w:r>
          </w:p>
        </w:tc>
      </w:tr>
      <w:tr w:rsidR="00000000" w14:paraId="10CA89A9" w14:textId="77777777">
        <w:trPr>
          <w:divId w:val="1088112578"/>
          <w:tblCellSpacing w:w="0" w:type="dxa"/>
        </w:trPr>
        <w:tc>
          <w:tcPr>
            <w:tcW w:w="0" w:type="auto"/>
            <w:shd w:val="clear" w:color="auto" w:fill="CCEEFF"/>
            <w:vAlign w:val="bottom"/>
            <w:hideMark/>
          </w:tcPr>
          <w:p w14:paraId="1307CEB7" w14:textId="77777777" w:rsidR="00000000" w:rsidRDefault="00527094">
            <w:pPr>
              <w:pStyle w:val="a3"/>
              <w:spacing w:before="0" w:beforeAutospacing="0" w:after="0" w:afterAutospacing="0"/>
              <w:ind w:left="720" w:hanging="180"/>
              <w:rPr>
                <w:sz w:val="20"/>
                <w:szCs w:val="20"/>
              </w:rPr>
            </w:pPr>
            <w:r>
              <w:rPr>
                <w:sz w:val="20"/>
                <w:szCs w:val="20"/>
              </w:rPr>
              <w:t>Net income available to the Company's common shareholders</w:t>
            </w:r>
          </w:p>
        </w:tc>
        <w:tc>
          <w:tcPr>
            <w:tcW w:w="50" w:type="pct"/>
            <w:shd w:val="clear" w:color="auto" w:fill="CCEEFF"/>
            <w:vAlign w:val="bottom"/>
            <w:hideMark/>
          </w:tcPr>
          <w:p w14:paraId="2D920192"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55315A1"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F71A84A" w14:textId="77777777" w:rsidR="00000000" w:rsidRDefault="00527094">
            <w:pPr>
              <w:jc w:val="right"/>
              <w:rPr>
                <w:rFonts w:eastAsia="Times New Roman"/>
                <w:sz w:val="20"/>
                <w:szCs w:val="20"/>
              </w:rPr>
            </w:pPr>
            <w:r>
              <w:rPr>
                <w:rFonts w:eastAsia="Times New Roman"/>
                <w:sz w:val="20"/>
                <w:szCs w:val="20"/>
              </w:rPr>
              <w:t>86,493</w:t>
            </w:r>
          </w:p>
        </w:tc>
        <w:tc>
          <w:tcPr>
            <w:tcW w:w="50" w:type="pct"/>
            <w:shd w:val="clear" w:color="auto" w:fill="CCEEFF"/>
            <w:tcMar>
              <w:top w:w="0" w:type="dxa"/>
              <w:left w:w="0" w:type="dxa"/>
              <w:bottom w:w="45" w:type="dxa"/>
              <w:right w:w="0" w:type="dxa"/>
            </w:tcMar>
            <w:vAlign w:val="bottom"/>
            <w:hideMark/>
          </w:tcPr>
          <w:p w14:paraId="765200D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F614FD"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58FF743"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F0DBEE0" w14:textId="77777777" w:rsidR="00000000" w:rsidRDefault="00527094">
            <w:pPr>
              <w:jc w:val="right"/>
              <w:rPr>
                <w:rFonts w:eastAsia="Times New Roman"/>
                <w:sz w:val="20"/>
                <w:szCs w:val="20"/>
              </w:rPr>
            </w:pPr>
            <w:r>
              <w:rPr>
                <w:rFonts w:eastAsia="Times New Roman"/>
                <w:sz w:val="20"/>
                <w:szCs w:val="20"/>
              </w:rPr>
              <w:t>150,852</w:t>
            </w:r>
          </w:p>
        </w:tc>
        <w:tc>
          <w:tcPr>
            <w:tcW w:w="50" w:type="pct"/>
            <w:shd w:val="clear" w:color="auto" w:fill="CCEEFF"/>
            <w:tcMar>
              <w:top w:w="0" w:type="dxa"/>
              <w:left w:w="0" w:type="dxa"/>
              <w:bottom w:w="45" w:type="dxa"/>
              <w:right w:w="0" w:type="dxa"/>
            </w:tcMar>
            <w:vAlign w:val="bottom"/>
            <w:hideMark/>
          </w:tcPr>
          <w:p w14:paraId="3D6062D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BC357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05CA10E"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C9B42BE" w14:textId="77777777" w:rsidR="00000000" w:rsidRDefault="00527094">
            <w:pPr>
              <w:jc w:val="right"/>
              <w:rPr>
                <w:rFonts w:eastAsia="Times New Roman"/>
                <w:sz w:val="20"/>
                <w:szCs w:val="20"/>
              </w:rPr>
            </w:pPr>
            <w:r>
              <w:rPr>
                <w:rFonts w:eastAsia="Times New Roman"/>
                <w:sz w:val="20"/>
                <w:szCs w:val="20"/>
              </w:rPr>
              <w:t>188,128</w:t>
            </w:r>
          </w:p>
        </w:tc>
        <w:tc>
          <w:tcPr>
            <w:tcW w:w="50" w:type="pct"/>
            <w:shd w:val="clear" w:color="auto" w:fill="CCEEFF"/>
            <w:tcMar>
              <w:top w:w="0" w:type="dxa"/>
              <w:left w:w="0" w:type="dxa"/>
              <w:bottom w:w="45" w:type="dxa"/>
              <w:right w:w="0" w:type="dxa"/>
            </w:tcMar>
            <w:vAlign w:val="bottom"/>
            <w:hideMark/>
          </w:tcPr>
          <w:p w14:paraId="7B5C56C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78FAE3"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C3DA91C"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48D7E6C" w14:textId="77777777" w:rsidR="00000000" w:rsidRDefault="00527094">
            <w:pPr>
              <w:jc w:val="right"/>
              <w:rPr>
                <w:rFonts w:eastAsia="Times New Roman"/>
                <w:sz w:val="20"/>
                <w:szCs w:val="20"/>
              </w:rPr>
            </w:pPr>
            <w:r>
              <w:rPr>
                <w:rFonts w:eastAsia="Times New Roman"/>
                <w:sz w:val="20"/>
                <w:szCs w:val="20"/>
              </w:rPr>
              <w:t>280,353</w:t>
            </w:r>
          </w:p>
        </w:tc>
        <w:tc>
          <w:tcPr>
            <w:tcW w:w="50" w:type="pct"/>
            <w:shd w:val="clear" w:color="auto" w:fill="CCEEFF"/>
            <w:tcMar>
              <w:top w:w="0" w:type="dxa"/>
              <w:left w:w="0" w:type="dxa"/>
              <w:bottom w:w="45" w:type="dxa"/>
              <w:right w:w="0" w:type="dxa"/>
            </w:tcMar>
            <w:vAlign w:val="bottom"/>
            <w:hideMark/>
          </w:tcPr>
          <w:p w14:paraId="0337DA9E" w14:textId="77777777" w:rsidR="00000000" w:rsidRDefault="00527094">
            <w:pPr>
              <w:rPr>
                <w:rFonts w:eastAsia="Times New Roman"/>
                <w:sz w:val="20"/>
                <w:szCs w:val="20"/>
              </w:rPr>
            </w:pPr>
            <w:r>
              <w:rPr>
                <w:rFonts w:eastAsia="Times New Roman"/>
                <w:sz w:val="20"/>
                <w:szCs w:val="20"/>
              </w:rPr>
              <w:t> </w:t>
            </w:r>
          </w:p>
        </w:tc>
      </w:tr>
      <w:tr w:rsidR="00000000" w14:paraId="4390CC55" w14:textId="77777777">
        <w:trPr>
          <w:divId w:val="1088112578"/>
          <w:tblCellSpacing w:w="0" w:type="dxa"/>
        </w:trPr>
        <w:tc>
          <w:tcPr>
            <w:tcW w:w="0" w:type="auto"/>
            <w:shd w:val="clear" w:color="auto" w:fill="FFFFFF"/>
            <w:vAlign w:val="bottom"/>
            <w:hideMark/>
          </w:tcPr>
          <w:p w14:paraId="450FDCF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9C753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9095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7D99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4772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3B536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FB808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7E299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0E2CF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DFF90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1D16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AAE49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10209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C003D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15DE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B286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28C815" w14:textId="77777777" w:rsidR="00000000" w:rsidRDefault="00527094">
            <w:pPr>
              <w:rPr>
                <w:rFonts w:eastAsia="Times New Roman"/>
                <w:sz w:val="20"/>
                <w:szCs w:val="20"/>
              </w:rPr>
            </w:pPr>
            <w:r>
              <w:rPr>
                <w:rFonts w:eastAsia="Times New Roman"/>
                <w:sz w:val="20"/>
                <w:szCs w:val="20"/>
              </w:rPr>
              <w:t> </w:t>
            </w:r>
          </w:p>
        </w:tc>
      </w:tr>
      <w:tr w:rsidR="00000000" w14:paraId="69300D91" w14:textId="77777777">
        <w:trPr>
          <w:divId w:val="1088112578"/>
          <w:tblCellSpacing w:w="0" w:type="dxa"/>
        </w:trPr>
        <w:tc>
          <w:tcPr>
            <w:tcW w:w="0" w:type="auto"/>
            <w:shd w:val="clear" w:color="auto" w:fill="CCEEFF"/>
            <w:vAlign w:val="bottom"/>
            <w:hideMark/>
          </w:tcPr>
          <w:p w14:paraId="24FBB8B7" w14:textId="77777777" w:rsidR="00000000" w:rsidRDefault="00527094">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14:paraId="67EA042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ECE9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38896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FC8C7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A471D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B1089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2A85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2139F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B9BE8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010C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21395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A10F7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DB8B7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83484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7932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55C33F" w14:textId="77777777" w:rsidR="00000000" w:rsidRDefault="00527094">
            <w:pPr>
              <w:rPr>
                <w:rFonts w:eastAsia="Times New Roman"/>
                <w:sz w:val="20"/>
                <w:szCs w:val="20"/>
              </w:rPr>
            </w:pPr>
            <w:r>
              <w:rPr>
                <w:rFonts w:eastAsia="Times New Roman"/>
                <w:sz w:val="20"/>
                <w:szCs w:val="20"/>
              </w:rPr>
              <w:t> </w:t>
            </w:r>
          </w:p>
        </w:tc>
      </w:tr>
      <w:tr w:rsidR="00000000" w14:paraId="38BC1CE1" w14:textId="77777777">
        <w:trPr>
          <w:divId w:val="1088112578"/>
          <w:tblCellSpacing w:w="0" w:type="dxa"/>
        </w:trPr>
        <w:tc>
          <w:tcPr>
            <w:tcW w:w="0" w:type="auto"/>
            <w:shd w:val="clear" w:color="auto" w:fill="FFFFFF"/>
            <w:vAlign w:val="bottom"/>
            <w:hideMark/>
          </w:tcPr>
          <w:p w14:paraId="73857107" w14:textId="77777777" w:rsidR="00000000" w:rsidRDefault="00527094">
            <w:pPr>
              <w:pStyle w:val="a3"/>
              <w:spacing w:before="0" w:beforeAutospacing="0" w:after="0" w:afterAutospacing="0"/>
              <w:ind w:left="540" w:hanging="180"/>
              <w:rPr>
                <w:sz w:val="20"/>
                <w:szCs w:val="20"/>
              </w:rPr>
            </w:pPr>
            <w:r>
              <w:rPr>
                <w:sz w:val="20"/>
                <w:szCs w:val="20"/>
              </w:rPr>
              <w:t>Net income available to the Company:</w:t>
            </w:r>
          </w:p>
        </w:tc>
        <w:tc>
          <w:tcPr>
            <w:tcW w:w="0" w:type="auto"/>
            <w:shd w:val="clear" w:color="auto" w:fill="FFFFFF"/>
            <w:vAlign w:val="bottom"/>
            <w:hideMark/>
          </w:tcPr>
          <w:p w14:paraId="614E155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94EDB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6F5F4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A7785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C189E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5833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17DCA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9B0D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80FED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BD71C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C363F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DEF82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3194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4DB79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8842C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76342B" w14:textId="77777777" w:rsidR="00000000" w:rsidRDefault="00527094">
            <w:pPr>
              <w:rPr>
                <w:rFonts w:eastAsia="Times New Roman"/>
                <w:sz w:val="20"/>
                <w:szCs w:val="20"/>
              </w:rPr>
            </w:pPr>
            <w:r>
              <w:rPr>
                <w:rFonts w:eastAsia="Times New Roman"/>
                <w:sz w:val="20"/>
                <w:szCs w:val="20"/>
              </w:rPr>
              <w:t> </w:t>
            </w:r>
          </w:p>
        </w:tc>
      </w:tr>
      <w:tr w:rsidR="00000000" w14:paraId="0ED484E3" w14:textId="77777777">
        <w:trPr>
          <w:divId w:val="1088112578"/>
          <w:tblCellSpacing w:w="0" w:type="dxa"/>
        </w:trPr>
        <w:tc>
          <w:tcPr>
            <w:tcW w:w="0" w:type="auto"/>
            <w:shd w:val="clear" w:color="auto" w:fill="CCEEFF"/>
            <w:vAlign w:val="bottom"/>
            <w:hideMark/>
          </w:tcPr>
          <w:p w14:paraId="23ACB39D" w14:textId="77777777" w:rsidR="00000000" w:rsidRDefault="00527094">
            <w:pPr>
              <w:pStyle w:val="a3"/>
              <w:spacing w:before="0" w:beforeAutospacing="0" w:after="0" w:afterAutospacing="0"/>
              <w:ind w:left="720" w:hanging="180"/>
              <w:rPr>
                <w:sz w:val="20"/>
                <w:szCs w:val="20"/>
              </w:rPr>
            </w:pPr>
            <w:r>
              <w:rPr>
                <w:sz w:val="20"/>
                <w:szCs w:val="20"/>
              </w:rPr>
              <w:t>-Basic</w:t>
            </w:r>
          </w:p>
        </w:tc>
        <w:tc>
          <w:tcPr>
            <w:tcW w:w="50" w:type="pct"/>
            <w:shd w:val="clear" w:color="auto" w:fill="CCEEFF"/>
            <w:vAlign w:val="bottom"/>
            <w:hideMark/>
          </w:tcPr>
          <w:p w14:paraId="337359A4"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B42A69E"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6FEE485" w14:textId="77777777" w:rsidR="00000000" w:rsidRDefault="00527094">
            <w:pPr>
              <w:jc w:val="right"/>
              <w:rPr>
                <w:rFonts w:eastAsia="Times New Roman"/>
                <w:sz w:val="20"/>
                <w:szCs w:val="20"/>
              </w:rPr>
            </w:pPr>
            <w:r>
              <w:rPr>
                <w:rFonts w:eastAsia="Times New Roman"/>
                <w:sz w:val="20"/>
                <w:szCs w:val="20"/>
              </w:rPr>
              <w:t>0.20</w:t>
            </w:r>
          </w:p>
        </w:tc>
        <w:tc>
          <w:tcPr>
            <w:tcW w:w="50" w:type="pct"/>
            <w:shd w:val="clear" w:color="auto" w:fill="CCEEFF"/>
            <w:tcMar>
              <w:top w:w="0" w:type="dxa"/>
              <w:left w:w="0" w:type="dxa"/>
              <w:bottom w:w="45" w:type="dxa"/>
              <w:right w:w="0" w:type="dxa"/>
            </w:tcMar>
            <w:vAlign w:val="bottom"/>
            <w:hideMark/>
          </w:tcPr>
          <w:p w14:paraId="2B91BC8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FA446A"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C1F40EA"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60A49DF"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CCEEFF"/>
            <w:tcMar>
              <w:top w:w="0" w:type="dxa"/>
              <w:left w:w="0" w:type="dxa"/>
              <w:bottom w:w="45" w:type="dxa"/>
              <w:right w:w="0" w:type="dxa"/>
            </w:tcMar>
            <w:vAlign w:val="bottom"/>
            <w:hideMark/>
          </w:tcPr>
          <w:p w14:paraId="53C0A30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3B84D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664B7AD"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0E733D4" w14:textId="77777777" w:rsidR="00000000" w:rsidRDefault="00527094">
            <w:pPr>
              <w:jc w:val="right"/>
              <w:rPr>
                <w:rFonts w:eastAsia="Times New Roman"/>
                <w:sz w:val="20"/>
                <w:szCs w:val="20"/>
              </w:rPr>
            </w:pPr>
            <w:r>
              <w:rPr>
                <w:rFonts w:eastAsia="Times New Roman"/>
                <w:sz w:val="20"/>
                <w:szCs w:val="20"/>
              </w:rPr>
              <w:t>0.45</w:t>
            </w:r>
          </w:p>
        </w:tc>
        <w:tc>
          <w:tcPr>
            <w:tcW w:w="50" w:type="pct"/>
            <w:shd w:val="clear" w:color="auto" w:fill="CCEEFF"/>
            <w:tcMar>
              <w:top w:w="0" w:type="dxa"/>
              <w:left w:w="0" w:type="dxa"/>
              <w:bottom w:w="45" w:type="dxa"/>
              <w:right w:w="0" w:type="dxa"/>
            </w:tcMar>
            <w:vAlign w:val="bottom"/>
            <w:hideMark/>
          </w:tcPr>
          <w:p w14:paraId="40BC068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538A4B"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7ED19FE"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E0AE856" w14:textId="77777777" w:rsidR="00000000" w:rsidRDefault="00527094">
            <w:pPr>
              <w:jc w:val="right"/>
              <w:rPr>
                <w:rFonts w:eastAsia="Times New Roman"/>
                <w:sz w:val="20"/>
                <w:szCs w:val="20"/>
              </w:rPr>
            </w:pPr>
            <w:r>
              <w:rPr>
                <w:rFonts w:eastAsia="Times New Roman"/>
                <w:sz w:val="20"/>
                <w:szCs w:val="20"/>
              </w:rPr>
              <w:t>0.66</w:t>
            </w:r>
          </w:p>
        </w:tc>
        <w:tc>
          <w:tcPr>
            <w:tcW w:w="50" w:type="pct"/>
            <w:shd w:val="clear" w:color="auto" w:fill="CCEEFF"/>
            <w:tcMar>
              <w:top w:w="0" w:type="dxa"/>
              <w:left w:w="0" w:type="dxa"/>
              <w:bottom w:w="45" w:type="dxa"/>
              <w:right w:w="0" w:type="dxa"/>
            </w:tcMar>
            <w:vAlign w:val="bottom"/>
            <w:hideMark/>
          </w:tcPr>
          <w:p w14:paraId="737FF485" w14:textId="77777777" w:rsidR="00000000" w:rsidRDefault="00527094">
            <w:pPr>
              <w:rPr>
                <w:rFonts w:eastAsia="Times New Roman"/>
                <w:sz w:val="20"/>
                <w:szCs w:val="20"/>
              </w:rPr>
            </w:pPr>
            <w:r>
              <w:rPr>
                <w:rFonts w:eastAsia="Times New Roman"/>
                <w:sz w:val="20"/>
                <w:szCs w:val="20"/>
              </w:rPr>
              <w:t> </w:t>
            </w:r>
          </w:p>
        </w:tc>
      </w:tr>
      <w:tr w:rsidR="00000000" w14:paraId="05F22690" w14:textId="77777777">
        <w:trPr>
          <w:divId w:val="1088112578"/>
          <w:tblCellSpacing w:w="0" w:type="dxa"/>
        </w:trPr>
        <w:tc>
          <w:tcPr>
            <w:tcW w:w="0" w:type="auto"/>
            <w:shd w:val="clear" w:color="auto" w:fill="FFFFFF"/>
            <w:vAlign w:val="bottom"/>
            <w:hideMark/>
          </w:tcPr>
          <w:p w14:paraId="09FAA19B" w14:textId="77777777" w:rsidR="00000000" w:rsidRDefault="00527094">
            <w:pPr>
              <w:pStyle w:val="a3"/>
              <w:spacing w:before="0" w:beforeAutospacing="0" w:after="0" w:afterAutospacing="0"/>
              <w:ind w:left="720" w:hanging="180"/>
              <w:rPr>
                <w:sz w:val="20"/>
                <w:szCs w:val="20"/>
              </w:rPr>
            </w:pPr>
            <w:r>
              <w:rPr>
                <w:sz w:val="20"/>
                <w:szCs w:val="20"/>
              </w:rPr>
              <w:t>-Diluted</w:t>
            </w:r>
          </w:p>
        </w:tc>
        <w:tc>
          <w:tcPr>
            <w:tcW w:w="50" w:type="pct"/>
            <w:shd w:val="clear" w:color="auto" w:fill="FFFFFF"/>
            <w:vAlign w:val="bottom"/>
            <w:hideMark/>
          </w:tcPr>
          <w:p w14:paraId="6F16601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870652F"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AE6A367" w14:textId="77777777" w:rsidR="00000000" w:rsidRDefault="00527094">
            <w:pPr>
              <w:jc w:val="right"/>
              <w:rPr>
                <w:rFonts w:eastAsia="Times New Roman"/>
                <w:sz w:val="20"/>
                <w:szCs w:val="20"/>
              </w:rPr>
            </w:pPr>
            <w:r>
              <w:rPr>
                <w:rFonts w:eastAsia="Times New Roman"/>
                <w:sz w:val="20"/>
                <w:szCs w:val="20"/>
              </w:rPr>
              <w:t>0.20</w:t>
            </w:r>
          </w:p>
        </w:tc>
        <w:tc>
          <w:tcPr>
            <w:tcW w:w="50" w:type="pct"/>
            <w:shd w:val="clear" w:color="auto" w:fill="FFFFFF"/>
            <w:tcMar>
              <w:top w:w="0" w:type="dxa"/>
              <w:left w:w="0" w:type="dxa"/>
              <w:bottom w:w="45" w:type="dxa"/>
              <w:right w:w="0" w:type="dxa"/>
            </w:tcMar>
            <w:vAlign w:val="bottom"/>
            <w:hideMark/>
          </w:tcPr>
          <w:p w14:paraId="1D176C6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A677E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B535DAB"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83D4728"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FFFFFF"/>
            <w:tcMar>
              <w:top w:w="0" w:type="dxa"/>
              <w:left w:w="0" w:type="dxa"/>
              <w:bottom w:w="45" w:type="dxa"/>
              <w:right w:w="0" w:type="dxa"/>
            </w:tcMar>
            <w:vAlign w:val="bottom"/>
            <w:hideMark/>
          </w:tcPr>
          <w:p w14:paraId="51DFA1C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4EE7E7"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D2345C2"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D381032" w14:textId="77777777" w:rsidR="00000000" w:rsidRDefault="00527094">
            <w:pPr>
              <w:jc w:val="right"/>
              <w:rPr>
                <w:rFonts w:eastAsia="Times New Roman"/>
                <w:sz w:val="20"/>
                <w:szCs w:val="20"/>
              </w:rPr>
            </w:pPr>
            <w:r>
              <w:rPr>
                <w:rFonts w:eastAsia="Times New Roman"/>
                <w:sz w:val="20"/>
                <w:szCs w:val="20"/>
              </w:rPr>
              <w:t>0.44</w:t>
            </w:r>
          </w:p>
        </w:tc>
        <w:tc>
          <w:tcPr>
            <w:tcW w:w="50" w:type="pct"/>
            <w:shd w:val="clear" w:color="auto" w:fill="FFFFFF"/>
            <w:tcMar>
              <w:top w:w="0" w:type="dxa"/>
              <w:left w:w="0" w:type="dxa"/>
              <w:bottom w:w="45" w:type="dxa"/>
              <w:right w:w="0" w:type="dxa"/>
            </w:tcMar>
            <w:vAlign w:val="bottom"/>
            <w:hideMark/>
          </w:tcPr>
          <w:p w14:paraId="6AD23D9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915AD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957B31E"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47F4FC7" w14:textId="77777777" w:rsidR="00000000" w:rsidRDefault="00527094">
            <w:pPr>
              <w:jc w:val="right"/>
              <w:rPr>
                <w:rFonts w:eastAsia="Times New Roman"/>
                <w:sz w:val="20"/>
                <w:szCs w:val="20"/>
              </w:rPr>
            </w:pPr>
            <w:r>
              <w:rPr>
                <w:rFonts w:eastAsia="Times New Roman"/>
                <w:sz w:val="20"/>
                <w:szCs w:val="20"/>
              </w:rPr>
              <w:t>0.66</w:t>
            </w:r>
          </w:p>
        </w:tc>
        <w:tc>
          <w:tcPr>
            <w:tcW w:w="50" w:type="pct"/>
            <w:shd w:val="clear" w:color="auto" w:fill="FFFFFF"/>
            <w:tcMar>
              <w:top w:w="0" w:type="dxa"/>
              <w:left w:w="0" w:type="dxa"/>
              <w:bottom w:w="45" w:type="dxa"/>
              <w:right w:w="0" w:type="dxa"/>
            </w:tcMar>
            <w:vAlign w:val="bottom"/>
            <w:hideMark/>
          </w:tcPr>
          <w:p w14:paraId="632462E0" w14:textId="77777777" w:rsidR="00000000" w:rsidRDefault="00527094">
            <w:pPr>
              <w:rPr>
                <w:rFonts w:eastAsia="Times New Roman"/>
                <w:sz w:val="20"/>
                <w:szCs w:val="20"/>
              </w:rPr>
            </w:pPr>
            <w:r>
              <w:rPr>
                <w:rFonts w:eastAsia="Times New Roman"/>
                <w:sz w:val="20"/>
                <w:szCs w:val="20"/>
              </w:rPr>
              <w:t> </w:t>
            </w:r>
          </w:p>
        </w:tc>
      </w:tr>
      <w:tr w:rsidR="00000000" w14:paraId="340415FE" w14:textId="77777777">
        <w:trPr>
          <w:divId w:val="1088112578"/>
          <w:tblCellSpacing w:w="0" w:type="dxa"/>
        </w:trPr>
        <w:tc>
          <w:tcPr>
            <w:tcW w:w="0" w:type="auto"/>
            <w:shd w:val="clear" w:color="auto" w:fill="CCEEFF"/>
            <w:vAlign w:val="bottom"/>
            <w:hideMark/>
          </w:tcPr>
          <w:p w14:paraId="35BE071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23516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F6B7E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FA10C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637A4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73F5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62AD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6A7C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FCC0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62BB4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7560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6B3B9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D9871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204D8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B1B8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6B913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AF956B" w14:textId="77777777" w:rsidR="00000000" w:rsidRDefault="00527094">
            <w:pPr>
              <w:rPr>
                <w:rFonts w:eastAsia="Times New Roman"/>
                <w:sz w:val="20"/>
                <w:szCs w:val="20"/>
              </w:rPr>
            </w:pPr>
            <w:r>
              <w:rPr>
                <w:rFonts w:eastAsia="Times New Roman"/>
                <w:sz w:val="20"/>
                <w:szCs w:val="20"/>
              </w:rPr>
              <w:t> </w:t>
            </w:r>
          </w:p>
        </w:tc>
      </w:tr>
      <w:tr w:rsidR="00000000" w14:paraId="30B47010" w14:textId="77777777">
        <w:trPr>
          <w:divId w:val="1088112578"/>
          <w:tblCellSpacing w:w="0" w:type="dxa"/>
        </w:trPr>
        <w:tc>
          <w:tcPr>
            <w:tcW w:w="0" w:type="auto"/>
            <w:shd w:val="clear" w:color="auto" w:fill="FFFFFF"/>
            <w:vAlign w:val="bottom"/>
            <w:hideMark/>
          </w:tcPr>
          <w:p w14:paraId="1BCC8F3C" w14:textId="77777777" w:rsidR="00000000" w:rsidRDefault="00527094">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14:paraId="119FC21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5EFA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26D65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8D1A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06AB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5A769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83B08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9188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CF67F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D5001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07D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9E4FB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65F70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C29A9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B06A0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0F8C4" w14:textId="77777777" w:rsidR="00000000" w:rsidRDefault="00527094">
            <w:pPr>
              <w:rPr>
                <w:rFonts w:eastAsia="Times New Roman"/>
                <w:sz w:val="20"/>
                <w:szCs w:val="20"/>
              </w:rPr>
            </w:pPr>
            <w:r>
              <w:rPr>
                <w:rFonts w:eastAsia="Times New Roman"/>
                <w:sz w:val="20"/>
                <w:szCs w:val="20"/>
              </w:rPr>
              <w:t> </w:t>
            </w:r>
          </w:p>
        </w:tc>
      </w:tr>
      <w:tr w:rsidR="00000000" w14:paraId="47700B14" w14:textId="77777777">
        <w:trPr>
          <w:divId w:val="1088112578"/>
          <w:tblCellSpacing w:w="0" w:type="dxa"/>
        </w:trPr>
        <w:tc>
          <w:tcPr>
            <w:tcW w:w="0" w:type="auto"/>
            <w:shd w:val="clear" w:color="auto" w:fill="CCEEFF"/>
            <w:vAlign w:val="bottom"/>
            <w:hideMark/>
          </w:tcPr>
          <w:p w14:paraId="153BEF34" w14:textId="77777777" w:rsidR="00000000" w:rsidRDefault="00527094">
            <w:pPr>
              <w:pStyle w:val="a3"/>
              <w:spacing w:before="0" w:beforeAutospacing="0" w:after="0" w:afterAutospacing="0"/>
              <w:ind w:left="720" w:hanging="180"/>
              <w:rPr>
                <w:sz w:val="20"/>
                <w:szCs w:val="20"/>
              </w:rPr>
            </w:pPr>
            <w:r>
              <w:rPr>
                <w:sz w:val="20"/>
                <w:szCs w:val="20"/>
              </w:rPr>
              <w:t>-Basic</w:t>
            </w:r>
          </w:p>
        </w:tc>
        <w:tc>
          <w:tcPr>
            <w:tcW w:w="50" w:type="pct"/>
            <w:shd w:val="clear" w:color="auto" w:fill="CCEEFF"/>
            <w:vAlign w:val="bottom"/>
            <w:hideMark/>
          </w:tcPr>
          <w:p w14:paraId="37546C1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CC486A7"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5A6E80A5" w14:textId="77777777" w:rsidR="00000000" w:rsidRDefault="00527094">
            <w:pPr>
              <w:jc w:val="right"/>
              <w:rPr>
                <w:rFonts w:eastAsia="Times New Roman"/>
                <w:sz w:val="20"/>
                <w:szCs w:val="20"/>
              </w:rPr>
            </w:pPr>
            <w:r>
              <w:rPr>
                <w:rFonts w:eastAsia="Times New Roman"/>
                <w:sz w:val="20"/>
                <w:szCs w:val="20"/>
              </w:rPr>
              <w:t>419,697</w:t>
            </w:r>
          </w:p>
        </w:tc>
        <w:tc>
          <w:tcPr>
            <w:tcW w:w="50" w:type="pct"/>
            <w:shd w:val="clear" w:color="auto" w:fill="CCEEFF"/>
            <w:tcMar>
              <w:top w:w="0" w:type="dxa"/>
              <w:left w:w="0" w:type="dxa"/>
              <w:bottom w:w="45" w:type="dxa"/>
              <w:right w:w="0" w:type="dxa"/>
            </w:tcMar>
            <w:vAlign w:val="bottom"/>
            <w:hideMark/>
          </w:tcPr>
          <w:p w14:paraId="5C4A1AD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F3E52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4AB9EA1"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66F15190" w14:textId="77777777" w:rsidR="00000000" w:rsidRDefault="00527094">
            <w:pPr>
              <w:jc w:val="right"/>
              <w:rPr>
                <w:rFonts w:eastAsia="Times New Roman"/>
                <w:sz w:val="20"/>
                <w:szCs w:val="20"/>
              </w:rPr>
            </w:pPr>
            <w:r>
              <w:rPr>
                <w:rFonts w:eastAsia="Times New Roman"/>
                <w:sz w:val="20"/>
                <w:szCs w:val="20"/>
              </w:rPr>
              <w:t>420,731</w:t>
            </w:r>
          </w:p>
        </w:tc>
        <w:tc>
          <w:tcPr>
            <w:tcW w:w="50" w:type="pct"/>
            <w:shd w:val="clear" w:color="auto" w:fill="CCEEFF"/>
            <w:tcMar>
              <w:top w:w="0" w:type="dxa"/>
              <w:left w:w="0" w:type="dxa"/>
              <w:bottom w:w="45" w:type="dxa"/>
              <w:right w:w="0" w:type="dxa"/>
            </w:tcMar>
            <w:vAlign w:val="bottom"/>
            <w:hideMark/>
          </w:tcPr>
          <w:p w14:paraId="52D301A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F3B65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7A8054C"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43E00395" w14:textId="77777777" w:rsidR="00000000" w:rsidRDefault="00527094">
            <w:pPr>
              <w:jc w:val="right"/>
              <w:rPr>
                <w:rFonts w:eastAsia="Times New Roman"/>
                <w:sz w:val="20"/>
                <w:szCs w:val="20"/>
              </w:rPr>
            </w:pPr>
            <w:r>
              <w:rPr>
                <w:rFonts w:eastAsia="Times New Roman"/>
                <w:sz w:val="20"/>
                <w:szCs w:val="20"/>
              </w:rPr>
              <w:t>419,581</w:t>
            </w:r>
          </w:p>
        </w:tc>
        <w:tc>
          <w:tcPr>
            <w:tcW w:w="50" w:type="pct"/>
            <w:shd w:val="clear" w:color="auto" w:fill="CCEEFF"/>
            <w:tcMar>
              <w:top w:w="0" w:type="dxa"/>
              <w:left w:w="0" w:type="dxa"/>
              <w:bottom w:w="45" w:type="dxa"/>
              <w:right w:w="0" w:type="dxa"/>
            </w:tcMar>
            <w:vAlign w:val="bottom"/>
            <w:hideMark/>
          </w:tcPr>
          <w:p w14:paraId="03F6563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55D20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366EE72"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3ED66315" w14:textId="77777777" w:rsidR="00000000" w:rsidRDefault="00527094">
            <w:pPr>
              <w:jc w:val="right"/>
              <w:rPr>
                <w:rFonts w:eastAsia="Times New Roman"/>
                <w:sz w:val="20"/>
                <w:szCs w:val="20"/>
              </w:rPr>
            </w:pPr>
            <w:r>
              <w:rPr>
                <w:rFonts w:eastAsia="Times New Roman"/>
                <w:sz w:val="20"/>
                <w:szCs w:val="20"/>
              </w:rPr>
              <w:t>422,060</w:t>
            </w:r>
          </w:p>
        </w:tc>
        <w:tc>
          <w:tcPr>
            <w:tcW w:w="50" w:type="pct"/>
            <w:shd w:val="clear" w:color="auto" w:fill="CCEEFF"/>
            <w:tcMar>
              <w:top w:w="0" w:type="dxa"/>
              <w:left w:w="0" w:type="dxa"/>
              <w:bottom w:w="45" w:type="dxa"/>
              <w:right w:w="0" w:type="dxa"/>
            </w:tcMar>
            <w:vAlign w:val="bottom"/>
            <w:hideMark/>
          </w:tcPr>
          <w:p w14:paraId="41A3E409" w14:textId="77777777" w:rsidR="00000000" w:rsidRDefault="00527094">
            <w:pPr>
              <w:rPr>
                <w:rFonts w:eastAsia="Times New Roman"/>
                <w:sz w:val="20"/>
                <w:szCs w:val="20"/>
              </w:rPr>
            </w:pPr>
            <w:r>
              <w:rPr>
                <w:rFonts w:eastAsia="Times New Roman"/>
                <w:sz w:val="20"/>
                <w:szCs w:val="20"/>
              </w:rPr>
              <w:t> </w:t>
            </w:r>
          </w:p>
        </w:tc>
      </w:tr>
      <w:tr w:rsidR="00000000" w14:paraId="2E68FECA" w14:textId="77777777">
        <w:trPr>
          <w:divId w:val="1088112578"/>
          <w:tblCellSpacing w:w="0" w:type="dxa"/>
        </w:trPr>
        <w:tc>
          <w:tcPr>
            <w:tcW w:w="0" w:type="auto"/>
            <w:shd w:val="clear" w:color="auto" w:fill="FFFFFF"/>
            <w:vAlign w:val="bottom"/>
            <w:hideMark/>
          </w:tcPr>
          <w:p w14:paraId="3065E7FE" w14:textId="77777777" w:rsidR="00000000" w:rsidRDefault="00527094">
            <w:pPr>
              <w:pStyle w:val="a3"/>
              <w:spacing w:before="0" w:beforeAutospacing="0" w:after="0" w:afterAutospacing="0"/>
              <w:ind w:left="720" w:hanging="180"/>
              <w:rPr>
                <w:sz w:val="20"/>
                <w:szCs w:val="20"/>
              </w:rPr>
            </w:pPr>
            <w:r>
              <w:rPr>
                <w:sz w:val="20"/>
                <w:szCs w:val="20"/>
              </w:rPr>
              <w:t>-Diluted</w:t>
            </w:r>
          </w:p>
        </w:tc>
        <w:tc>
          <w:tcPr>
            <w:tcW w:w="50" w:type="pct"/>
            <w:shd w:val="clear" w:color="auto" w:fill="FFFFFF"/>
            <w:vAlign w:val="bottom"/>
            <w:hideMark/>
          </w:tcPr>
          <w:p w14:paraId="5081BA1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BCBD9E5"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7672F71C" w14:textId="77777777" w:rsidR="00000000" w:rsidRDefault="00527094">
            <w:pPr>
              <w:jc w:val="right"/>
              <w:rPr>
                <w:rFonts w:eastAsia="Times New Roman"/>
                <w:sz w:val="20"/>
                <w:szCs w:val="20"/>
              </w:rPr>
            </w:pPr>
            <w:r>
              <w:rPr>
                <w:rFonts w:eastAsia="Times New Roman"/>
                <w:sz w:val="20"/>
                <w:szCs w:val="20"/>
              </w:rPr>
              <w:t>420,646</w:t>
            </w:r>
          </w:p>
        </w:tc>
        <w:tc>
          <w:tcPr>
            <w:tcW w:w="50" w:type="pct"/>
            <w:shd w:val="clear" w:color="auto" w:fill="FFFFFF"/>
            <w:tcMar>
              <w:top w:w="0" w:type="dxa"/>
              <w:left w:w="0" w:type="dxa"/>
              <w:bottom w:w="45" w:type="dxa"/>
              <w:right w:w="0" w:type="dxa"/>
            </w:tcMar>
            <w:vAlign w:val="bottom"/>
            <w:hideMark/>
          </w:tcPr>
          <w:p w14:paraId="337EF3F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62423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C94137F"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37BCDA36" w14:textId="77777777" w:rsidR="00000000" w:rsidRDefault="00527094">
            <w:pPr>
              <w:jc w:val="right"/>
              <w:rPr>
                <w:rFonts w:eastAsia="Times New Roman"/>
                <w:sz w:val="20"/>
                <w:szCs w:val="20"/>
              </w:rPr>
            </w:pPr>
            <w:r>
              <w:rPr>
                <w:rFonts w:eastAsia="Times New Roman"/>
                <w:sz w:val="20"/>
                <w:szCs w:val="20"/>
              </w:rPr>
              <w:t>421,928</w:t>
            </w:r>
          </w:p>
        </w:tc>
        <w:tc>
          <w:tcPr>
            <w:tcW w:w="50" w:type="pct"/>
            <w:shd w:val="clear" w:color="auto" w:fill="FFFFFF"/>
            <w:tcMar>
              <w:top w:w="0" w:type="dxa"/>
              <w:left w:w="0" w:type="dxa"/>
              <w:bottom w:w="45" w:type="dxa"/>
              <w:right w:w="0" w:type="dxa"/>
            </w:tcMar>
            <w:vAlign w:val="bottom"/>
            <w:hideMark/>
          </w:tcPr>
          <w:p w14:paraId="630C12B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380E04"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E7E871F"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171277AC" w14:textId="77777777" w:rsidR="00000000" w:rsidRDefault="00527094">
            <w:pPr>
              <w:jc w:val="right"/>
              <w:rPr>
                <w:rFonts w:eastAsia="Times New Roman"/>
                <w:sz w:val="20"/>
                <w:szCs w:val="20"/>
              </w:rPr>
            </w:pPr>
            <w:r>
              <w:rPr>
                <w:rFonts w:eastAsia="Times New Roman"/>
                <w:sz w:val="20"/>
                <w:szCs w:val="20"/>
              </w:rPr>
              <w:t>420,798</w:t>
            </w:r>
          </w:p>
        </w:tc>
        <w:tc>
          <w:tcPr>
            <w:tcW w:w="50" w:type="pct"/>
            <w:shd w:val="clear" w:color="auto" w:fill="FFFFFF"/>
            <w:tcMar>
              <w:top w:w="0" w:type="dxa"/>
              <w:left w:w="0" w:type="dxa"/>
              <w:bottom w:w="45" w:type="dxa"/>
              <w:right w:w="0" w:type="dxa"/>
            </w:tcMar>
            <w:vAlign w:val="bottom"/>
            <w:hideMark/>
          </w:tcPr>
          <w:p w14:paraId="3A85B8E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146C3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5872C3B"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DB88F27" w14:textId="77777777" w:rsidR="00000000" w:rsidRDefault="00527094">
            <w:pPr>
              <w:jc w:val="right"/>
              <w:rPr>
                <w:rFonts w:eastAsia="Times New Roman"/>
                <w:sz w:val="20"/>
                <w:szCs w:val="20"/>
              </w:rPr>
            </w:pPr>
            <w:r>
              <w:rPr>
                <w:rFonts w:eastAsia="Times New Roman"/>
                <w:sz w:val="20"/>
                <w:szCs w:val="20"/>
              </w:rPr>
              <w:t>423,236</w:t>
            </w:r>
          </w:p>
        </w:tc>
        <w:tc>
          <w:tcPr>
            <w:tcW w:w="50" w:type="pct"/>
            <w:shd w:val="clear" w:color="auto" w:fill="FFFFFF"/>
            <w:tcMar>
              <w:top w:w="0" w:type="dxa"/>
              <w:left w:w="0" w:type="dxa"/>
              <w:bottom w:w="45" w:type="dxa"/>
              <w:right w:w="0" w:type="dxa"/>
            </w:tcMar>
            <w:vAlign w:val="bottom"/>
            <w:hideMark/>
          </w:tcPr>
          <w:p w14:paraId="3C589C17" w14:textId="77777777" w:rsidR="00000000" w:rsidRDefault="00527094">
            <w:pPr>
              <w:rPr>
                <w:rFonts w:eastAsia="Times New Roman"/>
                <w:sz w:val="20"/>
                <w:szCs w:val="20"/>
              </w:rPr>
            </w:pPr>
            <w:r>
              <w:rPr>
                <w:rFonts w:eastAsia="Times New Roman"/>
                <w:sz w:val="20"/>
                <w:szCs w:val="20"/>
              </w:rPr>
              <w:t> </w:t>
            </w:r>
          </w:p>
        </w:tc>
      </w:tr>
    </w:tbl>
    <w:p w14:paraId="0D035C75" w14:textId="77777777" w:rsidR="00000000" w:rsidRDefault="00527094">
      <w:pPr>
        <w:pStyle w:val="a3"/>
        <w:spacing w:before="0" w:beforeAutospacing="0" w:after="0" w:afterAutospacing="0"/>
        <w:jc w:val="center"/>
        <w:rPr>
          <w:sz w:val="20"/>
          <w:szCs w:val="20"/>
        </w:rPr>
      </w:pPr>
      <w:r>
        <w:rPr>
          <w:sz w:val="20"/>
          <w:szCs w:val="20"/>
        </w:rPr>
        <w:br/>
      </w:r>
      <w:r>
        <w:rPr>
          <w:b/>
          <w:bCs/>
          <w:sz w:val="20"/>
          <w:szCs w:val="20"/>
        </w:rPr>
        <w:t> </w:t>
      </w:r>
    </w:p>
    <w:p w14:paraId="54FEBC82" w14:textId="77777777" w:rsidR="00000000" w:rsidRDefault="0052709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4B92B66B" w14:textId="77777777" w:rsidR="00000000" w:rsidRDefault="00527094">
      <w:pPr>
        <w:pStyle w:val="a3"/>
        <w:spacing w:before="0" w:beforeAutospacing="0" w:after="0" w:afterAutospacing="0"/>
        <w:jc w:val="center"/>
        <w:rPr>
          <w:sz w:val="20"/>
          <w:szCs w:val="20"/>
        </w:rPr>
      </w:pPr>
      <w:r>
        <w:rPr>
          <w:sz w:val="20"/>
          <w:szCs w:val="20"/>
        </w:rPr>
        <w:t> </w:t>
      </w:r>
    </w:p>
    <w:p w14:paraId="566D15FD" w14:textId="77777777" w:rsidR="00000000" w:rsidRDefault="00527094">
      <w:pPr>
        <w:jc w:val="center"/>
        <w:divId w:val="2093819793"/>
        <w:rPr>
          <w:rFonts w:eastAsia="Times New Roman"/>
          <w:sz w:val="20"/>
          <w:szCs w:val="20"/>
        </w:rPr>
      </w:pPr>
      <w:r>
        <w:rPr>
          <w:rFonts w:eastAsia="Times New Roman"/>
          <w:sz w:val="20"/>
          <w:szCs w:val="20"/>
        </w:rPr>
        <w:t xml:space="preserve">4 </w:t>
      </w:r>
    </w:p>
    <w:p w14:paraId="31F17310" w14:textId="77777777" w:rsidR="00000000" w:rsidRDefault="00527094">
      <w:pPr>
        <w:divId w:val="2093819793"/>
        <w:rPr>
          <w:rFonts w:eastAsia="Times New Roman"/>
          <w:sz w:val="20"/>
          <w:szCs w:val="20"/>
        </w:rPr>
      </w:pPr>
      <w:r>
        <w:rPr>
          <w:rFonts w:eastAsia="Times New Roman"/>
          <w:sz w:val="20"/>
          <w:szCs w:val="20"/>
        </w:rPr>
        <w:pict w14:anchorId="253F05E2">
          <v:rect id="_x0000_i1032" style="width:0;height:1.5pt" o:hralign="center" o:hrstd="t" o:hr="t" fillcolor="#a0a0a0" stroked="f"/>
        </w:pict>
      </w:r>
    </w:p>
    <w:p w14:paraId="16D7F2B9" w14:textId="77777777" w:rsidR="00000000" w:rsidRDefault="00527094">
      <w:pPr>
        <w:divId w:val="20938197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58768BD" w14:textId="77777777" w:rsidR="00000000" w:rsidRDefault="00527094">
      <w:pPr>
        <w:pStyle w:val="a3"/>
        <w:spacing w:before="0" w:beforeAutospacing="0" w:after="0" w:afterAutospacing="0"/>
        <w:rPr>
          <w:sz w:val="20"/>
          <w:szCs w:val="20"/>
        </w:rPr>
      </w:pPr>
      <w:r>
        <w:rPr>
          <w:sz w:val="20"/>
          <w:szCs w:val="20"/>
        </w:rPr>
        <w:t> </w:t>
      </w:r>
    </w:p>
    <w:p w14:paraId="66CA0A14" w14:textId="77777777" w:rsidR="00000000" w:rsidRDefault="00527094">
      <w:pPr>
        <w:divId w:val="1762407321"/>
        <w:rPr>
          <w:rFonts w:eastAsia="Times New Roman"/>
          <w:sz w:val="20"/>
          <w:szCs w:val="20"/>
        </w:rPr>
      </w:pPr>
      <w:r>
        <w:rPr>
          <w:rFonts w:eastAsia="Times New Roman"/>
          <w:sz w:val="20"/>
          <w:szCs w:val="20"/>
        </w:rPr>
        <w:t xml:space="preserve">  </w:t>
      </w:r>
    </w:p>
    <w:p w14:paraId="6FF17F00" w14:textId="77777777" w:rsidR="00000000" w:rsidRDefault="00527094">
      <w:pPr>
        <w:pStyle w:val="a3"/>
        <w:spacing w:before="0" w:beforeAutospacing="0" w:after="0" w:afterAutospacing="0"/>
        <w:jc w:val="center"/>
        <w:rPr>
          <w:sz w:val="20"/>
          <w:szCs w:val="20"/>
        </w:rPr>
      </w:pPr>
      <w:r>
        <w:rPr>
          <w:sz w:val="20"/>
          <w:szCs w:val="20"/>
        </w:rPr>
        <w:t>KIMCO REALTY CORPORATION AND SUBSIDIARIES</w:t>
      </w:r>
    </w:p>
    <w:p w14:paraId="1EA205C2" w14:textId="77777777" w:rsidR="00000000" w:rsidRDefault="00527094">
      <w:pPr>
        <w:pStyle w:val="a3"/>
        <w:spacing w:before="0" w:beforeAutospacing="0" w:after="0" w:afterAutospacing="0"/>
        <w:jc w:val="center"/>
        <w:rPr>
          <w:sz w:val="20"/>
          <w:szCs w:val="20"/>
        </w:rPr>
      </w:pPr>
      <w:r>
        <w:rPr>
          <w:sz w:val="20"/>
          <w:szCs w:val="20"/>
        </w:rPr>
        <w:t>CONDENSED CONSOLIDATED STATEMENTS OF COMPREHENSIVE INCOME</w:t>
      </w:r>
    </w:p>
    <w:p w14:paraId="48C3A68A" w14:textId="77777777" w:rsidR="00000000" w:rsidRDefault="00527094">
      <w:pPr>
        <w:pStyle w:val="a3"/>
        <w:spacing w:before="0" w:beforeAutospacing="0" w:after="0" w:afterAutospacing="0"/>
        <w:jc w:val="center"/>
        <w:rPr>
          <w:sz w:val="20"/>
          <w:szCs w:val="20"/>
        </w:rPr>
      </w:pPr>
      <w:r>
        <w:rPr>
          <w:sz w:val="20"/>
          <w:szCs w:val="20"/>
        </w:rPr>
        <w:t>(Unaudited)</w:t>
      </w:r>
    </w:p>
    <w:p w14:paraId="14D8C56A" w14:textId="77777777" w:rsidR="00000000" w:rsidRDefault="00527094">
      <w:pPr>
        <w:pStyle w:val="a3"/>
        <w:spacing w:before="0" w:beforeAutospacing="0" w:after="0" w:afterAutospacing="0"/>
        <w:jc w:val="center"/>
        <w:rPr>
          <w:sz w:val="20"/>
          <w:szCs w:val="20"/>
        </w:rPr>
      </w:pPr>
      <w:r>
        <w:rPr>
          <w:sz w:val="20"/>
          <w:szCs w:val="20"/>
        </w:rPr>
        <w:t>(in thousands)</w:t>
      </w:r>
    </w:p>
    <w:p w14:paraId="5B1A3FB5" w14:textId="77777777" w:rsidR="00000000" w:rsidRDefault="0052709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43BE2231" w14:textId="77777777">
        <w:trPr>
          <w:divId w:val="2120177406"/>
          <w:tblCellSpacing w:w="0" w:type="dxa"/>
        </w:trPr>
        <w:tc>
          <w:tcPr>
            <w:tcW w:w="0" w:type="auto"/>
            <w:vAlign w:val="bottom"/>
            <w:hideMark/>
          </w:tcPr>
          <w:p w14:paraId="190AF88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4EDB4A7" w14:textId="77777777" w:rsidR="00000000" w:rsidRDefault="00527094">
            <w:pPr>
              <w:rPr>
                <w:rFonts w:eastAsia="Times New Roman"/>
                <w:sz w:val="20"/>
                <w:szCs w:val="20"/>
              </w:rPr>
            </w:pPr>
            <w:r>
              <w:rPr>
                <w:rFonts w:eastAsia="Times New Roman"/>
                <w:sz w:val="20"/>
                <w:szCs w:val="20"/>
              </w:rPr>
              <w:t> </w:t>
            </w:r>
          </w:p>
        </w:tc>
        <w:tc>
          <w:tcPr>
            <w:tcW w:w="0" w:type="auto"/>
            <w:gridSpan w:val="6"/>
            <w:vAlign w:val="bottom"/>
            <w:hideMark/>
          </w:tcPr>
          <w:p w14:paraId="3E38416F" w14:textId="77777777" w:rsidR="00000000" w:rsidRDefault="00527094">
            <w:pPr>
              <w:pStyle w:val="a3"/>
              <w:spacing w:before="0" w:beforeAutospacing="0" w:after="0" w:afterAutospacing="0"/>
              <w:jc w:val="center"/>
              <w:rPr>
                <w:sz w:val="20"/>
                <w:szCs w:val="20"/>
              </w:rPr>
            </w:pPr>
            <w:r>
              <w:rPr>
                <w:b/>
                <w:bCs/>
                <w:sz w:val="20"/>
                <w:szCs w:val="20"/>
              </w:rPr>
              <w:t xml:space="preserve">Three Months Ended June 30, </w:t>
            </w:r>
          </w:p>
        </w:tc>
        <w:tc>
          <w:tcPr>
            <w:tcW w:w="0" w:type="auto"/>
            <w:vAlign w:val="bottom"/>
            <w:hideMark/>
          </w:tcPr>
          <w:p w14:paraId="0F33263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84D5B6E" w14:textId="77777777" w:rsidR="00000000" w:rsidRDefault="00527094">
            <w:pPr>
              <w:rPr>
                <w:rFonts w:eastAsia="Times New Roman"/>
                <w:sz w:val="20"/>
                <w:szCs w:val="20"/>
              </w:rPr>
            </w:pPr>
            <w:r>
              <w:rPr>
                <w:rFonts w:eastAsia="Times New Roman"/>
                <w:sz w:val="20"/>
                <w:szCs w:val="20"/>
              </w:rPr>
              <w:t> </w:t>
            </w:r>
          </w:p>
        </w:tc>
        <w:tc>
          <w:tcPr>
            <w:tcW w:w="0" w:type="auto"/>
            <w:gridSpan w:val="6"/>
            <w:vAlign w:val="bottom"/>
            <w:hideMark/>
          </w:tcPr>
          <w:p w14:paraId="0AB949D4" w14:textId="77777777" w:rsidR="00000000" w:rsidRDefault="00527094">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14:paraId="01520CB5" w14:textId="77777777" w:rsidR="00000000" w:rsidRDefault="00527094">
            <w:pPr>
              <w:rPr>
                <w:rFonts w:eastAsia="Times New Roman"/>
                <w:sz w:val="20"/>
                <w:szCs w:val="20"/>
              </w:rPr>
            </w:pPr>
            <w:r>
              <w:rPr>
                <w:rFonts w:eastAsia="Times New Roman"/>
                <w:sz w:val="20"/>
                <w:szCs w:val="20"/>
              </w:rPr>
              <w:t> </w:t>
            </w:r>
          </w:p>
        </w:tc>
      </w:tr>
      <w:tr w:rsidR="00000000" w14:paraId="7CFAC6D8" w14:textId="77777777">
        <w:trPr>
          <w:divId w:val="2120177406"/>
          <w:tblCellSpacing w:w="0" w:type="dxa"/>
        </w:trPr>
        <w:tc>
          <w:tcPr>
            <w:tcW w:w="0" w:type="auto"/>
            <w:vAlign w:val="bottom"/>
            <w:hideMark/>
          </w:tcPr>
          <w:p w14:paraId="7032929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F2F43AF"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34488AF"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73C81E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75177EE"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B72B197"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A13B64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145E758"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1C8CAFF"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F20830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D4FC76A"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8A1EA7F"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26AE04CC" w14:textId="77777777" w:rsidR="00000000" w:rsidRDefault="00527094">
            <w:pPr>
              <w:rPr>
                <w:rFonts w:eastAsia="Times New Roman"/>
                <w:sz w:val="20"/>
                <w:szCs w:val="20"/>
              </w:rPr>
            </w:pPr>
            <w:r>
              <w:rPr>
                <w:rFonts w:eastAsia="Times New Roman"/>
                <w:sz w:val="20"/>
                <w:szCs w:val="20"/>
              </w:rPr>
              <w:t> </w:t>
            </w:r>
          </w:p>
        </w:tc>
      </w:tr>
      <w:tr w:rsidR="00000000" w14:paraId="106E85C6" w14:textId="77777777">
        <w:trPr>
          <w:divId w:val="2120177406"/>
          <w:tblCellSpacing w:w="0" w:type="dxa"/>
        </w:trPr>
        <w:tc>
          <w:tcPr>
            <w:tcW w:w="0" w:type="auto"/>
            <w:vAlign w:val="bottom"/>
            <w:hideMark/>
          </w:tcPr>
          <w:p w14:paraId="3BAB4A4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54D385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E785F4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AEC7E5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DB87F9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A039A7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749ECE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A11FE5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F56E75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3F67E2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2526DD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F4BC7F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943FF5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0A6881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FBEAC2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0DEFB9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5664B96" w14:textId="77777777" w:rsidR="00000000" w:rsidRDefault="00527094">
            <w:pPr>
              <w:rPr>
                <w:rFonts w:eastAsia="Times New Roman"/>
                <w:sz w:val="20"/>
                <w:szCs w:val="20"/>
              </w:rPr>
            </w:pPr>
            <w:r>
              <w:rPr>
                <w:rFonts w:eastAsia="Times New Roman"/>
                <w:sz w:val="20"/>
                <w:szCs w:val="20"/>
              </w:rPr>
              <w:t> </w:t>
            </w:r>
          </w:p>
        </w:tc>
      </w:tr>
      <w:tr w:rsidR="00000000" w14:paraId="3C3734E4" w14:textId="77777777">
        <w:trPr>
          <w:divId w:val="2120177406"/>
          <w:tblCellSpacing w:w="0" w:type="dxa"/>
        </w:trPr>
        <w:tc>
          <w:tcPr>
            <w:tcW w:w="2600" w:type="pct"/>
            <w:shd w:val="clear" w:color="auto" w:fill="CCEEFF"/>
            <w:vAlign w:val="bottom"/>
            <w:hideMark/>
          </w:tcPr>
          <w:p w14:paraId="7B0EACF5" w14:textId="77777777" w:rsidR="00000000" w:rsidRDefault="00527094">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14:paraId="7D0E1D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8ACF90"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65498461" w14:textId="77777777" w:rsidR="00000000" w:rsidRDefault="00527094">
            <w:pPr>
              <w:jc w:val="right"/>
              <w:rPr>
                <w:rFonts w:eastAsia="Times New Roman"/>
                <w:sz w:val="20"/>
                <w:szCs w:val="20"/>
              </w:rPr>
            </w:pPr>
            <w:r>
              <w:rPr>
                <w:rFonts w:eastAsia="Times New Roman"/>
                <w:sz w:val="20"/>
                <w:szCs w:val="20"/>
              </w:rPr>
              <w:t>101,387</w:t>
            </w:r>
          </w:p>
        </w:tc>
        <w:tc>
          <w:tcPr>
            <w:tcW w:w="50" w:type="pct"/>
            <w:shd w:val="clear" w:color="auto" w:fill="CCEEFF"/>
            <w:vAlign w:val="bottom"/>
            <w:hideMark/>
          </w:tcPr>
          <w:p w14:paraId="5068588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1809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308B81"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606482D7" w14:textId="77777777" w:rsidR="00000000" w:rsidRDefault="00527094">
            <w:pPr>
              <w:jc w:val="right"/>
              <w:rPr>
                <w:rFonts w:eastAsia="Times New Roman"/>
                <w:sz w:val="20"/>
                <w:szCs w:val="20"/>
              </w:rPr>
            </w:pPr>
            <w:r>
              <w:rPr>
                <w:rFonts w:eastAsia="Times New Roman"/>
                <w:sz w:val="20"/>
                <w:szCs w:val="20"/>
              </w:rPr>
              <w:t>165,809</w:t>
            </w:r>
          </w:p>
        </w:tc>
        <w:tc>
          <w:tcPr>
            <w:tcW w:w="50" w:type="pct"/>
            <w:shd w:val="clear" w:color="auto" w:fill="CCEEFF"/>
            <w:vAlign w:val="bottom"/>
            <w:hideMark/>
          </w:tcPr>
          <w:p w14:paraId="0AFC6E0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1639B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B20C23"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75885395" w14:textId="77777777" w:rsidR="00000000" w:rsidRDefault="00527094">
            <w:pPr>
              <w:jc w:val="right"/>
              <w:rPr>
                <w:rFonts w:eastAsia="Times New Roman"/>
                <w:sz w:val="20"/>
                <w:szCs w:val="20"/>
              </w:rPr>
            </w:pPr>
            <w:r>
              <w:rPr>
                <w:rFonts w:eastAsia="Times New Roman"/>
                <w:sz w:val="20"/>
                <w:szCs w:val="20"/>
              </w:rPr>
              <w:t>218,065</w:t>
            </w:r>
          </w:p>
        </w:tc>
        <w:tc>
          <w:tcPr>
            <w:tcW w:w="50" w:type="pct"/>
            <w:shd w:val="clear" w:color="auto" w:fill="CCEEFF"/>
            <w:vAlign w:val="bottom"/>
            <w:hideMark/>
          </w:tcPr>
          <w:p w14:paraId="09FB762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F0E6A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CC58E6"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1C7B420E" w14:textId="77777777" w:rsidR="00000000" w:rsidRDefault="00527094">
            <w:pPr>
              <w:jc w:val="right"/>
              <w:rPr>
                <w:rFonts w:eastAsia="Times New Roman"/>
                <w:sz w:val="20"/>
                <w:szCs w:val="20"/>
              </w:rPr>
            </w:pPr>
            <w:r>
              <w:rPr>
                <w:rFonts w:eastAsia="Times New Roman"/>
                <w:sz w:val="20"/>
                <w:szCs w:val="20"/>
              </w:rPr>
              <w:t>309,791</w:t>
            </w:r>
          </w:p>
        </w:tc>
        <w:tc>
          <w:tcPr>
            <w:tcW w:w="50" w:type="pct"/>
            <w:shd w:val="clear" w:color="auto" w:fill="CCEEFF"/>
            <w:vAlign w:val="bottom"/>
            <w:hideMark/>
          </w:tcPr>
          <w:p w14:paraId="3FA1C60A" w14:textId="77777777" w:rsidR="00000000" w:rsidRDefault="00527094">
            <w:pPr>
              <w:rPr>
                <w:rFonts w:eastAsia="Times New Roman"/>
                <w:sz w:val="20"/>
                <w:szCs w:val="20"/>
              </w:rPr>
            </w:pPr>
            <w:r>
              <w:rPr>
                <w:rFonts w:eastAsia="Times New Roman"/>
                <w:sz w:val="20"/>
                <w:szCs w:val="20"/>
              </w:rPr>
              <w:t> </w:t>
            </w:r>
          </w:p>
        </w:tc>
      </w:tr>
      <w:tr w:rsidR="00000000" w14:paraId="324E7D83" w14:textId="77777777">
        <w:trPr>
          <w:divId w:val="2120177406"/>
          <w:tblCellSpacing w:w="0" w:type="dxa"/>
        </w:trPr>
        <w:tc>
          <w:tcPr>
            <w:tcW w:w="0" w:type="auto"/>
            <w:gridSpan w:val="4"/>
            <w:shd w:val="clear" w:color="auto" w:fill="FFFFFF"/>
            <w:vAlign w:val="bottom"/>
            <w:hideMark/>
          </w:tcPr>
          <w:p w14:paraId="2CF4DEB4" w14:textId="77777777" w:rsidR="00000000" w:rsidRDefault="00527094">
            <w:pPr>
              <w:pStyle w:val="a3"/>
              <w:spacing w:before="0" w:beforeAutospacing="0" w:after="0" w:afterAutospacing="0"/>
              <w:rPr>
                <w:sz w:val="20"/>
                <w:szCs w:val="20"/>
              </w:rPr>
            </w:pPr>
            <w:r>
              <w:rPr>
                <w:sz w:val="20"/>
                <w:szCs w:val="20"/>
              </w:rPr>
              <w:lastRenderedPageBreak/>
              <w:t>Other comprehensive income:</w:t>
            </w:r>
          </w:p>
        </w:tc>
        <w:tc>
          <w:tcPr>
            <w:tcW w:w="0" w:type="auto"/>
            <w:shd w:val="clear" w:color="auto" w:fill="FFFFFF"/>
            <w:vAlign w:val="bottom"/>
            <w:hideMark/>
          </w:tcPr>
          <w:p w14:paraId="49106A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E576A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6B3F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332B3A" w14:textId="77777777" w:rsidR="00000000" w:rsidRDefault="00527094">
            <w:pPr>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490E2CC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D7DC6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2F31A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0FCDB" w14:textId="77777777" w:rsidR="00000000" w:rsidRDefault="00527094">
            <w:pPr>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7D413CF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CBCC2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63F5D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DC2F99" w14:textId="77777777" w:rsidR="00000000" w:rsidRDefault="00527094">
            <w:pPr>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3A1AD447" w14:textId="77777777" w:rsidR="00000000" w:rsidRDefault="00527094">
            <w:pPr>
              <w:rPr>
                <w:rFonts w:eastAsia="Times New Roman"/>
                <w:sz w:val="20"/>
                <w:szCs w:val="20"/>
              </w:rPr>
            </w:pPr>
            <w:r>
              <w:rPr>
                <w:rFonts w:eastAsia="Times New Roman"/>
                <w:sz w:val="20"/>
                <w:szCs w:val="20"/>
              </w:rPr>
              <w:t> </w:t>
            </w:r>
          </w:p>
        </w:tc>
      </w:tr>
      <w:tr w:rsidR="00000000" w14:paraId="43CB843B" w14:textId="77777777">
        <w:trPr>
          <w:divId w:val="2120177406"/>
          <w:tblCellSpacing w:w="0" w:type="dxa"/>
        </w:trPr>
        <w:tc>
          <w:tcPr>
            <w:tcW w:w="0" w:type="auto"/>
            <w:shd w:val="clear" w:color="auto" w:fill="CCEEFF"/>
            <w:vAlign w:val="bottom"/>
            <w:hideMark/>
          </w:tcPr>
          <w:p w14:paraId="0831DCA4" w14:textId="77777777" w:rsidR="00000000" w:rsidRDefault="00527094">
            <w:pPr>
              <w:pStyle w:val="a3"/>
              <w:spacing w:before="0" w:beforeAutospacing="0" w:after="0" w:afterAutospacing="0"/>
              <w:ind w:left="180"/>
              <w:rPr>
                <w:sz w:val="20"/>
                <w:szCs w:val="20"/>
              </w:rPr>
            </w:pPr>
            <w:r>
              <w:rPr>
                <w:sz w:val="20"/>
                <w:szCs w:val="20"/>
              </w:rPr>
              <w:t>Change in unrealized value on interest rate swap</w:t>
            </w:r>
          </w:p>
        </w:tc>
        <w:tc>
          <w:tcPr>
            <w:tcW w:w="50" w:type="pct"/>
            <w:shd w:val="clear" w:color="auto" w:fill="CCEEFF"/>
            <w:tcMar>
              <w:top w:w="0" w:type="dxa"/>
              <w:left w:w="0" w:type="dxa"/>
              <w:bottom w:w="15" w:type="dxa"/>
              <w:right w:w="0" w:type="dxa"/>
            </w:tcMar>
            <w:vAlign w:val="bottom"/>
            <w:hideMark/>
          </w:tcPr>
          <w:p w14:paraId="7BEA2F1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21D189C"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1460CBD"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7636FF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4CCC727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A4FF720"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8C873CC" w14:textId="77777777" w:rsidR="00000000" w:rsidRDefault="00527094">
            <w:pPr>
              <w:jc w:val="right"/>
              <w:rPr>
                <w:rFonts w:eastAsia="Times New Roman"/>
                <w:sz w:val="20"/>
                <w:szCs w:val="20"/>
              </w:rPr>
            </w:pPr>
            <w:r>
              <w:rPr>
                <w:rFonts w:eastAsia="Times New Roman"/>
                <w:sz w:val="20"/>
                <w:szCs w:val="20"/>
              </w:rPr>
              <w:t>138</w:t>
            </w:r>
          </w:p>
        </w:tc>
        <w:tc>
          <w:tcPr>
            <w:tcW w:w="50" w:type="pct"/>
            <w:shd w:val="clear" w:color="auto" w:fill="CCEEFF"/>
            <w:tcMar>
              <w:top w:w="0" w:type="dxa"/>
              <w:left w:w="0" w:type="dxa"/>
              <w:bottom w:w="15" w:type="dxa"/>
              <w:right w:w="0" w:type="dxa"/>
            </w:tcMar>
            <w:vAlign w:val="bottom"/>
            <w:hideMark/>
          </w:tcPr>
          <w:p w14:paraId="4D0F258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591FDD1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71EA3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B33FE0D"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4A6150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1281CBB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711655"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5726F1B" w14:textId="77777777" w:rsidR="00000000" w:rsidRDefault="00527094">
            <w:pPr>
              <w:jc w:val="right"/>
              <w:rPr>
                <w:rFonts w:eastAsia="Times New Roman"/>
                <w:sz w:val="20"/>
                <w:szCs w:val="20"/>
              </w:rPr>
            </w:pPr>
            <w:r>
              <w:rPr>
                <w:rFonts w:eastAsia="Times New Roman"/>
                <w:sz w:val="20"/>
                <w:szCs w:val="20"/>
              </w:rPr>
              <w:t>416</w:t>
            </w:r>
          </w:p>
        </w:tc>
        <w:tc>
          <w:tcPr>
            <w:tcW w:w="50" w:type="pct"/>
            <w:shd w:val="clear" w:color="auto" w:fill="CCEEFF"/>
            <w:tcMar>
              <w:top w:w="0" w:type="dxa"/>
              <w:left w:w="0" w:type="dxa"/>
              <w:bottom w:w="15" w:type="dxa"/>
              <w:right w:w="0" w:type="dxa"/>
            </w:tcMar>
            <w:vAlign w:val="bottom"/>
            <w:hideMark/>
          </w:tcPr>
          <w:p w14:paraId="521D2970" w14:textId="77777777" w:rsidR="00000000" w:rsidRDefault="00527094">
            <w:pPr>
              <w:rPr>
                <w:rFonts w:eastAsia="Times New Roman"/>
                <w:sz w:val="20"/>
                <w:szCs w:val="20"/>
              </w:rPr>
            </w:pPr>
            <w:r>
              <w:rPr>
                <w:rFonts w:eastAsia="Times New Roman"/>
                <w:sz w:val="20"/>
                <w:szCs w:val="20"/>
              </w:rPr>
              <w:t> </w:t>
            </w:r>
          </w:p>
        </w:tc>
      </w:tr>
      <w:tr w:rsidR="00000000" w14:paraId="087C7D47" w14:textId="77777777">
        <w:trPr>
          <w:divId w:val="2120177406"/>
          <w:tblCellSpacing w:w="0" w:type="dxa"/>
        </w:trPr>
        <w:tc>
          <w:tcPr>
            <w:tcW w:w="0" w:type="auto"/>
            <w:shd w:val="clear" w:color="auto" w:fill="FFFFFF"/>
            <w:vAlign w:val="bottom"/>
            <w:hideMark/>
          </w:tcPr>
          <w:p w14:paraId="719C9D67" w14:textId="77777777" w:rsidR="00000000" w:rsidRDefault="00527094">
            <w:pPr>
              <w:pStyle w:val="a3"/>
              <w:spacing w:before="0" w:beforeAutospacing="0" w:after="0" w:afterAutospacing="0"/>
              <w:ind w:left="360"/>
              <w:rPr>
                <w:sz w:val="20"/>
                <w:szCs w:val="20"/>
              </w:rPr>
            </w:pPr>
            <w:r>
              <w:rPr>
                <w:sz w:val="20"/>
                <w:szCs w:val="20"/>
              </w:rPr>
              <w:t>Other comprehensive income</w:t>
            </w:r>
          </w:p>
        </w:tc>
        <w:tc>
          <w:tcPr>
            <w:tcW w:w="50" w:type="pct"/>
            <w:shd w:val="clear" w:color="auto" w:fill="FFFFFF"/>
            <w:vAlign w:val="bottom"/>
            <w:hideMark/>
          </w:tcPr>
          <w:p w14:paraId="204F6DA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22F906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5C3208D"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9C47AF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AF3DD7"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AE41362"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AC86BDF" w14:textId="77777777" w:rsidR="00000000" w:rsidRDefault="00527094">
            <w:pPr>
              <w:jc w:val="right"/>
              <w:rPr>
                <w:rFonts w:eastAsia="Times New Roman"/>
                <w:sz w:val="20"/>
                <w:szCs w:val="20"/>
              </w:rPr>
            </w:pPr>
            <w:r>
              <w:rPr>
                <w:rFonts w:eastAsia="Times New Roman"/>
                <w:sz w:val="20"/>
                <w:szCs w:val="20"/>
              </w:rPr>
              <w:t>138</w:t>
            </w:r>
          </w:p>
        </w:tc>
        <w:tc>
          <w:tcPr>
            <w:tcW w:w="50" w:type="pct"/>
            <w:shd w:val="clear" w:color="auto" w:fill="FFFFFF"/>
            <w:tcMar>
              <w:top w:w="0" w:type="dxa"/>
              <w:left w:w="0" w:type="dxa"/>
              <w:bottom w:w="15" w:type="dxa"/>
              <w:right w:w="0" w:type="dxa"/>
            </w:tcMar>
            <w:vAlign w:val="bottom"/>
            <w:hideMark/>
          </w:tcPr>
          <w:p w14:paraId="55DF2F9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327F8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25495E0"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2066ED8"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6BD71E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B419E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653214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E2FFFD3" w14:textId="77777777" w:rsidR="00000000" w:rsidRDefault="00527094">
            <w:pPr>
              <w:jc w:val="right"/>
              <w:rPr>
                <w:rFonts w:eastAsia="Times New Roman"/>
                <w:sz w:val="20"/>
                <w:szCs w:val="20"/>
              </w:rPr>
            </w:pPr>
            <w:r>
              <w:rPr>
                <w:rFonts w:eastAsia="Times New Roman"/>
                <w:sz w:val="20"/>
                <w:szCs w:val="20"/>
              </w:rPr>
              <w:t>416</w:t>
            </w:r>
          </w:p>
        </w:tc>
        <w:tc>
          <w:tcPr>
            <w:tcW w:w="50" w:type="pct"/>
            <w:shd w:val="clear" w:color="auto" w:fill="FFFFFF"/>
            <w:tcMar>
              <w:top w:w="0" w:type="dxa"/>
              <w:left w:w="0" w:type="dxa"/>
              <w:bottom w:w="15" w:type="dxa"/>
              <w:right w:w="0" w:type="dxa"/>
            </w:tcMar>
            <w:vAlign w:val="bottom"/>
            <w:hideMark/>
          </w:tcPr>
          <w:p w14:paraId="02761E7E" w14:textId="77777777" w:rsidR="00000000" w:rsidRDefault="00527094">
            <w:pPr>
              <w:rPr>
                <w:rFonts w:eastAsia="Times New Roman"/>
                <w:sz w:val="20"/>
                <w:szCs w:val="20"/>
              </w:rPr>
            </w:pPr>
            <w:r>
              <w:rPr>
                <w:rFonts w:eastAsia="Times New Roman"/>
                <w:sz w:val="20"/>
                <w:szCs w:val="20"/>
              </w:rPr>
              <w:t> </w:t>
            </w:r>
          </w:p>
        </w:tc>
      </w:tr>
      <w:tr w:rsidR="00000000" w14:paraId="63778AEE" w14:textId="77777777">
        <w:trPr>
          <w:divId w:val="2120177406"/>
          <w:tblCellSpacing w:w="0" w:type="dxa"/>
        </w:trPr>
        <w:tc>
          <w:tcPr>
            <w:tcW w:w="0" w:type="auto"/>
            <w:shd w:val="clear" w:color="auto" w:fill="CCEEFF"/>
            <w:vAlign w:val="bottom"/>
            <w:hideMark/>
          </w:tcPr>
          <w:p w14:paraId="2ADEB46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CBCD42A"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32435A6"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F2AF02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7D4AFF1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12A3FFF"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CE5FDAB"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E414F6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A900AC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62FAE8A2"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4EBB755A"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891EA1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60CF545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0CE48154"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5422B90"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468E080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1D7EBA2" w14:textId="77777777" w:rsidR="00000000" w:rsidRDefault="00527094">
            <w:pPr>
              <w:rPr>
                <w:rFonts w:eastAsia="Times New Roman"/>
                <w:sz w:val="20"/>
                <w:szCs w:val="20"/>
              </w:rPr>
            </w:pPr>
            <w:r>
              <w:rPr>
                <w:rFonts w:eastAsia="Times New Roman"/>
                <w:sz w:val="20"/>
                <w:szCs w:val="20"/>
              </w:rPr>
              <w:t> </w:t>
            </w:r>
          </w:p>
        </w:tc>
      </w:tr>
      <w:tr w:rsidR="00000000" w14:paraId="690685A9" w14:textId="77777777">
        <w:trPr>
          <w:divId w:val="2120177406"/>
          <w:tblCellSpacing w:w="0" w:type="dxa"/>
        </w:trPr>
        <w:tc>
          <w:tcPr>
            <w:tcW w:w="0" w:type="auto"/>
            <w:shd w:val="clear" w:color="auto" w:fill="FFFFFF"/>
            <w:vAlign w:val="bottom"/>
            <w:hideMark/>
          </w:tcPr>
          <w:p w14:paraId="7C19A792" w14:textId="77777777" w:rsidR="00000000" w:rsidRDefault="00527094">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14:paraId="7F3E877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CDF008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224D67F" w14:textId="77777777" w:rsidR="00000000" w:rsidRDefault="00527094">
            <w:pPr>
              <w:jc w:val="right"/>
              <w:rPr>
                <w:rFonts w:eastAsia="Times New Roman"/>
                <w:sz w:val="20"/>
                <w:szCs w:val="20"/>
              </w:rPr>
            </w:pPr>
            <w:r>
              <w:rPr>
                <w:rFonts w:eastAsia="Times New Roman"/>
                <w:sz w:val="20"/>
                <w:szCs w:val="20"/>
              </w:rPr>
              <w:t>101,387</w:t>
            </w:r>
          </w:p>
        </w:tc>
        <w:tc>
          <w:tcPr>
            <w:tcW w:w="50" w:type="pct"/>
            <w:shd w:val="clear" w:color="auto" w:fill="FFFFFF"/>
            <w:tcMar>
              <w:top w:w="0" w:type="dxa"/>
              <w:left w:w="0" w:type="dxa"/>
              <w:bottom w:w="15" w:type="dxa"/>
              <w:right w:w="0" w:type="dxa"/>
            </w:tcMar>
            <w:vAlign w:val="bottom"/>
            <w:hideMark/>
          </w:tcPr>
          <w:p w14:paraId="4A45A59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EEA1C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9C1BFF7"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8EE2AB1" w14:textId="77777777" w:rsidR="00000000" w:rsidRDefault="00527094">
            <w:pPr>
              <w:jc w:val="right"/>
              <w:rPr>
                <w:rFonts w:eastAsia="Times New Roman"/>
                <w:sz w:val="20"/>
                <w:szCs w:val="20"/>
              </w:rPr>
            </w:pPr>
            <w:r>
              <w:rPr>
                <w:rFonts w:eastAsia="Times New Roman"/>
                <w:sz w:val="20"/>
                <w:szCs w:val="20"/>
              </w:rPr>
              <w:t>165,947</w:t>
            </w:r>
          </w:p>
        </w:tc>
        <w:tc>
          <w:tcPr>
            <w:tcW w:w="50" w:type="pct"/>
            <w:shd w:val="clear" w:color="auto" w:fill="FFFFFF"/>
            <w:tcMar>
              <w:top w:w="0" w:type="dxa"/>
              <w:left w:w="0" w:type="dxa"/>
              <w:bottom w:w="15" w:type="dxa"/>
              <w:right w:w="0" w:type="dxa"/>
            </w:tcMar>
            <w:vAlign w:val="bottom"/>
            <w:hideMark/>
          </w:tcPr>
          <w:p w14:paraId="23E898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2E416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291133E"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29C1C25" w14:textId="77777777" w:rsidR="00000000" w:rsidRDefault="00527094">
            <w:pPr>
              <w:jc w:val="right"/>
              <w:rPr>
                <w:rFonts w:eastAsia="Times New Roman"/>
                <w:sz w:val="20"/>
                <w:szCs w:val="20"/>
              </w:rPr>
            </w:pPr>
            <w:r>
              <w:rPr>
                <w:rFonts w:eastAsia="Times New Roman"/>
                <w:sz w:val="20"/>
                <w:szCs w:val="20"/>
              </w:rPr>
              <w:t>218,065</w:t>
            </w:r>
          </w:p>
        </w:tc>
        <w:tc>
          <w:tcPr>
            <w:tcW w:w="50" w:type="pct"/>
            <w:shd w:val="clear" w:color="auto" w:fill="FFFFFF"/>
            <w:tcMar>
              <w:top w:w="0" w:type="dxa"/>
              <w:left w:w="0" w:type="dxa"/>
              <w:bottom w:w="15" w:type="dxa"/>
              <w:right w:w="0" w:type="dxa"/>
            </w:tcMar>
            <w:vAlign w:val="bottom"/>
            <w:hideMark/>
          </w:tcPr>
          <w:p w14:paraId="69F0A37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BCC98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88D0995"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5B5470F" w14:textId="77777777" w:rsidR="00000000" w:rsidRDefault="00527094">
            <w:pPr>
              <w:jc w:val="right"/>
              <w:rPr>
                <w:rFonts w:eastAsia="Times New Roman"/>
                <w:sz w:val="20"/>
                <w:szCs w:val="20"/>
              </w:rPr>
            </w:pPr>
            <w:r>
              <w:rPr>
                <w:rFonts w:eastAsia="Times New Roman"/>
                <w:sz w:val="20"/>
                <w:szCs w:val="20"/>
              </w:rPr>
              <w:t>310,207</w:t>
            </w:r>
          </w:p>
        </w:tc>
        <w:tc>
          <w:tcPr>
            <w:tcW w:w="50" w:type="pct"/>
            <w:shd w:val="clear" w:color="auto" w:fill="FFFFFF"/>
            <w:tcMar>
              <w:top w:w="0" w:type="dxa"/>
              <w:left w:w="0" w:type="dxa"/>
              <w:bottom w:w="15" w:type="dxa"/>
              <w:right w:w="0" w:type="dxa"/>
            </w:tcMar>
            <w:vAlign w:val="bottom"/>
            <w:hideMark/>
          </w:tcPr>
          <w:p w14:paraId="4673F18D" w14:textId="77777777" w:rsidR="00000000" w:rsidRDefault="00527094">
            <w:pPr>
              <w:rPr>
                <w:rFonts w:eastAsia="Times New Roman"/>
                <w:sz w:val="20"/>
                <w:szCs w:val="20"/>
              </w:rPr>
            </w:pPr>
            <w:r>
              <w:rPr>
                <w:rFonts w:eastAsia="Times New Roman"/>
                <w:sz w:val="20"/>
                <w:szCs w:val="20"/>
              </w:rPr>
              <w:t> </w:t>
            </w:r>
          </w:p>
        </w:tc>
      </w:tr>
      <w:tr w:rsidR="00000000" w14:paraId="5634D51D" w14:textId="77777777">
        <w:trPr>
          <w:divId w:val="2120177406"/>
          <w:tblCellSpacing w:w="0" w:type="dxa"/>
        </w:trPr>
        <w:tc>
          <w:tcPr>
            <w:tcW w:w="0" w:type="auto"/>
            <w:shd w:val="clear" w:color="auto" w:fill="CCEEFF"/>
            <w:vAlign w:val="bottom"/>
            <w:hideMark/>
          </w:tcPr>
          <w:p w14:paraId="3A42A3A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298BF4F0"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79405D6C"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54CE7F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626B4EE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9BE2CBC"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1FC71312"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33336D2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6EF8CA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EF36C1C"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1B8743AB"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2F3BB44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207F509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F42CFE6"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512E82BF"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05AAB3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166F795" w14:textId="77777777" w:rsidR="00000000" w:rsidRDefault="00527094">
            <w:pPr>
              <w:rPr>
                <w:rFonts w:eastAsia="Times New Roman"/>
                <w:sz w:val="20"/>
                <w:szCs w:val="20"/>
              </w:rPr>
            </w:pPr>
            <w:r>
              <w:rPr>
                <w:rFonts w:eastAsia="Times New Roman"/>
                <w:sz w:val="20"/>
                <w:szCs w:val="20"/>
              </w:rPr>
              <w:t> </w:t>
            </w:r>
          </w:p>
        </w:tc>
      </w:tr>
      <w:tr w:rsidR="00000000" w14:paraId="75B61C4B" w14:textId="77777777">
        <w:trPr>
          <w:divId w:val="2120177406"/>
          <w:tblCellSpacing w:w="0" w:type="dxa"/>
        </w:trPr>
        <w:tc>
          <w:tcPr>
            <w:tcW w:w="0" w:type="auto"/>
            <w:shd w:val="clear" w:color="auto" w:fill="FFFFFF"/>
            <w:vAlign w:val="bottom"/>
            <w:hideMark/>
          </w:tcPr>
          <w:p w14:paraId="43E0946C" w14:textId="77777777" w:rsidR="00000000" w:rsidRDefault="00527094">
            <w:pPr>
              <w:pStyle w:val="a3"/>
              <w:spacing w:before="0" w:beforeAutospacing="0" w:after="0" w:afterAutospacing="0"/>
              <w:rPr>
                <w:sz w:val="20"/>
                <w:szCs w:val="20"/>
              </w:rPr>
            </w:pPr>
            <w:r>
              <w:rPr>
                <w:sz w:val="20"/>
                <w:szCs w:val="20"/>
              </w:rPr>
              <w:t>Comprehensive income </w:t>
            </w:r>
            <w:r>
              <w:rPr>
                <w:sz w:val="20"/>
                <w:szCs w:val="20"/>
              </w:rPr>
              <w:t>attributable to noncontrolling interests</w:t>
            </w:r>
          </w:p>
        </w:tc>
        <w:tc>
          <w:tcPr>
            <w:tcW w:w="50" w:type="pct"/>
            <w:shd w:val="clear" w:color="auto" w:fill="FFFFFF"/>
            <w:vAlign w:val="bottom"/>
            <w:hideMark/>
          </w:tcPr>
          <w:p w14:paraId="19AAD9B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A6FEDB8"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2FF7F50" w14:textId="77777777" w:rsidR="00000000" w:rsidRDefault="00527094">
            <w:pPr>
              <w:jc w:val="right"/>
              <w:rPr>
                <w:rFonts w:eastAsia="Times New Roman"/>
                <w:sz w:val="20"/>
                <w:szCs w:val="20"/>
              </w:rPr>
            </w:pPr>
            <w:r>
              <w:rPr>
                <w:rFonts w:eastAsia="Times New Roman"/>
                <w:sz w:val="20"/>
                <w:szCs w:val="20"/>
              </w:rPr>
              <w:t>(360</w:t>
            </w:r>
          </w:p>
        </w:tc>
        <w:tc>
          <w:tcPr>
            <w:tcW w:w="50" w:type="pct"/>
            <w:shd w:val="clear" w:color="auto" w:fill="FFFFFF"/>
            <w:tcMar>
              <w:top w:w="0" w:type="dxa"/>
              <w:left w:w="0" w:type="dxa"/>
              <w:bottom w:w="15" w:type="dxa"/>
              <w:right w:w="0" w:type="dxa"/>
            </w:tcMar>
            <w:vAlign w:val="bottom"/>
            <w:hideMark/>
          </w:tcPr>
          <w:p w14:paraId="5EC4073D"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1568D9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081EEC9"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3B25934" w14:textId="77777777" w:rsidR="00000000" w:rsidRDefault="00527094">
            <w:pPr>
              <w:jc w:val="right"/>
              <w:rPr>
                <w:rFonts w:eastAsia="Times New Roman"/>
                <w:sz w:val="20"/>
                <w:szCs w:val="20"/>
              </w:rPr>
            </w:pPr>
            <w:r>
              <w:rPr>
                <w:rFonts w:eastAsia="Times New Roman"/>
                <w:sz w:val="20"/>
                <w:szCs w:val="20"/>
              </w:rPr>
              <w:t>(423</w:t>
            </w:r>
          </w:p>
        </w:tc>
        <w:tc>
          <w:tcPr>
            <w:tcW w:w="50" w:type="pct"/>
            <w:shd w:val="clear" w:color="auto" w:fill="FFFFFF"/>
            <w:tcMar>
              <w:top w:w="0" w:type="dxa"/>
              <w:left w:w="0" w:type="dxa"/>
              <w:bottom w:w="15" w:type="dxa"/>
              <w:right w:w="0" w:type="dxa"/>
            </w:tcMar>
            <w:vAlign w:val="bottom"/>
            <w:hideMark/>
          </w:tcPr>
          <w:p w14:paraId="4C1504F8"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D6C793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572BB4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D8832AB" w14:textId="77777777" w:rsidR="00000000" w:rsidRDefault="00527094">
            <w:pPr>
              <w:jc w:val="right"/>
              <w:rPr>
                <w:rFonts w:eastAsia="Times New Roman"/>
                <w:sz w:val="20"/>
                <w:szCs w:val="20"/>
              </w:rPr>
            </w:pPr>
            <w:r>
              <w:rPr>
                <w:rFonts w:eastAsia="Times New Roman"/>
                <w:sz w:val="20"/>
                <w:szCs w:val="20"/>
              </w:rPr>
              <w:t>(869</w:t>
            </w:r>
          </w:p>
        </w:tc>
        <w:tc>
          <w:tcPr>
            <w:tcW w:w="50" w:type="pct"/>
            <w:shd w:val="clear" w:color="auto" w:fill="FFFFFF"/>
            <w:tcMar>
              <w:top w:w="0" w:type="dxa"/>
              <w:left w:w="0" w:type="dxa"/>
              <w:bottom w:w="15" w:type="dxa"/>
              <w:right w:w="0" w:type="dxa"/>
            </w:tcMar>
            <w:vAlign w:val="bottom"/>
            <w:hideMark/>
          </w:tcPr>
          <w:p w14:paraId="2D0C9EB7"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831AF17"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516F2AE"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C68B136" w14:textId="77777777" w:rsidR="00000000" w:rsidRDefault="00527094">
            <w:pPr>
              <w:jc w:val="right"/>
              <w:rPr>
                <w:rFonts w:eastAsia="Times New Roman"/>
                <w:sz w:val="20"/>
                <w:szCs w:val="20"/>
              </w:rPr>
            </w:pPr>
            <w:r>
              <w:rPr>
                <w:rFonts w:eastAsia="Times New Roman"/>
                <w:sz w:val="20"/>
                <w:szCs w:val="20"/>
              </w:rPr>
              <w:t>(315</w:t>
            </w:r>
          </w:p>
        </w:tc>
        <w:tc>
          <w:tcPr>
            <w:tcW w:w="50" w:type="pct"/>
            <w:shd w:val="clear" w:color="auto" w:fill="FFFFFF"/>
            <w:tcMar>
              <w:top w:w="0" w:type="dxa"/>
              <w:left w:w="0" w:type="dxa"/>
              <w:bottom w:w="15" w:type="dxa"/>
              <w:right w:w="0" w:type="dxa"/>
            </w:tcMar>
            <w:vAlign w:val="bottom"/>
            <w:hideMark/>
          </w:tcPr>
          <w:p w14:paraId="376340B4" w14:textId="77777777" w:rsidR="00000000" w:rsidRDefault="00527094">
            <w:pPr>
              <w:rPr>
                <w:rFonts w:eastAsia="Times New Roman"/>
                <w:sz w:val="20"/>
                <w:szCs w:val="20"/>
              </w:rPr>
            </w:pPr>
            <w:r>
              <w:rPr>
                <w:rFonts w:eastAsia="Times New Roman"/>
                <w:sz w:val="20"/>
                <w:szCs w:val="20"/>
              </w:rPr>
              <w:t>)</w:t>
            </w:r>
          </w:p>
        </w:tc>
      </w:tr>
      <w:tr w:rsidR="00000000" w14:paraId="1138915A" w14:textId="77777777">
        <w:trPr>
          <w:divId w:val="2120177406"/>
          <w:tblCellSpacing w:w="0" w:type="dxa"/>
        </w:trPr>
        <w:tc>
          <w:tcPr>
            <w:tcW w:w="0" w:type="auto"/>
            <w:shd w:val="clear" w:color="auto" w:fill="CCEEFF"/>
            <w:vAlign w:val="bottom"/>
            <w:hideMark/>
          </w:tcPr>
          <w:p w14:paraId="6668607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49420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77C2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E2F46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C7068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51831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1DF4D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7023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2D12E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3C269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0C7B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BA4E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22CC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CD8A1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386BF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932FC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9DF7CF" w14:textId="77777777" w:rsidR="00000000" w:rsidRDefault="00527094">
            <w:pPr>
              <w:rPr>
                <w:rFonts w:eastAsia="Times New Roman"/>
                <w:sz w:val="20"/>
                <w:szCs w:val="20"/>
              </w:rPr>
            </w:pPr>
            <w:r>
              <w:rPr>
                <w:rFonts w:eastAsia="Times New Roman"/>
                <w:sz w:val="20"/>
                <w:szCs w:val="20"/>
              </w:rPr>
              <w:t> </w:t>
            </w:r>
          </w:p>
        </w:tc>
      </w:tr>
      <w:tr w:rsidR="00000000" w14:paraId="42BBF9AC" w14:textId="77777777">
        <w:trPr>
          <w:divId w:val="2120177406"/>
          <w:tblCellSpacing w:w="0" w:type="dxa"/>
        </w:trPr>
        <w:tc>
          <w:tcPr>
            <w:tcW w:w="0" w:type="auto"/>
            <w:shd w:val="clear" w:color="auto" w:fill="FFFFFF"/>
            <w:vAlign w:val="bottom"/>
            <w:hideMark/>
          </w:tcPr>
          <w:p w14:paraId="422CD24F" w14:textId="77777777" w:rsidR="00000000" w:rsidRDefault="00527094">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14:paraId="4C8CE56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449B646"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AE2800F" w14:textId="77777777" w:rsidR="00000000" w:rsidRDefault="00527094">
            <w:pPr>
              <w:jc w:val="right"/>
              <w:rPr>
                <w:rFonts w:eastAsia="Times New Roman"/>
                <w:sz w:val="20"/>
                <w:szCs w:val="20"/>
              </w:rPr>
            </w:pPr>
            <w:r>
              <w:rPr>
                <w:rFonts w:eastAsia="Times New Roman"/>
                <w:sz w:val="20"/>
                <w:szCs w:val="20"/>
              </w:rPr>
              <w:t>101,027</w:t>
            </w:r>
          </w:p>
        </w:tc>
        <w:tc>
          <w:tcPr>
            <w:tcW w:w="50" w:type="pct"/>
            <w:shd w:val="clear" w:color="auto" w:fill="FFFFFF"/>
            <w:tcMar>
              <w:top w:w="0" w:type="dxa"/>
              <w:left w:w="0" w:type="dxa"/>
              <w:bottom w:w="45" w:type="dxa"/>
              <w:right w:w="0" w:type="dxa"/>
            </w:tcMar>
            <w:vAlign w:val="bottom"/>
            <w:hideMark/>
          </w:tcPr>
          <w:p w14:paraId="4E57971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4D214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7038B25"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DFDF42A" w14:textId="77777777" w:rsidR="00000000" w:rsidRDefault="00527094">
            <w:pPr>
              <w:jc w:val="right"/>
              <w:rPr>
                <w:rFonts w:eastAsia="Times New Roman"/>
                <w:sz w:val="20"/>
                <w:szCs w:val="20"/>
              </w:rPr>
            </w:pPr>
            <w:r>
              <w:rPr>
                <w:rFonts w:eastAsia="Times New Roman"/>
                <w:sz w:val="20"/>
                <w:szCs w:val="20"/>
              </w:rPr>
              <w:t>165,524</w:t>
            </w:r>
          </w:p>
        </w:tc>
        <w:tc>
          <w:tcPr>
            <w:tcW w:w="50" w:type="pct"/>
            <w:shd w:val="clear" w:color="auto" w:fill="FFFFFF"/>
            <w:tcMar>
              <w:top w:w="0" w:type="dxa"/>
              <w:left w:w="0" w:type="dxa"/>
              <w:bottom w:w="45" w:type="dxa"/>
              <w:right w:w="0" w:type="dxa"/>
            </w:tcMar>
            <w:vAlign w:val="bottom"/>
            <w:hideMark/>
          </w:tcPr>
          <w:p w14:paraId="528CD4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BDA23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055BFF"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DA6FFB5" w14:textId="77777777" w:rsidR="00000000" w:rsidRDefault="00527094">
            <w:pPr>
              <w:jc w:val="right"/>
              <w:rPr>
                <w:rFonts w:eastAsia="Times New Roman"/>
                <w:sz w:val="20"/>
                <w:szCs w:val="20"/>
              </w:rPr>
            </w:pPr>
            <w:r>
              <w:rPr>
                <w:rFonts w:eastAsia="Times New Roman"/>
                <w:sz w:val="20"/>
                <w:szCs w:val="20"/>
              </w:rPr>
              <w:t>217,196</w:t>
            </w:r>
          </w:p>
        </w:tc>
        <w:tc>
          <w:tcPr>
            <w:tcW w:w="50" w:type="pct"/>
            <w:shd w:val="clear" w:color="auto" w:fill="FFFFFF"/>
            <w:tcMar>
              <w:top w:w="0" w:type="dxa"/>
              <w:left w:w="0" w:type="dxa"/>
              <w:bottom w:w="45" w:type="dxa"/>
              <w:right w:w="0" w:type="dxa"/>
            </w:tcMar>
            <w:vAlign w:val="bottom"/>
            <w:hideMark/>
          </w:tcPr>
          <w:p w14:paraId="1AAC93D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AFF405"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E315303"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54A62D8" w14:textId="77777777" w:rsidR="00000000" w:rsidRDefault="00527094">
            <w:pPr>
              <w:jc w:val="right"/>
              <w:rPr>
                <w:rFonts w:eastAsia="Times New Roman"/>
                <w:sz w:val="20"/>
                <w:szCs w:val="20"/>
              </w:rPr>
            </w:pPr>
            <w:r>
              <w:rPr>
                <w:rFonts w:eastAsia="Times New Roman"/>
                <w:sz w:val="20"/>
                <w:szCs w:val="20"/>
              </w:rPr>
              <w:t>309,892</w:t>
            </w:r>
          </w:p>
        </w:tc>
        <w:tc>
          <w:tcPr>
            <w:tcW w:w="50" w:type="pct"/>
            <w:shd w:val="clear" w:color="auto" w:fill="FFFFFF"/>
            <w:tcMar>
              <w:top w:w="0" w:type="dxa"/>
              <w:left w:w="0" w:type="dxa"/>
              <w:bottom w:w="45" w:type="dxa"/>
              <w:right w:w="0" w:type="dxa"/>
            </w:tcMar>
            <w:vAlign w:val="bottom"/>
            <w:hideMark/>
          </w:tcPr>
          <w:p w14:paraId="71BEE09E" w14:textId="77777777" w:rsidR="00000000" w:rsidRDefault="00527094">
            <w:pPr>
              <w:rPr>
                <w:rFonts w:eastAsia="Times New Roman"/>
                <w:sz w:val="20"/>
                <w:szCs w:val="20"/>
              </w:rPr>
            </w:pPr>
            <w:r>
              <w:rPr>
                <w:rFonts w:eastAsia="Times New Roman"/>
                <w:sz w:val="20"/>
                <w:szCs w:val="20"/>
              </w:rPr>
              <w:t> </w:t>
            </w:r>
          </w:p>
        </w:tc>
      </w:tr>
    </w:tbl>
    <w:p w14:paraId="40660118" w14:textId="77777777" w:rsidR="00000000" w:rsidRDefault="00527094">
      <w:pPr>
        <w:pStyle w:val="a3"/>
        <w:spacing w:before="0" w:beforeAutospacing="0" w:after="0" w:afterAutospacing="0"/>
        <w:rPr>
          <w:sz w:val="20"/>
          <w:szCs w:val="20"/>
        </w:rPr>
      </w:pPr>
      <w:r>
        <w:rPr>
          <w:sz w:val="20"/>
          <w:szCs w:val="20"/>
        </w:rPr>
        <w:t> </w:t>
      </w:r>
    </w:p>
    <w:p w14:paraId="2444C5BF" w14:textId="77777777" w:rsidR="00000000" w:rsidRDefault="00527094">
      <w:pPr>
        <w:pStyle w:val="a3"/>
        <w:spacing w:before="0" w:beforeAutospacing="0" w:after="0" w:afterAutospacing="0"/>
        <w:rPr>
          <w:sz w:val="20"/>
          <w:szCs w:val="20"/>
        </w:rPr>
      </w:pPr>
      <w:r>
        <w:rPr>
          <w:sz w:val="20"/>
          <w:szCs w:val="20"/>
        </w:rPr>
        <w:t> </w:t>
      </w:r>
    </w:p>
    <w:p w14:paraId="7D62E38F" w14:textId="77777777" w:rsidR="00000000" w:rsidRDefault="0052709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55C0E779" w14:textId="77777777" w:rsidR="00000000" w:rsidRDefault="00527094">
      <w:pPr>
        <w:pStyle w:val="a3"/>
        <w:spacing w:before="0" w:beforeAutospacing="0" w:after="0" w:afterAutospacing="0"/>
        <w:jc w:val="center"/>
        <w:rPr>
          <w:sz w:val="20"/>
          <w:szCs w:val="20"/>
        </w:rPr>
      </w:pPr>
      <w:r>
        <w:rPr>
          <w:sz w:val="20"/>
          <w:szCs w:val="20"/>
        </w:rPr>
        <w:t> </w:t>
      </w:r>
    </w:p>
    <w:p w14:paraId="647CF6FB" w14:textId="77777777" w:rsidR="00000000" w:rsidRDefault="00527094">
      <w:pPr>
        <w:jc w:val="center"/>
        <w:divId w:val="1561134360"/>
        <w:rPr>
          <w:rFonts w:eastAsia="Times New Roman"/>
          <w:sz w:val="20"/>
          <w:szCs w:val="20"/>
        </w:rPr>
      </w:pPr>
      <w:r>
        <w:rPr>
          <w:rFonts w:eastAsia="Times New Roman"/>
          <w:sz w:val="20"/>
          <w:szCs w:val="20"/>
        </w:rPr>
        <w:t xml:space="preserve">5 </w:t>
      </w:r>
    </w:p>
    <w:p w14:paraId="291BD5D9" w14:textId="77777777" w:rsidR="00000000" w:rsidRDefault="00527094">
      <w:pPr>
        <w:divId w:val="1561134360"/>
        <w:rPr>
          <w:rFonts w:eastAsia="Times New Roman"/>
          <w:sz w:val="20"/>
          <w:szCs w:val="20"/>
        </w:rPr>
      </w:pPr>
      <w:r>
        <w:rPr>
          <w:rFonts w:eastAsia="Times New Roman"/>
          <w:sz w:val="20"/>
          <w:szCs w:val="20"/>
        </w:rPr>
        <w:pict w14:anchorId="7DD16306">
          <v:rect id="_x0000_i1033" style="width:0;height:1.5pt" o:hralign="center" o:hrstd="t" o:hr="t" fillcolor="#a0a0a0" stroked="f"/>
        </w:pict>
      </w:r>
    </w:p>
    <w:p w14:paraId="2BE7B76E" w14:textId="77777777" w:rsidR="00000000" w:rsidRDefault="00527094">
      <w:pPr>
        <w:divId w:val="15611343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374C961" w14:textId="77777777" w:rsidR="00000000" w:rsidRDefault="00527094">
      <w:pPr>
        <w:pStyle w:val="a3"/>
        <w:spacing w:before="0" w:beforeAutospacing="0" w:after="0" w:afterAutospacing="0"/>
        <w:rPr>
          <w:sz w:val="20"/>
          <w:szCs w:val="20"/>
        </w:rPr>
      </w:pPr>
      <w:r>
        <w:rPr>
          <w:sz w:val="20"/>
          <w:szCs w:val="20"/>
        </w:rPr>
        <w:t> </w:t>
      </w:r>
    </w:p>
    <w:p w14:paraId="625E86F2" w14:textId="77777777" w:rsidR="00000000" w:rsidRDefault="00527094">
      <w:pPr>
        <w:divId w:val="1652251267"/>
        <w:rPr>
          <w:rFonts w:eastAsia="Times New Roman"/>
          <w:sz w:val="20"/>
          <w:szCs w:val="20"/>
        </w:rPr>
      </w:pPr>
      <w:r>
        <w:rPr>
          <w:rFonts w:eastAsia="Times New Roman"/>
          <w:sz w:val="20"/>
          <w:szCs w:val="20"/>
        </w:rPr>
        <w:t xml:space="preserve">  </w:t>
      </w:r>
    </w:p>
    <w:p w14:paraId="5F6BE3BB" w14:textId="77777777" w:rsidR="00000000" w:rsidRDefault="00527094">
      <w:pPr>
        <w:pStyle w:val="a3"/>
        <w:spacing w:before="0" w:beforeAutospacing="0" w:after="0" w:afterAutospacing="0"/>
        <w:jc w:val="center"/>
        <w:rPr>
          <w:sz w:val="20"/>
          <w:szCs w:val="20"/>
        </w:rPr>
      </w:pPr>
      <w:r>
        <w:rPr>
          <w:sz w:val="20"/>
          <w:szCs w:val="20"/>
        </w:rPr>
        <w:t>KIMCO REALTY CORPORATION AND SUBSIDIA</w:t>
      </w:r>
      <w:r>
        <w:rPr>
          <w:sz w:val="20"/>
          <w:szCs w:val="20"/>
        </w:rPr>
        <w:t>RIES</w:t>
      </w:r>
    </w:p>
    <w:p w14:paraId="490C5367" w14:textId="77777777" w:rsidR="00000000" w:rsidRDefault="00527094">
      <w:pPr>
        <w:pStyle w:val="a3"/>
        <w:spacing w:before="0" w:beforeAutospacing="0" w:after="0" w:afterAutospacing="0"/>
        <w:jc w:val="center"/>
        <w:rPr>
          <w:sz w:val="20"/>
          <w:szCs w:val="20"/>
        </w:rPr>
      </w:pPr>
      <w:r>
        <w:rPr>
          <w:sz w:val="20"/>
          <w:szCs w:val="20"/>
        </w:rPr>
        <w:t>CONDENSED CONSOLIDATED STATEMENTS OF CHANGES IN EQUITY</w:t>
      </w:r>
    </w:p>
    <w:p w14:paraId="78E8616B" w14:textId="77777777" w:rsidR="00000000" w:rsidRDefault="00527094">
      <w:pPr>
        <w:pStyle w:val="a3"/>
        <w:spacing w:before="0" w:beforeAutospacing="0" w:after="0" w:afterAutospacing="0"/>
        <w:jc w:val="center"/>
        <w:rPr>
          <w:sz w:val="20"/>
          <w:szCs w:val="20"/>
        </w:rPr>
      </w:pPr>
      <w:r>
        <w:rPr>
          <w:sz w:val="20"/>
          <w:szCs w:val="20"/>
        </w:rPr>
        <w:t>For the Three Months Ended June 30, 2019 and 2018</w:t>
      </w:r>
    </w:p>
    <w:p w14:paraId="05EE3F42" w14:textId="77777777" w:rsidR="00000000" w:rsidRDefault="00527094">
      <w:pPr>
        <w:pStyle w:val="a3"/>
        <w:spacing w:before="0" w:beforeAutospacing="0" w:after="0" w:afterAutospacing="0"/>
        <w:jc w:val="center"/>
        <w:rPr>
          <w:sz w:val="20"/>
          <w:szCs w:val="20"/>
        </w:rPr>
      </w:pPr>
      <w:r>
        <w:rPr>
          <w:sz w:val="20"/>
          <w:szCs w:val="20"/>
        </w:rPr>
        <w:t>(Unaudited)</w:t>
      </w:r>
    </w:p>
    <w:p w14:paraId="1FFD8458" w14:textId="77777777" w:rsidR="00000000" w:rsidRDefault="00527094">
      <w:pPr>
        <w:pStyle w:val="a3"/>
        <w:spacing w:before="0" w:beforeAutospacing="0" w:after="0" w:afterAutospacing="0"/>
        <w:jc w:val="center"/>
        <w:rPr>
          <w:sz w:val="20"/>
          <w:szCs w:val="20"/>
        </w:rPr>
      </w:pPr>
      <w:r>
        <w:rPr>
          <w:sz w:val="20"/>
          <w:szCs w:val="20"/>
        </w:rPr>
        <w:t>(in thousands)</w:t>
      </w:r>
    </w:p>
    <w:p w14:paraId="5BCAF4BD" w14:textId="77777777" w:rsidR="00000000" w:rsidRDefault="0052709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49"/>
        <w:gridCol w:w="40"/>
        <w:gridCol w:w="129"/>
        <w:gridCol w:w="769"/>
        <w:gridCol w:w="54"/>
        <w:gridCol w:w="40"/>
        <w:gridCol w:w="153"/>
        <w:gridCol w:w="914"/>
        <w:gridCol w:w="54"/>
        <w:gridCol w:w="40"/>
        <w:gridCol w:w="73"/>
        <w:gridCol w:w="364"/>
        <w:gridCol w:w="48"/>
        <w:gridCol w:w="47"/>
        <w:gridCol w:w="94"/>
        <w:gridCol w:w="467"/>
        <w:gridCol w:w="40"/>
        <w:gridCol w:w="40"/>
        <w:gridCol w:w="40"/>
        <w:gridCol w:w="520"/>
        <w:gridCol w:w="54"/>
        <w:gridCol w:w="40"/>
        <w:gridCol w:w="94"/>
        <w:gridCol w:w="467"/>
        <w:gridCol w:w="54"/>
        <w:gridCol w:w="40"/>
        <w:gridCol w:w="80"/>
        <w:gridCol w:w="640"/>
        <w:gridCol w:w="54"/>
        <w:gridCol w:w="40"/>
        <w:gridCol w:w="134"/>
        <w:gridCol w:w="800"/>
        <w:gridCol w:w="54"/>
        <w:gridCol w:w="40"/>
        <w:gridCol w:w="148"/>
        <w:gridCol w:w="884"/>
        <w:gridCol w:w="54"/>
        <w:gridCol w:w="40"/>
        <w:gridCol w:w="80"/>
        <w:gridCol w:w="640"/>
        <w:gridCol w:w="54"/>
      </w:tblGrid>
      <w:tr w:rsidR="00000000" w14:paraId="186C3B32" w14:textId="77777777">
        <w:trPr>
          <w:divId w:val="248856616"/>
          <w:tblCellSpacing w:w="0" w:type="dxa"/>
        </w:trPr>
        <w:tc>
          <w:tcPr>
            <w:tcW w:w="750" w:type="pct"/>
            <w:vAlign w:val="bottom"/>
            <w:hideMark/>
          </w:tcPr>
          <w:p w14:paraId="141BEF86"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EC09AA2"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0DF9001D" w14:textId="77777777" w:rsidR="00000000" w:rsidRDefault="00527094">
            <w:pPr>
              <w:jc w:val="center"/>
              <w:rPr>
                <w:rFonts w:eastAsia="Times New Roman"/>
                <w:sz w:val="16"/>
                <w:szCs w:val="16"/>
              </w:rPr>
            </w:pPr>
            <w:r>
              <w:rPr>
                <w:rFonts w:eastAsia="Times New Roman"/>
                <w:b/>
                <w:bCs/>
                <w:sz w:val="16"/>
                <w:szCs w:val="16"/>
              </w:rPr>
              <w:t>Cumulative</w:t>
            </w:r>
          </w:p>
        </w:tc>
        <w:tc>
          <w:tcPr>
            <w:tcW w:w="50" w:type="pct"/>
            <w:vAlign w:val="bottom"/>
            <w:hideMark/>
          </w:tcPr>
          <w:p w14:paraId="2486020C"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440951F6"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349A2EC6" w14:textId="77777777" w:rsidR="00000000" w:rsidRDefault="00527094">
            <w:pPr>
              <w:pStyle w:val="a3"/>
              <w:spacing w:before="0" w:beforeAutospacing="0" w:after="0" w:afterAutospacing="0"/>
              <w:jc w:val="center"/>
              <w:rPr>
                <w:sz w:val="16"/>
                <w:szCs w:val="16"/>
              </w:rPr>
            </w:pPr>
            <w:r>
              <w:rPr>
                <w:b/>
                <w:bCs/>
                <w:sz w:val="16"/>
                <w:szCs w:val="16"/>
              </w:rPr>
              <w:t>Accumulated</w:t>
            </w:r>
          </w:p>
        </w:tc>
        <w:tc>
          <w:tcPr>
            <w:tcW w:w="50" w:type="pct"/>
            <w:vAlign w:val="bottom"/>
            <w:hideMark/>
          </w:tcPr>
          <w:p w14:paraId="1A0124B2"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38E96E12"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6E308539"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5673CFFF"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33FF3FE1"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62427733"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AE3BEEA"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7E1FD33F"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25F81997"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9FA7984"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914979D"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06095A00"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2FCE5E0F"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1AFB37CC"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3298587D"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198782E9"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7EB5F3C4"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25559F37"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60C9C1F1"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372226E6"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343B120F"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59308E62"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36D323A3"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5D0AFC7B"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0984D37A"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47B1AC29"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6268D9F"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1013AF62"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5E3BF2EE"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CE3745F"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7CF4272A"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3D8F817A"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4566EBAE" w14:textId="77777777" w:rsidR="00000000" w:rsidRDefault="00527094">
            <w:pPr>
              <w:rPr>
                <w:rFonts w:eastAsia="Times New Roman"/>
                <w:sz w:val="16"/>
                <w:szCs w:val="16"/>
              </w:rPr>
            </w:pPr>
            <w:r>
              <w:rPr>
                <w:rFonts w:eastAsia="Times New Roman"/>
                <w:b/>
                <w:bCs/>
                <w:sz w:val="16"/>
                <w:szCs w:val="16"/>
              </w:rPr>
              <w:t> </w:t>
            </w:r>
          </w:p>
        </w:tc>
      </w:tr>
      <w:tr w:rsidR="00000000" w14:paraId="557367E3" w14:textId="77777777">
        <w:trPr>
          <w:divId w:val="248856616"/>
          <w:tblCellSpacing w:w="0" w:type="dxa"/>
        </w:trPr>
        <w:tc>
          <w:tcPr>
            <w:tcW w:w="750" w:type="pct"/>
            <w:vAlign w:val="bottom"/>
            <w:hideMark/>
          </w:tcPr>
          <w:p w14:paraId="0B279D7F"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9D1CAAF"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5059623B" w14:textId="77777777" w:rsidR="00000000" w:rsidRDefault="00527094">
            <w:pPr>
              <w:pStyle w:val="a3"/>
              <w:spacing w:before="0" w:beforeAutospacing="0" w:after="0" w:afterAutospacing="0"/>
              <w:jc w:val="center"/>
              <w:rPr>
                <w:sz w:val="16"/>
                <w:szCs w:val="16"/>
              </w:rPr>
            </w:pPr>
            <w:r>
              <w:rPr>
                <w:b/>
                <w:bCs/>
                <w:sz w:val="16"/>
                <w:szCs w:val="16"/>
              </w:rPr>
              <w:t>Distributions in</w:t>
            </w:r>
          </w:p>
        </w:tc>
        <w:tc>
          <w:tcPr>
            <w:tcW w:w="50" w:type="pct"/>
            <w:vAlign w:val="bottom"/>
            <w:hideMark/>
          </w:tcPr>
          <w:p w14:paraId="101A564A"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D6D1B17"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3DB522C3" w14:textId="77777777" w:rsidR="00000000" w:rsidRDefault="00527094">
            <w:pPr>
              <w:pStyle w:val="a3"/>
              <w:spacing w:before="0" w:beforeAutospacing="0" w:after="0" w:afterAutospacing="0"/>
              <w:jc w:val="center"/>
              <w:rPr>
                <w:sz w:val="16"/>
                <w:szCs w:val="16"/>
              </w:rPr>
            </w:pPr>
            <w:r>
              <w:rPr>
                <w:b/>
                <w:bCs/>
                <w:sz w:val="16"/>
                <w:szCs w:val="16"/>
              </w:rPr>
              <w:t>Other</w:t>
            </w:r>
          </w:p>
        </w:tc>
        <w:tc>
          <w:tcPr>
            <w:tcW w:w="50" w:type="pct"/>
            <w:vAlign w:val="bottom"/>
            <w:hideMark/>
          </w:tcPr>
          <w:p w14:paraId="690371C6"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44309817"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1747780F"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2BD598CA"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3C533FD8"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60C51FBA"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55F0FBF"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2AEBB874"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300FF81C"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6FAE05F6"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227ACA0"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47162C26"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38A88639"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4321013"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7F9F7ACC"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2436D268"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6632A1A4"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F7003D1"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474F50B4"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48D7D2D2"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1ABF9C6E"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43E0EF25"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27432759" w14:textId="77777777" w:rsidR="00000000" w:rsidRDefault="0052709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5649510E"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5B76A1D"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786EC72E"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4CDC1816"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3294DEE2"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1437443E"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741C495"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211F5B9A"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4B09E3C2" w14:textId="77777777" w:rsidR="00000000" w:rsidRDefault="00527094">
            <w:pPr>
              <w:rPr>
                <w:rFonts w:eastAsia="Times New Roman"/>
                <w:sz w:val="16"/>
                <w:szCs w:val="16"/>
              </w:rPr>
            </w:pPr>
            <w:r>
              <w:rPr>
                <w:rFonts w:eastAsia="Times New Roman"/>
                <w:b/>
                <w:bCs/>
                <w:sz w:val="16"/>
                <w:szCs w:val="16"/>
              </w:rPr>
              <w:t> </w:t>
            </w:r>
          </w:p>
        </w:tc>
      </w:tr>
      <w:tr w:rsidR="00000000" w14:paraId="30E6100D" w14:textId="77777777">
        <w:trPr>
          <w:divId w:val="248856616"/>
          <w:tblCellSpacing w:w="0" w:type="dxa"/>
        </w:trPr>
        <w:tc>
          <w:tcPr>
            <w:tcW w:w="750" w:type="pct"/>
            <w:vAlign w:val="bottom"/>
            <w:hideMark/>
          </w:tcPr>
          <w:p w14:paraId="47654435"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12F68FCE"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17F7908E" w14:textId="77777777" w:rsidR="00000000" w:rsidRDefault="00527094">
            <w:pPr>
              <w:pStyle w:val="a3"/>
              <w:spacing w:before="0" w:beforeAutospacing="0" w:after="0" w:afterAutospacing="0"/>
              <w:jc w:val="center"/>
              <w:rPr>
                <w:sz w:val="16"/>
                <w:szCs w:val="16"/>
              </w:rPr>
            </w:pPr>
            <w:r>
              <w:rPr>
                <w:b/>
                <w:bCs/>
                <w:sz w:val="16"/>
                <w:szCs w:val="16"/>
              </w:rPr>
              <w:t>Excess of</w:t>
            </w:r>
          </w:p>
        </w:tc>
        <w:tc>
          <w:tcPr>
            <w:tcW w:w="50" w:type="pct"/>
            <w:vAlign w:val="bottom"/>
            <w:hideMark/>
          </w:tcPr>
          <w:p w14:paraId="0F714C57"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88A544A"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3DD05494" w14:textId="77777777" w:rsidR="00000000" w:rsidRDefault="00527094">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14:paraId="7C49865B"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BB45409" w14:textId="77777777" w:rsidR="00000000" w:rsidRDefault="0052709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4008A43A" w14:textId="77777777" w:rsidR="00000000" w:rsidRDefault="00527094">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14:paraId="26911F70"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286FC16A" w14:textId="77777777" w:rsidR="00000000" w:rsidRDefault="0052709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625BBC0C" w14:textId="77777777" w:rsidR="00000000" w:rsidRDefault="00527094">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14:paraId="744A0F91"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8442D81"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4A928335" w14:textId="77777777" w:rsidR="00000000" w:rsidRDefault="00527094">
            <w:pPr>
              <w:pStyle w:val="a3"/>
              <w:spacing w:before="0" w:beforeAutospacing="0" w:after="0" w:afterAutospacing="0"/>
              <w:jc w:val="center"/>
              <w:rPr>
                <w:sz w:val="16"/>
                <w:szCs w:val="16"/>
              </w:rPr>
            </w:pPr>
            <w:r>
              <w:rPr>
                <w:b/>
                <w:bCs/>
                <w:sz w:val="16"/>
                <w:szCs w:val="16"/>
              </w:rPr>
              <w:t>Paid-in</w:t>
            </w:r>
          </w:p>
        </w:tc>
        <w:tc>
          <w:tcPr>
            <w:tcW w:w="50" w:type="pct"/>
            <w:vAlign w:val="bottom"/>
            <w:hideMark/>
          </w:tcPr>
          <w:p w14:paraId="71C05DD2"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7BDC2BC2"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4887B606" w14:textId="77777777" w:rsidR="00000000" w:rsidRDefault="00527094">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14:paraId="195EEA76"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69556205"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0B9E39A7" w14:textId="77777777" w:rsidR="00000000" w:rsidRDefault="00527094">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14:paraId="50167B5B"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9873B09"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23F08E1B" w14:textId="77777777" w:rsidR="00000000" w:rsidRDefault="0052709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5E88605F" w14:textId="77777777" w:rsidR="00000000" w:rsidRDefault="00527094">
            <w:pPr>
              <w:rPr>
                <w:rFonts w:eastAsia="Times New Roman"/>
                <w:sz w:val="16"/>
                <w:szCs w:val="16"/>
              </w:rPr>
            </w:pPr>
            <w:r>
              <w:rPr>
                <w:rFonts w:eastAsia="Times New Roman"/>
                <w:sz w:val="16"/>
                <w:szCs w:val="16"/>
              </w:rPr>
              <w:t> </w:t>
            </w:r>
          </w:p>
        </w:tc>
      </w:tr>
      <w:tr w:rsidR="00000000" w14:paraId="4B3946BB" w14:textId="77777777">
        <w:trPr>
          <w:divId w:val="248856616"/>
          <w:tblCellSpacing w:w="0" w:type="dxa"/>
        </w:trPr>
        <w:tc>
          <w:tcPr>
            <w:tcW w:w="750" w:type="pct"/>
            <w:vAlign w:val="bottom"/>
            <w:hideMark/>
          </w:tcPr>
          <w:p w14:paraId="0502A003"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0C14C09"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28ED0E9" w14:textId="77777777" w:rsidR="00000000" w:rsidRDefault="00527094">
            <w:pPr>
              <w:pStyle w:val="a3"/>
              <w:spacing w:before="0" w:beforeAutospacing="0" w:after="0" w:afterAutospacing="0"/>
              <w:jc w:val="center"/>
              <w:rPr>
                <w:sz w:val="16"/>
                <w:szCs w:val="16"/>
              </w:rPr>
            </w:pPr>
            <w:r>
              <w:rPr>
                <w:b/>
                <w:bCs/>
                <w:sz w:val="16"/>
                <w:szCs w:val="16"/>
              </w:rPr>
              <w:t>Net Income</w:t>
            </w:r>
          </w:p>
        </w:tc>
        <w:tc>
          <w:tcPr>
            <w:tcW w:w="50" w:type="pct"/>
            <w:tcBorders>
              <w:bottom w:val="single" w:sz="6" w:space="0" w:color="000000"/>
            </w:tcBorders>
            <w:vAlign w:val="bottom"/>
            <w:hideMark/>
          </w:tcPr>
          <w:p w14:paraId="5BF133BD"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4F5AC33C"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6800AC03" w14:textId="77777777" w:rsidR="00000000" w:rsidRDefault="00527094">
            <w:pPr>
              <w:pStyle w:val="a3"/>
              <w:spacing w:before="0" w:beforeAutospacing="0" w:after="0" w:afterAutospacing="0"/>
              <w:jc w:val="center"/>
              <w:rPr>
                <w:sz w:val="16"/>
                <w:szCs w:val="16"/>
              </w:rPr>
            </w:pPr>
            <w:r>
              <w:rPr>
                <w:b/>
                <w:bCs/>
                <w:sz w:val="16"/>
                <w:szCs w:val="16"/>
              </w:rPr>
              <w:t>Income/(Loss)</w:t>
            </w:r>
          </w:p>
        </w:tc>
        <w:tc>
          <w:tcPr>
            <w:tcW w:w="50" w:type="pct"/>
            <w:tcBorders>
              <w:bottom w:val="single" w:sz="6" w:space="0" w:color="000000"/>
            </w:tcBorders>
            <w:vAlign w:val="bottom"/>
            <w:hideMark/>
          </w:tcPr>
          <w:p w14:paraId="7CD3D96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64887AE"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78A05D7" w14:textId="77777777" w:rsidR="00000000" w:rsidRDefault="0052709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550EC49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29903F7"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339E12A" w14:textId="77777777" w:rsidR="00000000" w:rsidRDefault="0052709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4E7FD83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9963BD4"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381EDF0" w14:textId="77777777" w:rsidR="00000000" w:rsidRDefault="0052709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1A91D353"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764E766"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50E2280" w14:textId="77777777" w:rsidR="00000000" w:rsidRDefault="0052709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2A4E584D"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A9E469C"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50790D5" w14:textId="77777777" w:rsidR="00000000" w:rsidRDefault="00527094">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14:paraId="4E4C2421"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A12DD47"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0BFDE16" w14:textId="77777777" w:rsidR="00000000" w:rsidRDefault="00527094">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14:paraId="7BB7BE0B"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30293D9"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4EEBC62" w14:textId="77777777" w:rsidR="00000000" w:rsidRDefault="00527094">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14:paraId="75BDB931"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0A76727B"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7D129EE3" w14:textId="77777777" w:rsidR="00000000" w:rsidRDefault="00527094">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14:paraId="4E66723C" w14:textId="77777777" w:rsidR="00000000" w:rsidRDefault="00527094">
            <w:pPr>
              <w:rPr>
                <w:rFonts w:eastAsia="Times New Roman"/>
                <w:sz w:val="16"/>
                <w:szCs w:val="16"/>
              </w:rPr>
            </w:pPr>
            <w:r>
              <w:rPr>
                <w:rFonts w:eastAsia="Times New Roman"/>
                <w:sz w:val="16"/>
                <w:szCs w:val="16"/>
              </w:rPr>
              <w:t> </w:t>
            </w:r>
          </w:p>
        </w:tc>
      </w:tr>
      <w:tr w:rsidR="00527094" w14:paraId="424437D6" w14:textId="77777777">
        <w:trPr>
          <w:divId w:val="248856616"/>
          <w:tblCellSpacing w:w="0" w:type="dxa"/>
        </w:trPr>
        <w:tc>
          <w:tcPr>
            <w:tcW w:w="750" w:type="pct"/>
            <w:shd w:val="clear" w:color="auto" w:fill="CCEEFF"/>
            <w:vAlign w:val="bottom"/>
            <w:hideMark/>
          </w:tcPr>
          <w:p w14:paraId="6F5B5317" w14:textId="77777777" w:rsidR="00000000" w:rsidRDefault="00527094">
            <w:pPr>
              <w:pStyle w:val="a3"/>
              <w:spacing w:before="0" w:beforeAutospacing="0" w:after="0" w:afterAutospacing="0"/>
              <w:rPr>
                <w:sz w:val="16"/>
                <w:szCs w:val="16"/>
              </w:rPr>
            </w:pPr>
            <w:r>
              <w:rPr>
                <w:sz w:val="16"/>
                <w:szCs w:val="16"/>
              </w:rPr>
              <w:t>Balance at April 1, 2018</w:t>
            </w:r>
          </w:p>
        </w:tc>
        <w:tc>
          <w:tcPr>
            <w:tcW w:w="50" w:type="pct"/>
            <w:shd w:val="clear" w:color="auto" w:fill="CCEEFF"/>
            <w:vAlign w:val="bottom"/>
            <w:hideMark/>
          </w:tcPr>
          <w:p w14:paraId="1D8F8D6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3129A6"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24178EBD" w14:textId="77777777" w:rsidR="00000000" w:rsidRDefault="00527094">
            <w:pPr>
              <w:jc w:val="right"/>
              <w:rPr>
                <w:rFonts w:eastAsia="Times New Roman"/>
                <w:sz w:val="16"/>
                <w:szCs w:val="16"/>
              </w:rPr>
            </w:pPr>
            <w:r>
              <w:rPr>
                <w:rFonts w:eastAsia="Times New Roman"/>
                <w:sz w:val="16"/>
                <w:szCs w:val="16"/>
              </w:rPr>
              <w:t>(743,845</w:t>
            </w:r>
          </w:p>
        </w:tc>
        <w:tc>
          <w:tcPr>
            <w:tcW w:w="50" w:type="pct"/>
            <w:shd w:val="clear" w:color="auto" w:fill="CCEEFF"/>
            <w:vAlign w:val="bottom"/>
            <w:hideMark/>
          </w:tcPr>
          <w:p w14:paraId="36CB9C70"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3C3D3BD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2EA2EC"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5C2CE118" w14:textId="77777777" w:rsidR="00000000" w:rsidRDefault="00527094">
            <w:pPr>
              <w:jc w:val="right"/>
              <w:rPr>
                <w:rFonts w:eastAsia="Times New Roman"/>
                <w:sz w:val="16"/>
                <w:szCs w:val="16"/>
              </w:rPr>
            </w:pPr>
            <w:r>
              <w:rPr>
                <w:rFonts w:eastAsia="Times New Roman"/>
                <w:sz w:val="16"/>
                <w:szCs w:val="16"/>
              </w:rPr>
              <w:t>(66</w:t>
            </w:r>
          </w:p>
        </w:tc>
        <w:tc>
          <w:tcPr>
            <w:tcW w:w="50" w:type="pct"/>
            <w:shd w:val="clear" w:color="auto" w:fill="CCEEFF"/>
            <w:vAlign w:val="bottom"/>
            <w:hideMark/>
          </w:tcPr>
          <w:p w14:paraId="40C439C0"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42E8410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13B84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6917CF9" w14:textId="77777777" w:rsidR="00000000" w:rsidRDefault="00527094">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167415A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6E8BA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F0F237" w14:textId="77777777" w:rsidR="00000000" w:rsidRDefault="00527094">
            <w:pPr>
              <w:rPr>
                <w:rFonts w:eastAsia="Times New Roman"/>
                <w:sz w:val="16"/>
                <w:szCs w:val="16"/>
              </w:rPr>
            </w:pPr>
            <w:r>
              <w:rPr>
                <w:rFonts w:eastAsia="Times New Roman"/>
                <w:sz w:val="16"/>
                <w:szCs w:val="16"/>
              </w:rPr>
              <w:t>$</w:t>
            </w:r>
          </w:p>
        </w:tc>
        <w:tc>
          <w:tcPr>
            <w:tcW w:w="250" w:type="pct"/>
            <w:shd w:val="clear" w:color="auto" w:fill="CCEEFF"/>
            <w:vAlign w:val="bottom"/>
            <w:hideMark/>
          </w:tcPr>
          <w:p w14:paraId="438912C1" w14:textId="77777777" w:rsidR="00000000" w:rsidRDefault="00527094">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7CA149C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995F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018C6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374BABE" w14:textId="77777777" w:rsidR="00000000" w:rsidRDefault="00527094">
            <w:pPr>
              <w:jc w:val="right"/>
              <w:rPr>
                <w:rFonts w:eastAsia="Times New Roman"/>
                <w:sz w:val="16"/>
                <w:szCs w:val="16"/>
              </w:rPr>
            </w:pPr>
            <w:r>
              <w:rPr>
                <w:rFonts w:eastAsia="Times New Roman"/>
                <w:sz w:val="16"/>
                <w:szCs w:val="16"/>
              </w:rPr>
              <w:t>424,900</w:t>
            </w:r>
          </w:p>
        </w:tc>
        <w:tc>
          <w:tcPr>
            <w:tcW w:w="50" w:type="pct"/>
            <w:shd w:val="clear" w:color="auto" w:fill="CCEEFF"/>
            <w:vAlign w:val="bottom"/>
            <w:hideMark/>
          </w:tcPr>
          <w:p w14:paraId="002CC4A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80BB9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A88A68" w14:textId="77777777" w:rsidR="00000000" w:rsidRDefault="00527094">
            <w:pPr>
              <w:rPr>
                <w:rFonts w:eastAsia="Times New Roman"/>
                <w:sz w:val="16"/>
                <w:szCs w:val="16"/>
              </w:rPr>
            </w:pPr>
            <w:r>
              <w:rPr>
                <w:rFonts w:eastAsia="Times New Roman"/>
                <w:sz w:val="16"/>
                <w:szCs w:val="16"/>
              </w:rPr>
              <w:t>$</w:t>
            </w:r>
          </w:p>
        </w:tc>
        <w:tc>
          <w:tcPr>
            <w:tcW w:w="250" w:type="pct"/>
            <w:shd w:val="clear" w:color="auto" w:fill="CCEEFF"/>
            <w:vAlign w:val="bottom"/>
            <w:hideMark/>
          </w:tcPr>
          <w:p w14:paraId="5DD2B31D" w14:textId="77777777" w:rsidR="00000000" w:rsidRDefault="00527094">
            <w:pPr>
              <w:jc w:val="right"/>
              <w:rPr>
                <w:rFonts w:eastAsia="Times New Roman"/>
                <w:sz w:val="16"/>
                <w:szCs w:val="16"/>
              </w:rPr>
            </w:pPr>
            <w:r>
              <w:rPr>
                <w:rFonts w:eastAsia="Times New Roman"/>
                <w:sz w:val="16"/>
                <w:szCs w:val="16"/>
              </w:rPr>
              <w:t>4,249</w:t>
            </w:r>
          </w:p>
        </w:tc>
        <w:tc>
          <w:tcPr>
            <w:tcW w:w="50" w:type="pct"/>
            <w:shd w:val="clear" w:color="auto" w:fill="CCEEFF"/>
            <w:vAlign w:val="bottom"/>
            <w:hideMark/>
          </w:tcPr>
          <w:p w14:paraId="772E38C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44EA9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E82A46"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76AA9897" w14:textId="77777777" w:rsidR="00000000" w:rsidRDefault="00527094">
            <w:pPr>
              <w:jc w:val="right"/>
              <w:rPr>
                <w:rFonts w:eastAsia="Times New Roman"/>
                <w:sz w:val="16"/>
                <w:szCs w:val="16"/>
              </w:rPr>
            </w:pPr>
            <w:r>
              <w:rPr>
                <w:rFonts w:eastAsia="Times New Roman"/>
                <w:sz w:val="16"/>
                <w:szCs w:val="16"/>
              </w:rPr>
              <w:t>6,164,185</w:t>
            </w:r>
          </w:p>
        </w:tc>
        <w:tc>
          <w:tcPr>
            <w:tcW w:w="50" w:type="pct"/>
            <w:shd w:val="clear" w:color="auto" w:fill="CCEEFF"/>
            <w:vAlign w:val="bottom"/>
            <w:hideMark/>
          </w:tcPr>
          <w:p w14:paraId="09ACDEE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F01C1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732FFE"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1B050A9A" w14:textId="77777777" w:rsidR="00000000" w:rsidRDefault="00527094">
            <w:pPr>
              <w:jc w:val="right"/>
              <w:rPr>
                <w:rFonts w:eastAsia="Times New Roman"/>
                <w:sz w:val="16"/>
                <w:szCs w:val="16"/>
              </w:rPr>
            </w:pPr>
            <w:r>
              <w:rPr>
                <w:rFonts w:eastAsia="Times New Roman"/>
                <w:sz w:val="16"/>
                <w:szCs w:val="16"/>
              </w:rPr>
              <w:t>5,424,566</w:t>
            </w:r>
          </w:p>
        </w:tc>
        <w:tc>
          <w:tcPr>
            <w:tcW w:w="50" w:type="pct"/>
            <w:shd w:val="clear" w:color="auto" w:fill="CCEEFF"/>
            <w:vAlign w:val="bottom"/>
            <w:hideMark/>
          </w:tcPr>
          <w:p w14:paraId="2B747BE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C325F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9439AB"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44750CCB" w14:textId="77777777" w:rsidR="00000000" w:rsidRDefault="00527094">
            <w:pPr>
              <w:jc w:val="right"/>
              <w:rPr>
                <w:rFonts w:eastAsia="Times New Roman"/>
                <w:sz w:val="16"/>
                <w:szCs w:val="16"/>
              </w:rPr>
            </w:pPr>
            <w:r>
              <w:rPr>
                <w:rFonts w:eastAsia="Times New Roman"/>
                <w:sz w:val="16"/>
                <w:szCs w:val="16"/>
              </w:rPr>
              <w:t>77,836</w:t>
            </w:r>
          </w:p>
        </w:tc>
        <w:tc>
          <w:tcPr>
            <w:tcW w:w="50" w:type="pct"/>
            <w:shd w:val="clear" w:color="auto" w:fill="CCEEFF"/>
            <w:vAlign w:val="bottom"/>
            <w:hideMark/>
          </w:tcPr>
          <w:p w14:paraId="5978A0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9F6BE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FA79F2" w14:textId="77777777" w:rsidR="00000000" w:rsidRDefault="00527094">
            <w:pPr>
              <w:rPr>
                <w:rFonts w:eastAsia="Times New Roman"/>
                <w:sz w:val="16"/>
                <w:szCs w:val="16"/>
              </w:rPr>
            </w:pPr>
            <w:r>
              <w:rPr>
                <w:rFonts w:eastAsia="Times New Roman"/>
                <w:sz w:val="16"/>
                <w:szCs w:val="16"/>
              </w:rPr>
              <w:t>$</w:t>
            </w:r>
          </w:p>
        </w:tc>
        <w:tc>
          <w:tcPr>
            <w:tcW w:w="250" w:type="pct"/>
            <w:shd w:val="clear" w:color="auto" w:fill="CCEEFF"/>
            <w:vAlign w:val="bottom"/>
            <w:hideMark/>
          </w:tcPr>
          <w:p w14:paraId="4524FF46" w14:textId="77777777" w:rsidR="00000000" w:rsidRDefault="00527094">
            <w:pPr>
              <w:jc w:val="right"/>
              <w:rPr>
                <w:rFonts w:eastAsia="Times New Roman"/>
                <w:sz w:val="16"/>
                <w:szCs w:val="16"/>
              </w:rPr>
            </w:pPr>
            <w:r>
              <w:rPr>
                <w:rFonts w:eastAsia="Times New Roman"/>
                <w:sz w:val="16"/>
                <w:szCs w:val="16"/>
              </w:rPr>
              <w:t>5,502,402</w:t>
            </w:r>
          </w:p>
        </w:tc>
        <w:tc>
          <w:tcPr>
            <w:tcW w:w="50" w:type="pct"/>
            <w:shd w:val="clear" w:color="auto" w:fill="CCEEFF"/>
            <w:vAlign w:val="bottom"/>
            <w:hideMark/>
          </w:tcPr>
          <w:p w14:paraId="3761E969" w14:textId="77777777" w:rsidR="00000000" w:rsidRDefault="00527094">
            <w:pPr>
              <w:rPr>
                <w:rFonts w:eastAsia="Times New Roman"/>
                <w:sz w:val="16"/>
                <w:szCs w:val="16"/>
              </w:rPr>
            </w:pPr>
            <w:r>
              <w:rPr>
                <w:rFonts w:eastAsia="Times New Roman"/>
                <w:sz w:val="16"/>
                <w:szCs w:val="16"/>
              </w:rPr>
              <w:t> </w:t>
            </w:r>
          </w:p>
        </w:tc>
      </w:tr>
      <w:tr w:rsidR="00527094" w14:paraId="77BE50C1" w14:textId="77777777">
        <w:trPr>
          <w:divId w:val="248856616"/>
          <w:tblCellSpacing w:w="0" w:type="dxa"/>
        </w:trPr>
        <w:tc>
          <w:tcPr>
            <w:tcW w:w="750" w:type="pct"/>
            <w:shd w:val="clear" w:color="auto" w:fill="FFFFFF"/>
            <w:vAlign w:val="bottom"/>
            <w:hideMark/>
          </w:tcPr>
          <w:p w14:paraId="4E1EECA6" w14:textId="77777777" w:rsidR="00000000" w:rsidRDefault="00527094">
            <w:pPr>
              <w:pStyle w:val="a3"/>
              <w:spacing w:before="0" w:beforeAutospacing="0" w:after="0" w:afterAutospacing="0"/>
              <w:rPr>
                <w:sz w:val="16"/>
                <w:szCs w:val="16"/>
              </w:rPr>
            </w:pPr>
            <w:r>
              <w:rPr>
                <w:sz w:val="16"/>
                <w:szCs w:val="16"/>
              </w:rPr>
              <w:t>Comprehensive income:</w:t>
            </w:r>
          </w:p>
        </w:tc>
        <w:tc>
          <w:tcPr>
            <w:tcW w:w="50" w:type="pct"/>
            <w:shd w:val="clear" w:color="auto" w:fill="FFFFFF"/>
            <w:vAlign w:val="bottom"/>
            <w:hideMark/>
          </w:tcPr>
          <w:p w14:paraId="1369895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C61A01"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4E084F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58A63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EE045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2A694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316C96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3935C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D015F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E6767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A5AE09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66A6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1E69B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C9DA2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BC414F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65241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276B5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4CC2C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9D99A5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030F7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7423F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9574C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6ACF3C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10965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6591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7D77E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26EB03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6BF8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34350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E3FB4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62BBE9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3C757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73F7D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F75B6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87B558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8C788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F8A92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7D723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29475C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7781E1" w14:textId="77777777" w:rsidR="00000000" w:rsidRDefault="00527094">
            <w:pPr>
              <w:rPr>
                <w:rFonts w:eastAsia="Times New Roman"/>
                <w:sz w:val="16"/>
                <w:szCs w:val="16"/>
              </w:rPr>
            </w:pPr>
            <w:r>
              <w:rPr>
                <w:rFonts w:eastAsia="Times New Roman"/>
                <w:sz w:val="16"/>
                <w:szCs w:val="16"/>
              </w:rPr>
              <w:t> </w:t>
            </w:r>
          </w:p>
        </w:tc>
      </w:tr>
      <w:tr w:rsidR="00527094" w14:paraId="15DCC34D" w14:textId="77777777">
        <w:trPr>
          <w:divId w:val="248856616"/>
          <w:tblCellSpacing w:w="0" w:type="dxa"/>
        </w:trPr>
        <w:tc>
          <w:tcPr>
            <w:tcW w:w="750" w:type="pct"/>
            <w:shd w:val="clear" w:color="auto" w:fill="CCEEFF"/>
            <w:vAlign w:val="bottom"/>
            <w:hideMark/>
          </w:tcPr>
          <w:p w14:paraId="5B2CE8E8" w14:textId="77777777" w:rsidR="00000000" w:rsidRDefault="00527094">
            <w:pPr>
              <w:pStyle w:val="a3"/>
              <w:spacing w:before="0" w:beforeAutospacing="0" w:after="0" w:afterAutospacing="0"/>
              <w:ind w:left="180"/>
              <w:rPr>
                <w:sz w:val="16"/>
                <w:szCs w:val="16"/>
              </w:rPr>
            </w:pPr>
            <w:r>
              <w:rPr>
                <w:sz w:val="16"/>
                <w:szCs w:val="16"/>
              </w:rPr>
              <w:t>Net income</w:t>
            </w:r>
          </w:p>
        </w:tc>
        <w:tc>
          <w:tcPr>
            <w:tcW w:w="50" w:type="pct"/>
            <w:shd w:val="clear" w:color="auto" w:fill="CCEEFF"/>
            <w:vAlign w:val="bottom"/>
            <w:hideMark/>
          </w:tcPr>
          <w:p w14:paraId="64F0029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A053C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FBB4CAB" w14:textId="77777777" w:rsidR="00000000" w:rsidRDefault="00527094">
            <w:pPr>
              <w:jc w:val="right"/>
              <w:rPr>
                <w:rFonts w:eastAsia="Times New Roman"/>
                <w:sz w:val="16"/>
                <w:szCs w:val="16"/>
              </w:rPr>
            </w:pPr>
            <w:r>
              <w:rPr>
                <w:rFonts w:eastAsia="Times New Roman"/>
                <w:sz w:val="16"/>
                <w:szCs w:val="16"/>
              </w:rPr>
              <w:t>165,386</w:t>
            </w:r>
          </w:p>
        </w:tc>
        <w:tc>
          <w:tcPr>
            <w:tcW w:w="50" w:type="pct"/>
            <w:shd w:val="clear" w:color="auto" w:fill="CCEEFF"/>
            <w:vAlign w:val="bottom"/>
            <w:hideMark/>
          </w:tcPr>
          <w:p w14:paraId="3F78FF4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E5573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50142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721EBF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B664DB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C0C11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BC9E7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61838E2"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A4B276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3319B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6F75E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609E2C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44D9BF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6480D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AF573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3B127FB"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3E57839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6086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0F41F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C62E36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8BA6F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5F408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3BFC1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044131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E9E484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47B8A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8428B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C1C232B" w14:textId="77777777" w:rsidR="00000000" w:rsidRDefault="00527094">
            <w:pPr>
              <w:jc w:val="right"/>
              <w:rPr>
                <w:rFonts w:eastAsia="Times New Roman"/>
                <w:sz w:val="16"/>
                <w:szCs w:val="16"/>
              </w:rPr>
            </w:pPr>
            <w:r>
              <w:rPr>
                <w:rFonts w:eastAsia="Times New Roman"/>
                <w:sz w:val="16"/>
                <w:szCs w:val="16"/>
              </w:rPr>
              <w:t>165,386</w:t>
            </w:r>
          </w:p>
        </w:tc>
        <w:tc>
          <w:tcPr>
            <w:tcW w:w="50" w:type="pct"/>
            <w:shd w:val="clear" w:color="auto" w:fill="CCEEFF"/>
            <w:vAlign w:val="bottom"/>
            <w:hideMark/>
          </w:tcPr>
          <w:p w14:paraId="1E7E052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98B5E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867D9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68CBF34" w14:textId="77777777" w:rsidR="00000000" w:rsidRDefault="00527094">
            <w:pPr>
              <w:jc w:val="right"/>
              <w:rPr>
                <w:rFonts w:eastAsia="Times New Roman"/>
                <w:sz w:val="16"/>
                <w:szCs w:val="16"/>
              </w:rPr>
            </w:pPr>
            <w:r>
              <w:rPr>
                <w:rFonts w:eastAsia="Times New Roman"/>
                <w:sz w:val="16"/>
                <w:szCs w:val="16"/>
              </w:rPr>
              <w:t>423</w:t>
            </w:r>
          </w:p>
        </w:tc>
        <w:tc>
          <w:tcPr>
            <w:tcW w:w="50" w:type="pct"/>
            <w:shd w:val="clear" w:color="auto" w:fill="CCEEFF"/>
            <w:vAlign w:val="bottom"/>
            <w:hideMark/>
          </w:tcPr>
          <w:p w14:paraId="4090145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684CE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5A2B5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C3D1C64" w14:textId="77777777" w:rsidR="00000000" w:rsidRDefault="00527094">
            <w:pPr>
              <w:jc w:val="right"/>
              <w:rPr>
                <w:rFonts w:eastAsia="Times New Roman"/>
                <w:sz w:val="16"/>
                <w:szCs w:val="16"/>
              </w:rPr>
            </w:pPr>
            <w:r>
              <w:rPr>
                <w:rFonts w:eastAsia="Times New Roman"/>
                <w:sz w:val="16"/>
                <w:szCs w:val="16"/>
              </w:rPr>
              <w:t>165,809</w:t>
            </w:r>
          </w:p>
        </w:tc>
        <w:tc>
          <w:tcPr>
            <w:tcW w:w="50" w:type="pct"/>
            <w:shd w:val="clear" w:color="auto" w:fill="CCEEFF"/>
            <w:vAlign w:val="bottom"/>
            <w:hideMark/>
          </w:tcPr>
          <w:p w14:paraId="7F771139" w14:textId="77777777" w:rsidR="00000000" w:rsidRDefault="00527094">
            <w:pPr>
              <w:rPr>
                <w:rFonts w:eastAsia="Times New Roman"/>
                <w:sz w:val="16"/>
                <w:szCs w:val="16"/>
              </w:rPr>
            </w:pPr>
            <w:r>
              <w:rPr>
                <w:rFonts w:eastAsia="Times New Roman"/>
                <w:sz w:val="16"/>
                <w:szCs w:val="16"/>
              </w:rPr>
              <w:t> </w:t>
            </w:r>
          </w:p>
        </w:tc>
      </w:tr>
      <w:tr w:rsidR="00527094" w14:paraId="7802464E" w14:textId="77777777">
        <w:trPr>
          <w:divId w:val="248856616"/>
          <w:tblCellSpacing w:w="0" w:type="dxa"/>
        </w:trPr>
        <w:tc>
          <w:tcPr>
            <w:tcW w:w="750" w:type="pct"/>
            <w:shd w:val="clear" w:color="auto" w:fill="FFFFFF"/>
            <w:vAlign w:val="bottom"/>
            <w:hideMark/>
          </w:tcPr>
          <w:p w14:paraId="513D23BC" w14:textId="77777777" w:rsidR="00000000" w:rsidRDefault="00527094">
            <w:pPr>
              <w:pStyle w:val="a3"/>
              <w:spacing w:before="0" w:beforeAutospacing="0" w:after="0" w:afterAutospacing="0"/>
              <w:ind w:left="180"/>
              <w:rPr>
                <w:sz w:val="16"/>
                <w:szCs w:val="16"/>
              </w:rPr>
            </w:pPr>
            <w:r>
              <w:rPr>
                <w:sz w:val="16"/>
                <w:szCs w:val="16"/>
              </w:rPr>
              <w:t>Other comprehensive income:</w:t>
            </w:r>
          </w:p>
        </w:tc>
        <w:tc>
          <w:tcPr>
            <w:tcW w:w="50" w:type="pct"/>
            <w:shd w:val="clear" w:color="auto" w:fill="FFFFFF"/>
            <w:vAlign w:val="bottom"/>
            <w:hideMark/>
          </w:tcPr>
          <w:p w14:paraId="3190B71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CBE3D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3F16337"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5E77E4D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93A86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AF96F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2402427"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01B7C78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6D89D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F4CC44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F1204B0"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714AE20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CD02D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F236F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E3455AF"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68C8093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17744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D5939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78B53EF"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071FB00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B0927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F0F47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3DE78E1"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18D023C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FA8E6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359C7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9C18BE1"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0120051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71033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958BC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A214AEF"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3A44784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C74A9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85FE1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E7193D7"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164196F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4A59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610B0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DF149CA"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CA884FA" w14:textId="77777777" w:rsidR="00000000" w:rsidRDefault="00527094">
            <w:pPr>
              <w:rPr>
                <w:rFonts w:eastAsia="Times New Roman"/>
                <w:sz w:val="16"/>
                <w:szCs w:val="16"/>
              </w:rPr>
            </w:pPr>
            <w:r>
              <w:rPr>
                <w:rFonts w:eastAsia="Times New Roman"/>
                <w:sz w:val="16"/>
                <w:szCs w:val="16"/>
              </w:rPr>
              <w:t> </w:t>
            </w:r>
          </w:p>
        </w:tc>
      </w:tr>
      <w:tr w:rsidR="00527094" w14:paraId="4AB0C898" w14:textId="77777777">
        <w:trPr>
          <w:divId w:val="248856616"/>
          <w:tblCellSpacing w:w="0" w:type="dxa"/>
        </w:trPr>
        <w:tc>
          <w:tcPr>
            <w:tcW w:w="750" w:type="pct"/>
            <w:shd w:val="clear" w:color="auto" w:fill="CCEEFF"/>
            <w:vAlign w:val="bottom"/>
            <w:hideMark/>
          </w:tcPr>
          <w:p w14:paraId="0A50163A" w14:textId="77777777" w:rsidR="00000000" w:rsidRDefault="00527094">
            <w:pPr>
              <w:pStyle w:val="a3"/>
              <w:spacing w:before="0" w:beforeAutospacing="0" w:after="0" w:afterAutospacing="0"/>
              <w:ind w:left="360"/>
              <w:rPr>
                <w:sz w:val="16"/>
                <w:szCs w:val="16"/>
              </w:rPr>
            </w:pPr>
            <w:r>
              <w:rPr>
                <w:sz w:val="16"/>
                <w:szCs w:val="16"/>
              </w:rPr>
              <w:t>Change in unrealized loss on interest rate swap</w:t>
            </w:r>
          </w:p>
        </w:tc>
        <w:tc>
          <w:tcPr>
            <w:tcW w:w="50" w:type="pct"/>
            <w:shd w:val="clear" w:color="auto" w:fill="CCEEFF"/>
            <w:vAlign w:val="bottom"/>
            <w:hideMark/>
          </w:tcPr>
          <w:p w14:paraId="3D71542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B67F5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740DDC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E89616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6A902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28D2A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F262A22" w14:textId="77777777" w:rsidR="00000000" w:rsidRDefault="00527094">
            <w:pPr>
              <w:jc w:val="right"/>
              <w:rPr>
                <w:rFonts w:eastAsia="Times New Roman"/>
                <w:sz w:val="16"/>
                <w:szCs w:val="16"/>
              </w:rPr>
            </w:pPr>
            <w:r>
              <w:rPr>
                <w:rFonts w:eastAsia="Times New Roman"/>
                <w:sz w:val="16"/>
                <w:szCs w:val="16"/>
              </w:rPr>
              <w:t>138</w:t>
            </w:r>
          </w:p>
        </w:tc>
        <w:tc>
          <w:tcPr>
            <w:tcW w:w="50" w:type="pct"/>
            <w:shd w:val="clear" w:color="auto" w:fill="CCEEFF"/>
            <w:vAlign w:val="bottom"/>
            <w:hideMark/>
          </w:tcPr>
          <w:p w14:paraId="362B2F8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CBD57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CA0F1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9B31BFD"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574578F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3ECDE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6E3B3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AE3539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E0AF68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9FE9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BB07B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C2483A6"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0FDB54A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4BE40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7804C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55C72DB"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6AEFB4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E988D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344C1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C58FFD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D5B353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14761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03094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288AA9D" w14:textId="77777777" w:rsidR="00000000" w:rsidRDefault="00527094">
            <w:pPr>
              <w:jc w:val="right"/>
              <w:rPr>
                <w:rFonts w:eastAsia="Times New Roman"/>
                <w:sz w:val="16"/>
                <w:szCs w:val="16"/>
              </w:rPr>
            </w:pPr>
            <w:r>
              <w:rPr>
                <w:rFonts w:eastAsia="Times New Roman"/>
                <w:sz w:val="16"/>
                <w:szCs w:val="16"/>
              </w:rPr>
              <w:t>138</w:t>
            </w:r>
          </w:p>
        </w:tc>
        <w:tc>
          <w:tcPr>
            <w:tcW w:w="50" w:type="pct"/>
            <w:shd w:val="clear" w:color="auto" w:fill="CCEEFF"/>
            <w:vAlign w:val="bottom"/>
            <w:hideMark/>
          </w:tcPr>
          <w:p w14:paraId="2006022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18C959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9528C8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EE6015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8CF435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56884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B66C9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D71FA64" w14:textId="77777777" w:rsidR="00000000" w:rsidRDefault="00527094">
            <w:pPr>
              <w:jc w:val="right"/>
              <w:rPr>
                <w:rFonts w:eastAsia="Times New Roman"/>
                <w:sz w:val="16"/>
                <w:szCs w:val="16"/>
              </w:rPr>
            </w:pPr>
            <w:r>
              <w:rPr>
                <w:rFonts w:eastAsia="Times New Roman"/>
                <w:sz w:val="16"/>
                <w:szCs w:val="16"/>
              </w:rPr>
              <w:t>138</w:t>
            </w:r>
          </w:p>
        </w:tc>
        <w:tc>
          <w:tcPr>
            <w:tcW w:w="50" w:type="pct"/>
            <w:shd w:val="clear" w:color="auto" w:fill="CCEEFF"/>
            <w:vAlign w:val="bottom"/>
            <w:hideMark/>
          </w:tcPr>
          <w:p w14:paraId="689F84A6" w14:textId="77777777" w:rsidR="00000000" w:rsidRDefault="00527094">
            <w:pPr>
              <w:rPr>
                <w:rFonts w:eastAsia="Times New Roman"/>
                <w:sz w:val="16"/>
                <w:szCs w:val="16"/>
              </w:rPr>
            </w:pPr>
            <w:r>
              <w:rPr>
                <w:rFonts w:eastAsia="Times New Roman"/>
                <w:sz w:val="16"/>
                <w:szCs w:val="16"/>
              </w:rPr>
              <w:t> </w:t>
            </w:r>
          </w:p>
        </w:tc>
      </w:tr>
      <w:tr w:rsidR="00527094" w14:paraId="10FBDC52" w14:textId="77777777">
        <w:trPr>
          <w:divId w:val="248856616"/>
          <w:tblCellSpacing w:w="0" w:type="dxa"/>
        </w:trPr>
        <w:tc>
          <w:tcPr>
            <w:tcW w:w="750" w:type="pct"/>
            <w:shd w:val="clear" w:color="auto" w:fill="FFFFFF"/>
            <w:vAlign w:val="bottom"/>
            <w:hideMark/>
          </w:tcPr>
          <w:p w14:paraId="7B0C4575" w14:textId="77777777" w:rsidR="00000000" w:rsidRDefault="00527094">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14:paraId="20D19C5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67220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39216E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6856F0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00B0C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8B020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8D9E62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A5EC8D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4CEC0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079A4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1B6E93E"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311EB9C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C9E1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D746A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EBDA83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CEC38E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4EC8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5BDE5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96EE70F"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3EA310B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C5871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DC36D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F3022B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4B03C5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08A7F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F212D1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6CC7EB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E25E96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77F3C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D0E21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37DF49B"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21DA1E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D8A1E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C7573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468781F" w14:textId="77777777" w:rsidR="00000000" w:rsidRDefault="00527094">
            <w:pPr>
              <w:jc w:val="right"/>
              <w:rPr>
                <w:rFonts w:eastAsia="Times New Roman"/>
                <w:sz w:val="16"/>
                <w:szCs w:val="16"/>
              </w:rPr>
            </w:pPr>
            <w:r>
              <w:rPr>
                <w:rFonts w:eastAsia="Times New Roman"/>
                <w:sz w:val="16"/>
                <w:szCs w:val="16"/>
              </w:rPr>
              <w:t>(93</w:t>
            </w:r>
          </w:p>
        </w:tc>
        <w:tc>
          <w:tcPr>
            <w:tcW w:w="50" w:type="pct"/>
            <w:shd w:val="clear" w:color="auto" w:fill="FFFFFF"/>
            <w:vAlign w:val="bottom"/>
            <w:hideMark/>
          </w:tcPr>
          <w:p w14:paraId="26D51322"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574BCFF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2766E6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47560CB" w14:textId="77777777" w:rsidR="00000000" w:rsidRDefault="00527094">
            <w:pPr>
              <w:jc w:val="right"/>
              <w:rPr>
                <w:rFonts w:eastAsia="Times New Roman"/>
                <w:sz w:val="16"/>
                <w:szCs w:val="16"/>
              </w:rPr>
            </w:pPr>
            <w:r>
              <w:rPr>
                <w:rFonts w:eastAsia="Times New Roman"/>
                <w:sz w:val="16"/>
                <w:szCs w:val="16"/>
              </w:rPr>
              <w:t>(93</w:t>
            </w:r>
          </w:p>
        </w:tc>
        <w:tc>
          <w:tcPr>
            <w:tcW w:w="50" w:type="pct"/>
            <w:shd w:val="clear" w:color="auto" w:fill="FFFFFF"/>
            <w:vAlign w:val="bottom"/>
            <w:hideMark/>
          </w:tcPr>
          <w:p w14:paraId="060F389F" w14:textId="77777777" w:rsidR="00000000" w:rsidRDefault="00527094">
            <w:pPr>
              <w:rPr>
                <w:rFonts w:eastAsia="Times New Roman"/>
                <w:sz w:val="16"/>
                <w:szCs w:val="16"/>
              </w:rPr>
            </w:pPr>
            <w:r>
              <w:rPr>
                <w:rFonts w:eastAsia="Times New Roman"/>
                <w:sz w:val="16"/>
                <w:szCs w:val="16"/>
              </w:rPr>
              <w:t>)</w:t>
            </w:r>
          </w:p>
        </w:tc>
      </w:tr>
      <w:tr w:rsidR="00527094" w14:paraId="220E74D2" w14:textId="77777777">
        <w:trPr>
          <w:divId w:val="248856616"/>
          <w:tblCellSpacing w:w="0" w:type="dxa"/>
        </w:trPr>
        <w:tc>
          <w:tcPr>
            <w:tcW w:w="750" w:type="pct"/>
            <w:shd w:val="clear" w:color="auto" w:fill="CCEEFF"/>
            <w:vAlign w:val="bottom"/>
            <w:hideMark/>
          </w:tcPr>
          <w:p w14:paraId="293FDDE1" w14:textId="77777777" w:rsidR="00000000" w:rsidRDefault="00527094">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14:paraId="122FBB0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2707E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0664B1C" w14:textId="77777777" w:rsidR="00000000" w:rsidRDefault="00527094">
            <w:pPr>
              <w:jc w:val="right"/>
              <w:rPr>
                <w:rFonts w:eastAsia="Times New Roman"/>
                <w:sz w:val="16"/>
                <w:szCs w:val="16"/>
              </w:rPr>
            </w:pPr>
            <w:r>
              <w:rPr>
                <w:rFonts w:eastAsia="Times New Roman"/>
                <w:sz w:val="16"/>
                <w:szCs w:val="16"/>
              </w:rPr>
              <w:t>(132,522</w:t>
            </w:r>
          </w:p>
        </w:tc>
        <w:tc>
          <w:tcPr>
            <w:tcW w:w="50" w:type="pct"/>
            <w:shd w:val="clear" w:color="auto" w:fill="CCEEFF"/>
            <w:vAlign w:val="bottom"/>
            <w:hideMark/>
          </w:tcPr>
          <w:p w14:paraId="3F5C3B20"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50551F2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99F86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9DB9FA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98966E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3E329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28AACB"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B2D0DF4"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6A7D2C2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14685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F432C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F4C5C8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F8659E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34730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2D812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7C16694"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41890BB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933E0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C0590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62364D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6E1428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AC249D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97FFF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4449E4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778A59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757AA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F0437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7593FC3" w14:textId="77777777" w:rsidR="00000000" w:rsidRDefault="00527094">
            <w:pPr>
              <w:jc w:val="right"/>
              <w:rPr>
                <w:rFonts w:eastAsia="Times New Roman"/>
                <w:sz w:val="16"/>
                <w:szCs w:val="16"/>
              </w:rPr>
            </w:pPr>
            <w:r>
              <w:rPr>
                <w:rFonts w:eastAsia="Times New Roman"/>
                <w:sz w:val="16"/>
                <w:szCs w:val="16"/>
              </w:rPr>
              <w:t>(</w:t>
            </w:r>
            <w:r>
              <w:rPr>
                <w:rFonts w:eastAsia="Times New Roman"/>
                <w:sz w:val="16"/>
                <w:szCs w:val="16"/>
              </w:rPr>
              <w:t>132,522</w:t>
            </w:r>
          </w:p>
        </w:tc>
        <w:tc>
          <w:tcPr>
            <w:tcW w:w="50" w:type="pct"/>
            <w:shd w:val="clear" w:color="auto" w:fill="CCEEFF"/>
            <w:vAlign w:val="bottom"/>
            <w:hideMark/>
          </w:tcPr>
          <w:p w14:paraId="65F00EA1"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456E1AD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07A61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C7B4B8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10D09A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3736E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4359AB"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BD3F613" w14:textId="77777777" w:rsidR="00000000" w:rsidRDefault="00527094">
            <w:pPr>
              <w:jc w:val="right"/>
              <w:rPr>
                <w:rFonts w:eastAsia="Times New Roman"/>
                <w:sz w:val="16"/>
                <w:szCs w:val="16"/>
              </w:rPr>
            </w:pPr>
            <w:r>
              <w:rPr>
                <w:rFonts w:eastAsia="Times New Roman"/>
                <w:sz w:val="16"/>
                <w:szCs w:val="16"/>
              </w:rPr>
              <w:t>(132,522</w:t>
            </w:r>
          </w:p>
        </w:tc>
        <w:tc>
          <w:tcPr>
            <w:tcW w:w="50" w:type="pct"/>
            <w:shd w:val="clear" w:color="auto" w:fill="CCEEFF"/>
            <w:vAlign w:val="bottom"/>
            <w:hideMark/>
          </w:tcPr>
          <w:p w14:paraId="2D94019B" w14:textId="77777777" w:rsidR="00000000" w:rsidRDefault="00527094">
            <w:pPr>
              <w:rPr>
                <w:rFonts w:eastAsia="Times New Roman"/>
                <w:sz w:val="16"/>
                <w:szCs w:val="16"/>
              </w:rPr>
            </w:pPr>
            <w:r>
              <w:rPr>
                <w:rFonts w:eastAsia="Times New Roman"/>
                <w:sz w:val="16"/>
                <w:szCs w:val="16"/>
              </w:rPr>
              <w:t>)</w:t>
            </w:r>
          </w:p>
        </w:tc>
      </w:tr>
      <w:tr w:rsidR="00527094" w14:paraId="7CB5DBFE" w14:textId="77777777">
        <w:trPr>
          <w:divId w:val="248856616"/>
          <w:tblCellSpacing w:w="0" w:type="dxa"/>
        </w:trPr>
        <w:tc>
          <w:tcPr>
            <w:tcW w:w="750" w:type="pct"/>
            <w:shd w:val="clear" w:color="auto" w:fill="FFFFFF"/>
            <w:vAlign w:val="bottom"/>
            <w:hideMark/>
          </w:tcPr>
          <w:p w14:paraId="1FA46A24" w14:textId="77777777" w:rsidR="00000000" w:rsidRDefault="00527094">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14:paraId="0188B65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C87B4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A2E31C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939772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9C689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65FBE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E7E38A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B4FD68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E4CE0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4C1DC1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C25DCBC"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3920BD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4DCEE2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AAA219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BD7979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8E0425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5D070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E2623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4DEC24E"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0D0FA8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C2734B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1DB15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92819D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274F7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57DAE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756BF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0BAD3D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A5DD06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10A51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9AE4B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245D7B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C72468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086CD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44CFC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FE48E77" w14:textId="77777777" w:rsidR="00000000" w:rsidRDefault="00527094">
            <w:pPr>
              <w:jc w:val="right"/>
              <w:rPr>
                <w:rFonts w:eastAsia="Times New Roman"/>
                <w:sz w:val="16"/>
                <w:szCs w:val="16"/>
              </w:rPr>
            </w:pPr>
            <w:r>
              <w:rPr>
                <w:rFonts w:eastAsia="Times New Roman"/>
                <w:sz w:val="16"/>
                <w:szCs w:val="16"/>
              </w:rPr>
              <w:t>(398</w:t>
            </w:r>
          </w:p>
        </w:tc>
        <w:tc>
          <w:tcPr>
            <w:tcW w:w="50" w:type="pct"/>
            <w:shd w:val="clear" w:color="auto" w:fill="FFFFFF"/>
            <w:vAlign w:val="bottom"/>
            <w:hideMark/>
          </w:tcPr>
          <w:p w14:paraId="1E3A3E67"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3B78C0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8641B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394C2E9" w14:textId="77777777" w:rsidR="00000000" w:rsidRDefault="00527094">
            <w:pPr>
              <w:jc w:val="right"/>
              <w:rPr>
                <w:rFonts w:eastAsia="Times New Roman"/>
                <w:sz w:val="16"/>
                <w:szCs w:val="16"/>
              </w:rPr>
            </w:pPr>
            <w:r>
              <w:rPr>
                <w:rFonts w:eastAsia="Times New Roman"/>
                <w:sz w:val="16"/>
                <w:szCs w:val="16"/>
              </w:rPr>
              <w:t>(398</w:t>
            </w:r>
          </w:p>
        </w:tc>
        <w:tc>
          <w:tcPr>
            <w:tcW w:w="50" w:type="pct"/>
            <w:shd w:val="clear" w:color="auto" w:fill="FFFFFF"/>
            <w:vAlign w:val="bottom"/>
            <w:hideMark/>
          </w:tcPr>
          <w:p w14:paraId="4D06108D" w14:textId="77777777" w:rsidR="00000000" w:rsidRDefault="00527094">
            <w:pPr>
              <w:rPr>
                <w:rFonts w:eastAsia="Times New Roman"/>
                <w:sz w:val="16"/>
                <w:szCs w:val="16"/>
              </w:rPr>
            </w:pPr>
            <w:r>
              <w:rPr>
                <w:rFonts w:eastAsia="Times New Roman"/>
                <w:sz w:val="16"/>
                <w:szCs w:val="16"/>
              </w:rPr>
              <w:t>)</w:t>
            </w:r>
          </w:p>
        </w:tc>
      </w:tr>
      <w:tr w:rsidR="00527094" w14:paraId="2C5BB5D3" w14:textId="77777777">
        <w:trPr>
          <w:divId w:val="248856616"/>
          <w:tblCellSpacing w:w="0" w:type="dxa"/>
        </w:trPr>
        <w:tc>
          <w:tcPr>
            <w:tcW w:w="750" w:type="pct"/>
            <w:shd w:val="clear" w:color="auto" w:fill="CCEEFF"/>
            <w:vAlign w:val="bottom"/>
            <w:hideMark/>
          </w:tcPr>
          <w:p w14:paraId="67C59941" w14:textId="77777777" w:rsidR="00000000" w:rsidRDefault="00527094">
            <w:pPr>
              <w:pStyle w:val="a3"/>
              <w:spacing w:before="0" w:beforeAutospacing="0" w:after="0" w:afterAutospacing="0"/>
              <w:rPr>
                <w:sz w:val="16"/>
                <w:szCs w:val="16"/>
              </w:rPr>
            </w:pPr>
            <w:r>
              <w:rPr>
                <w:sz w:val="16"/>
                <w:szCs w:val="16"/>
              </w:rPr>
              <w:t>Repurchase of common stock</w:t>
            </w:r>
          </w:p>
        </w:tc>
        <w:tc>
          <w:tcPr>
            <w:tcW w:w="50" w:type="pct"/>
            <w:shd w:val="clear" w:color="auto" w:fill="CCEEFF"/>
            <w:vAlign w:val="bottom"/>
            <w:hideMark/>
          </w:tcPr>
          <w:p w14:paraId="229547B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ED80B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970A82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1EFC3A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327FB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5A6E5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A47D7F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1343EA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552B9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7546C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028DF6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B0EC16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1EE14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B5AF5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415A10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CCFB01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A3F3D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CE7ED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EE58C25" w14:textId="77777777" w:rsidR="00000000" w:rsidRDefault="00527094">
            <w:pPr>
              <w:jc w:val="right"/>
              <w:rPr>
                <w:rFonts w:eastAsia="Times New Roman"/>
                <w:sz w:val="16"/>
                <w:szCs w:val="16"/>
              </w:rPr>
            </w:pPr>
            <w:r>
              <w:rPr>
                <w:rFonts w:eastAsia="Times New Roman"/>
                <w:sz w:val="16"/>
                <w:szCs w:val="16"/>
              </w:rPr>
              <w:t>(3,500</w:t>
            </w:r>
          </w:p>
        </w:tc>
        <w:tc>
          <w:tcPr>
            <w:tcW w:w="50" w:type="pct"/>
            <w:shd w:val="clear" w:color="auto" w:fill="CCEEFF"/>
            <w:vAlign w:val="bottom"/>
            <w:hideMark/>
          </w:tcPr>
          <w:p w14:paraId="573E598E"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0DFE8EE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BDFAF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85243B5" w14:textId="77777777" w:rsidR="00000000" w:rsidRDefault="00527094">
            <w:pPr>
              <w:jc w:val="right"/>
              <w:rPr>
                <w:rFonts w:eastAsia="Times New Roman"/>
                <w:sz w:val="16"/>
                <w:szCs w:val="16"/>
              </w:rPr>
            </w:pPr>
            <w:r>
              <w:rPr>
                <w:rFonts w:eastAsia="Times New Roman"/>
                <w:sz w:val="16"/>
                <w:szCs w:val="16"/>
              </w:rPr>
              <w:t>(35</w:t>
            </w:r>
          </w:p>
        </w:tc>
        <w:tc>
          <w:tcPr>
            <w:tcW w:w="50" w:type="pct"/>
            <w:shd w:val="clear" w:color="auto" w:fill="CCEEFF"/>
            <w:vAlign w:val="bottom"/>
            <w:hideMark/>
          </w:tcPr>
          <w:p w14:paraId="56FC2608"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224BF25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9D1A5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4079B65" w14:textId="77777777" w:rsidR="00000000" w:rsidRDefault="00527094">
            <w:pPr>
              <w:jc w:val="right"/>
              <w:rPr>
                <w:rFonts w:eastAsia="Times New Roman"/>
                <w:sz w:val="16"/>
                <w:szCs w:val="16"/>
              </w:rPr>
            </w:pPr>
            <w:r>
              <w:rPr>
                <w:rFonts w:eastAsia="Times New Roman"/>
                <w:sz w:val="16"/>
                <w:szCs w:val="16"/>
              </w:rPr>
              <w:t>(</w:t>
            </w:r>
            <w:r>
              <w:rPr>
                <w:rFonts w:eastAsia="Times New Roman"/>
                <w:sz w:val="16"/>
                <w:szCs w:val="16"/>
              </w:rPr>
              <w:t>50,815</w:t>
            </w:r>
          </w:p>
        </w:tc>
        <w:tc>
          <w:tcPr>
            <w:tcW w:w="50" w:type="pct"/>
            <w:shd w:val="clear" w:color="auto" w:fill="CCEEFF"/>
            <w:vAlign w:val="bottom"/>
            <w:hideMark/>
          </w:tcPr>
          <w:p w14:paraId="12E16935"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6C8DBED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E00F5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2BA05A0" w14:textId="77777777" w:rsidR="00000000" w:rsidRDefault="00527094">
            <w:pPr>
              <w:jc w:val="right"/>
              <w:rPr>
                <w:rFonts w:eastAsia="Times New Roman"/>
                <w:sz w:val="16"/>
                <w:szCs w:val="16"/>
              </w:rPr>
            </w:pPr>
            <w:r>
              <w:rPr>
                <w:rFonts w:eastAsia="Times New Roman"/>
                <w:sz w:val="16"/>
                <w:szCs w:val="16"/>
              </w:rPr>
              <w:t>(50,850</w:t>
            </w:r>
          </w:p>
        </w:tc>
        <w:tc>
          <w:tcPr>
            <w:tcW w:w="50" w:type="pct"/>
            <w:shd w:val="clear" w:color="auto" w:fill="CCEEFF"/>
            <w:vAlign w:val="bottom"/>
            <w:hideMark/>
          </w:tcPr>
          <w:p w14:paraId="6576B6B8"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164CAAC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3F75E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B9AAC7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7D7BFC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E6028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FAB8F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1970571" w14:textId="77777777" w:rsidR="00000000" w:rsidRDefault="00527094">
            <w:pPr>
              <w:jc w:val="right"/>
              <w:rPr>
                <w:rFonts w:eastAsia="Times New Roman"/>
                <w:sz w:val="16"/>
                <w:szCs w:val="16"/>
              </w:rPr>
            </w:pPr>
            <w:r>
              <w:rPr>
                <w:rFonts w:eastAsia="Times New Roman"/>
                <w:sz w:val="16"/>
                <w:szCs w:val="16"/>
              </w:rPr>
              <w:t>(50,850</w:t>
            </w:r>
          </w:p>
        </w:tc>
        <w:tc>
          <w:tcPr>
            <w:tcW w:w="50" w:type="pct"/>
            <w:shd w:val="clear" w:color="auto" w:fill="CCEEFF"/>
            <w:vAlign w:val="bottom"/>
            <w:hideMark/>
          </w:tcPr>
          <w:p w14:paraId="29B8A9ED" w14:textId="77777777" w:rsidR="00000000" w:rsidRDefault="00527094">
            <w:pPr>
              <w:rPr>
                <w:rFonts w:eastAsia="Times New Roman"/>
                <w:sz w:val="16"/>
                <w:szCs w:val="16"/>
              </w:rPr>
            </w:pPr>
            <w:r>
              <w:rPr>
                <w:rFonts w:eastAsia="Times New Roman"/>
                <w:sz w:val="16"/>
                <w:szCs w:val="16"/>
              </w:rPr>
              <w:t>)</w:t>
            </w:r>
          </w:p>
        </w:tc>
      </w:tr>
      <w:tr w:rsidR="00527094" w14:paraId="1172CEE2" w14:textId="77777777">
        <w:trPr>
          <w:divId w:val="248856616"/>
          <w:tblCellSpacing w:w="0" w:type="dxa"/>
        </w:trPr>
        <w:tc>
          <w:tcPr>
            <w:tcW w:w="750" w:type="pct"/>
            <w:shd w:val="clear" w:color="auto" w:fill="FFFFFF"/>
            <w:vAlign w:val="bottom"/>
            <w:hideMark/>
          </w:tcPr>
          <w:p w14:paraId="555B397E" w14:textId="77777777" w:rsidR="00000000" w:rsidRDefault="00527094">
            <w:pPr>
              <w:pStyle w:val="a3"/>
              <w:spacing w:before="0" w:beforeAutospacing="0" w:after="0" w:afterAutospacing="0"/>
              <w:rPr>
                <w:sz w:val="16"/>
                <w:szCs w:val="16"/>
              </w:rPr>
            </w:pPr>
            <w:r>
              <w:rPr>
                <w:sz w:val="16"/>
                <w:szCs w:val="16"/>
              </w:rPr>
              <w:t>Surrender of restricted stock</w:t>
            </w:r>
          </w:p>
        </w:tc>
        <w:tc>
          <w:tcPr>
            <w:tcW w:w="50" w:type="pct"/>
            <w:shd w:val="clear" w:color="auto" w:fill="FFFFFF"/>
            <w:vAlign w:val="bottom"/>
            <w:hideMark/>
          </w:tcPr>
          <w:p w14:paraId="27B9687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E8B6C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0B9CB1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2AFF09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ACB6A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E8058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E29C6D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3BD1C8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FCA11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BCC9B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B9373E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2D3545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586B0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0D921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2AADBA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FB8D0E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3251A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74696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DFCBBE2" w14:textId="77777777" w:rsidR="00000000" w:rsidRDefault="00527094">
            <w:pPr>
              <w:jc w:val="right"/>
              <w:rPr>
                <w:rFonts w:eastAsia="Times New Roman"/>
                <w:sz w:val="16"/>
                <w:szCs w:val="16"/>
              </w:rPr>
            </w:pPr>
            <w:r>
              <w:rPr>
                <w:rFonts w:eastAsia="Times New Roman"/>
                <w:sz w:val="16"/>
                <w:szCs w:val="16"/>
              </w:rPr>
              <w:t>(12</w:t>
            </w:r>
          </w:p>
        </w:tc>
        <w:tc>
          <w:tcPr>
            <w:tcW w:w="50" w:type="pct"/>
            <w:shd w:val="clear" w:color="auto" w:fill="FFFFFF"/>
            <w:vAlign w:val="bottom"/>
            <w:hideMark/>
          </w:tcPr>
          <w:p w14:paraId="73C0A5AA"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40A05F6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79850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7F152BB"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FFFAD1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9F5CE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BC3A8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A1E0564" w14:textId="77777777" w:rsidR="00000000" w:rsidRDefault="00527094">
            <w:pPr>
              <w:jc w:val="right"/>
              <w:rPr>
                <w:rFonts w:eastAsia="Times New Roman"/>
                <w:sz w:val="16"/>
                <w:szCs w:val="16"/>
              </w:rPr>
            </w:pPr>
            <w:r>
              <w:rPr>
                <w:rFonts w:eastAsia="Times New Roman"/>
                <w:sz w:val="16"/>
                <w:szCs w:val="16"/>
              </w:rPr>
              <w:t>(118</w:t>
            </w:r>
          </w:p>
        </w:tc>
        <w:tc>
          <w:tcPr>
            <w:tcW w:w="50" w:type="pct"/>
            <w:shd w:val="clear" w:color="auto" w:fill="FFFFFF"/>
            <w:vAlign w:val="bottom"/>
            <w:hideMark/>
          </w:tcPr>
          <w:p w14:paraId="5CC19795"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09E1093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2A8361"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EFEED45" w14:textId="77777777" w:rsidR="00000000" w:rsidRDefault="00527094">
            <w:pPr>
              <w:jc w:val="right"/>
              <w:rPr>
                <w:rFonts w:eastAsia="Times New Roman"/>
                <w:sz w:val="16"/>
                <w:szCs w:val="16"/>
              </w:rPr>
            </w:pPr>
            <w:r>
              <w:rPr>
                <w:rFonts w:eastAsia="Times New Roman"/>
                <w:sz w:val="16"/>
                <w:szCs w:val="16"/>
              </w:rPr>
              <w:t>(118</w:t>
            </w:r>
          </w:p>
        </w:tc>
        <w:tc>
          <w:tcPr>
            <w:tcW w:w="50" w:type="pct"/>
            <w:shd w:val="clear" w:color="auto" w:fill="FFFFFF"/>
            <w:vAlign w:val="bottom"/>
            <w:hideMark/>
          </w:tcPr>
          <w:p w14:paraId="64E1190D"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2A8AEF4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0A2B5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42CA8E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059788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7159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8E5B3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64D6BA7" w14:textId="77777777" w:rsidR="00000000" w:rsidRDefault="00527094">
            <w:pPr>
              <w:jc w:val="right"/>
              <w:rPr>
                <w:rFonts w:eastAsia="Times New Roman"/>
                <w:sz w:val="16"/>
                <w:szCs w:val="16"/>
              </w:rPr>
            </w:pPr>
            <w:r>
              <w:rPr>
                <w:rFonts w:eastAsia="Times New Roman"/>
                <w:sz w:val="16"/>
                <w:szCs w:val="16"/>
              </w:rPr>
              <w:t>(118</w:t>
            </w:r>
          </w:p>
        </w:tc>
        <w:tc>
          <w:tcPr>
            <w:tcW w:w="50" w:type="pct"/>
            <w:shd w:val="clear" w:color="auto" w:fill="FFFFFF"/>
            <w:vAlign w:val="bottom"/>
            <w:hideMark/>
          </w:tcPr>
          <w:p w14:paraId="33279B05" w14:textId="77777777" w:rsidR="00000000" w:rsidRDefault="00527094">
            <w:pPr>
              <w:rPr>
                <w:rFonts w:eastAsia="Times New Roman"/>
                <w:sz w:val="16"/>
                <w:szCs w:val="16"/>
              </w:rPr>
            </w:pPr>
            <w:r>
              <w:rPr>
                <w:rFonts w:eastAsia="Times New Roman"/>
                <w:sz w:val="16"/>
                <w:szCs w:val="16"/>
              </w:rPr>
              <w:t>)</w:t>
            </w:r>
          </w:p>
        </w:tc>
      </w:tr>
      <w:tr w:rsidR="00527094" w14:paraId="3D802D3D" w14:textId="77777777">
        <w:trPr>
          <w:divId w:val="248856616"/>
          <w:tblCellSpacing w:w="0" w:type="dxa"/>
        </w:trPr>
        <w:tc>
          <w:tcPr>
            <w:tcW w:w="750" w:type="pct"/>
            <w:shd w:val="clear" w:color="auto" w:fill="CCEEFF"/>
            <w:vAlign w:val="bottom"/>
            <w:hideMark/>
          </w:tcPr>
          <w:p w14:paraId="7C777330" w14:textId="77777777" w:rsidR="00000000" w:rsidRDefault="00527094">
            <w:pPr>
              <w:pStyle w:val="a3"/>
              <w:spacing w:before="0" w:beforeAutospacing="0" w:after="0" w:afterAutospacing="0"/>
              <w:rPr>
                <w:sz w:val="16"/>
                <w:szCs w:val="16"/>
              </w:rPr>
            </w:pPr>
            <w:r>
              <w:rPr>
                <w:sz w:val="16"/>
                <w:szCs w:val="16"/>
              </w:rPr>
              <w:t>Amortization of equity awards</w:t>
            </w:r>
          </w:p>
        </w:tc>
        <w:tc>
          <w:tcPr>
            <w:tcW w:w="50" w:type="pct"/>
            <w:shd w:val="clear" w:color="auto" w:fill="CCEEFF"/>
            <w:tcMar>
              <w:top w:w="0" w:type="dxa"/>
              <w:left w:w="0" w:type="dxa"/>
              <w:bottom w:w="15" w:type="dxa"/>
              <w:right w:w="0" w:type="dxa"/>
            </w:tcMar>
            <w:vAlign w:val="bottom"/>
            <w:hideMark/>
          </w:tcPr>
          <w:p w14:paraId="0D8AF66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71B4135"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5BA150CA"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6A53A9C"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BC65BB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3B99503"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21964E89"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1E4FAB53"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16C428D"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1420C4A"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3DDE5078"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14C1E06A"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CCB0DA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4D7ED5A"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AB97156"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273DA957"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39631D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401F625"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4A4CAD67"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7AA51897"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AAD405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389D0DF"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691EEC9A"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267B7DE"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005BD61"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73F0423"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078E7AA6" w14:textId="77777777" w:rsidR="00000000" w:rsidRDefault="00527094">
            <w:pPr>
              <w:jc w:val="right"/>
              <w:rPr>
                <w:rFonts w:eastAsia="Times New Roman"/>
                <w:sz w:val="16"/>
                <w:szCs w:val="16"/>
              </w:rPr>
            </w:pPr>
            <w:r>
              <w:rPr>
                <w:rFonts w:eastAsia="Times New Roman"/>
                <w:sz w:val="16"/>
                <w:szCs w:val="16"/>
              </w:rPr>
              <w:t>4,610</w:t>
            </w:r>
          </w:p>
        </w:tc>
        <w:tc>
          <w:tcPr>
            <w:tcW w:w="50" w:type="pct"/>
            <w:tcBorders>
              <w:bottom w:val="single" w:sz="6" w:space="0" w:color="000000"/>
            </w:tcBorders>
            <w:shd w:val="clear" w:color="auto" w:fill="CCEEFF"/>
            <w:vAlign w:val="bottom"/>
            <w:hideMark/>
          </w:tcPr>
          <w:p w14:paraId="0003F42C"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2BAE280"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69009EA"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1ED92D44" w14:textId="77777777" w:rsidR="00000000" w:rsidRDefault="00527094">
            <w:pPr>
              <w:jc w:val="right"/>
              <w:rPr>
                <w:rFonts w:eastAsia="Times New Roman"/>
                <w:sz w:val="16"/>
                <w:szCs w:val="16"/>
              </w:rPr>
            </w:pPr>
            <w:r>
              <w:rPr>
                <w:rFonts w:eastAsia="Times New Roman"/>
                <w:sz w:val="16"/>
                <w:szCs w:val="16"/>
              </w:rPr>
              <w:t>4,610</w:t>
            </w:r>
          </w:p>
        </w:tc>
        <w:tc>
          <w:tcPr>
            <w:tcW w:w="50" w:type="pct"/>
            <w:tcBorders>
              <w:bottom w:val="single" w:sz="6" w:space="0" w:color="000000"/>
            </w:tcBorders>
            <w:shd w:val="clear" w:color="auto" w:fill="CCEEFF"/>
            <w:vAlign w:val="bottom"/>
            <w:hideMark/>
          </w:tcPr>
          <w:p w14:paraId="0CAA3E0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A197DF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F0218CA"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4E7DCFBA"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B970450"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B8D408F"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4F2A36F"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1B74D256" w14:textId="77777777" w:rsidR="00000000" w:rsidRDefault="00527094">
            <w:pPr>
              <w:jc w:val="right"/>
              <w:rPr>
                <w:rFonts w:eastAsia="Times New Roman"/>
                <w:sz w:val="16"/>
                <w:szCs w:val="16"/>
              </w:rPr>
            </w:pPr>
            <w:r>
              <w:rPr>
                <w:rFonts w:eastAsia="Times New Roman"/>
                <w:sz w:val="16"/>
                <w:szCs w:val="16"/>
              </w:rPr>
              <w:t>4,610</w:t>
            </w:r>
          </w:p>
        </w:tc>
        <w:tc>
          <w:tcPr>
            <w:tcW w:w="50" w:type="pct"/>
            <w:shd w:val="clear" w:color="auto" w:fill="CCEEFF"/>
            <w:tcMar>
              <w:top w:w="0" w:type="dxa"/>
              <w:left w:w="0" w:type="dxa"/>
              <w:bottom w:w="15" w:type="dxa"/>
              <w:right w:w="0" w:type="dxa"/>
            </w:tcMar>
            <w:vAlign w:val="bottom"/>
            <w:hideMark/>
          </w:tcPr>
          <w:p w14:paraId="6BB5EE34" w14:textId="77777777" w:rsidR="00000000" w:rsidRDefault="00527094">
            <w:pPr>
              <w:rPr>
                <w:rFonts w:eastAsia="Times New Roman"/>
                <w:sz w:val="16"/>
                <w:szCs w:val="16"/>
              </w:rPr>
            </w:pPr>
            <w:r>
              <w:rPr>
                <w:rFonts w:eastAsia="Times New Roman"/>
                <w:sz w:val="16"/>
                <w:szCs w:val="16"/>
              </w:rPr>
              <w:t> </w:t>
            </w:r>
          </w:p>
        </w:tc>
      </w:tr>
      <w:tr w:rsidR="00527094" w14:paraId="2B87A73B" w14:textId="77777777">
        <w:trPr>
          <w:divId w:val="248856616"/>
          <w:tblCellSpacing w:w="0" w:type="dxa"/>
        </w:trPr>
        <w:tc>
          <w:tcPr>
            <w:tcW w:w="750" w:type="pct"/>
            <w:shd w:val="clear" w:color="auto" w:fill="FFFFFF"/>
            <w:vAlign w:val="bottom"/>
            <w:hideMark/>
          </w:tcPr>
          <w:p w14:paraId="795449CF" w14:textId="77777777" w:rsidR="00000000" w:rsidRDefault="00527094">
            <w:pPr>
              <w:pStyle w:val="a3"/>
              <w:spacing w:before="0" w:beforeAutospacing="0" w:after="0" w:afterAutospacing="0"/>
              <w:rPr>
                <w:sz w:val="16"/>
                <w:szCs w:val="16"/>
              </w:rPr>
            </w:pPr>
            <w:r>
              <w:rPr>
                <w:sz w:val="16"/>
                <w:szCs w:val="16"/>
              </w:rPr>
              <w:t>Balance at June 30, 2018</w:t>
            </w:r>
          </w:p>
        </w:tc>
        <w:tc>
          <w:tcPr>
            <w:tcW w:w="50" w:type="pct"/>
            <w:shd w:val="clear" w:color="auto" w:fill="FFFFFF"/>
            <w:vAlign w:val="bottom"/>
            <w:hideMark/>
          </w:tcPr>
          <w:p w14:paraId="31A0836F"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5DF0F44"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09598AA9" w14:textId="77777777" w:rsidR="00000000" w:rsidRDefault="00527094">
            <w:pPr>
              <w:jc w:val="right"/>
              <w:rPr>
                <w:rFonts w:eastAsia="Times New Roman"/>
                <w:sz w:val="16"/>
                <w:szCs w:val="16"/>
              </w:rPr>
            </w:pPr>
            <w:r>
              <w:rPr>
                <w:rFonts w:eastAsia="Times New Roman"/>
                <w:sz w:val="16"/>
                <w:szCs w:val="16"/>
              </w:rPr>
              <w:t>(710,981</w:t>
            </w:r>
          </w:p>
        </w:tc>
        <w:tc>
          <w:tcPr>
            <w:tcW w:w="50" w:type="pct"/>
            <w:tcBorders>
              <w:bottom w:val="double" w:sz="6" w:space="0" w:color="000000"/>
            </w:tcBorders>
            <w:shd w:val="clear" w:color="auto" w:fill="FFFFFF"/>
            <w:vAlign w:val="bottom"/>
            <w:hideMark/>
          </w:tcPr>
          <w:p w14:paraId="4B2918AF" w14:textId="77777777" w:rsidR="00000000" w:rsidRDefault="0052709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02A4E09F"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A49EE96"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51529429" w14:textId="77777777" w:rsidR="00000000" w:rsidRDefault="00527094">
            <w:pPr>
              <w:jc w:val="right"/>
              <w:rPr>
                <w:rFonts w:eastAsia="Times New Roman"/>
                <w:sz w:val="16"/>
                <w:szCs w:val="16"/>
              </w:rPr>
            </w:pPr>
            <w:r>
              <w:rPr>
                <w:rFonts w:eastAsia="Times New Roman"/>
                <w:sz w:val="16"/>
                <w:szCs w:val="16"/>
              </w:rPr>
              <w:t>72</w:t>
            </w:r>
          </w:p>
        </w:tc>
        <w:tc>
          <w:tcPr>
            <w:tcW w:w="50" w:type="pct"/>
            <w:tcBorders>
              <w:bottom w:val="double" w:sz="6" w:space="0" w:color="000000"/>
            </w:tcBorders>
            <w:shd w:val="clear" w:color="auto" w:fill="FFFFFF"/>
            <w:vAlign w:val="bottom"/>
            <w:hideMark/>
          </w:tcPr>
          <w:p w14:paraId="680AC50B"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03637F4"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B0D2FE8"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03F3ADD4"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36605803"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91D3532"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08E8B4A"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578284B3"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4529B9AB"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CC4AB83"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FF4AAFD"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7850830C" w14:textId="77777777" w:rsidR="00000000" w:rsidRDefault="00527094">
            <w:pPr>
              <w:jc w:val="right"/>
              <w:rPr>
                <w:rFonts w:eastAsia="Times New Roman"/>
                <w:sz w:val="16"/>
                <w:szCs w:val="16"/>
              </w:rPr>
            </w:pPr>
            <w:r>
              <w:rPr>
                <w:rFonts w:eastAsia="Times New Roman"/>
                <w:sz w:val="16"/>
                <w:szCs w:val="16"/>
              </w:rPr>
              <w:t>421,388</w:t>
            </w:r>
          </w:p>
        </w:tc>
        <w:tc>
          <w:tcPr>
            <w:tcW w:w="50" w:type="pct"/>
            <w:tcBorders>
              <w:bottom w:val="double" w:sz="6" w:space="0" w:color="000000"/>
            </w:tcBorders>
            <w:shd w:val="clear" w:color="auto" w:fill="FFFFFF"/>
            <w:vAlign w:val="bottom"/>
            <w:hideMark/>
          </w:tcPr>
          <w:p w14:paraId="43C06D14"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8256CB6"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EC850CA"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45D04AF2" w14:textId="77777777" w:rsidR="00000000" w:rsidRDefault="00527094">
            <w:pPr>
              <w:jc w:val="right"/>
              <w:rPr>
                <w:rFonts w:eastAsia="Times New Roman"/>
                <w:sz w:val="16"/>
                <w:szCs w:val="16"/>
              </w:rPr>
            </w:pPr>
            <w:r>
              <w:rPr>
                <w:rFonts w:eastAsia="Times New Roman"/>
                <w:sz w:val="16"/>
                <w:szCs w:val="16"/>
              </w:rPr>
              <w:t>4,214</w:t>
            </w:r>
          </w:p>
        </w:tc>
        <w:tc>
          <w:tcPr>
            <w:tcW w:w="50" w:type="pct"/>
            <w:tcBorders>
              <w:bottom w:val="double" w:sz="6" w:space="0" w:color="000000"/>
            </w:tcBorders>
            <w:shd w:val="clear" w:color="auto" w:fill="FFFFFF"/>
            <w:vAlign w:val="bottom"/>
            <w:hideMark/>
          </w:tcPr>
          <w:p w14:paraId="62D7FF87"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372C12D"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4699ABD"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526211C3" w14:textId="77777777" w:rsidR="00000000" w:rsidRDefault="00527094">
            <w:pPr>
              <w:jc w:val="right"/>
              <w:rPr>
                <w:rFonts w:eastAsia="Times New Roman"/>
                <w:sz w:val="16"/>
                <w:szCs w:val="16"/>
              </w:rPr>
            </w:pPr>
            <w:r>
              <w:rPr>
                <w:rFonts w:eastAsia="Times New Roman"/>
                <w:sz w:val="16"/>
                <w:szCs w:val="16"/>
              </w:rPr>
              <w:t>6,117,862</w:t>
            </w:r>
          </w:p>
        </w:tc>
        <w:tc>
          <w:tcPr>
            <w:tcW w:w="50" w:type="pct"/>
            <w:tcBorders>
              <w:bottom w:val="double" w:sz="6" w:space="0" w:color="000000"/>
            </w:tcBorders>
            <w:shd w:val="clear" w:color="auto" w:fill="FFFFFF"/>
            <w:vAlign w:val="bottom"/>
            <w:hideMark/>
          </w:tcPr>
          <w:p w14:paraId="17503C29"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C20ADF5"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CBE91A2"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05E5B09F" w14:textId="77777777" w:rsidR="00000000" w:rsidRDefault="00527094">
            <w:pPr>
              <w:jc w:val="right"/>
              <w:rPr>
                <w:rFonts w:eastAsia="Times New Roman"/>
                <w:sz w:val="16"/>
                <w:szCs w:val="16"/>
              </w:rPr>
            </w:pPr>
            <w:r>
              <w:rPr>
                <w:rFonts w:eastAsia="Times New Roman"/>
                <w:sz w:val="16"/>
                <w:szCs w:val="16"/>
              </w:rPr>
              <w:t>5,411,210</w:t>
            </w:r>
          </w:p>
        </w:tc>
        <w:tc>
          <w:tcPr>
            <w:tcW w:w="50" w:type="pct"/>
            <w:tcBorders>
              <w:bottom w:val="double" w:sz="6" w:space="0" w:color="000000"/>
            </w:tcBorders>
            <w:shd w:val="clear" w:color="auto" w:fill="FFFFFF"/>
            <w:vAlign w:val="bottom"/>
            <w:hideMark/>
          </w:tcPr>
          <w:p w14:paraId="57B58326"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9753C44"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195F962"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018D0809" w14:textId="77777777" w:rsidR="00000000" w:rsidRDefault="00527094">
            <w:pPr>
              <w:jc w:val="right"/>
              <w:rPr>
                <w:rFonts w:eastAsia="Times New Roman"/>
                <w:sz w:val="16"/>
                <w:szCs w:val="16"/>
              </w:rPr>
            </w:pPr>
            <w:r>
              <w:rPr>
                <w:rFonts w:eastAsia="Times New Roman"/>
                <w:sz w:val="16"/>
                <w:szCs w:val="16"/>
              </w:rPr>
              <w:t>77,768</w:t>
            </w:r>
          </w:p>
        </w:tc>
        <w:tc>
          <w:tcPr>
            <w:tcW w:w="50" w:type="pct"/>
            <w:tcBorders>
              <w:bottom w:val="double" w:sz="6" w:space="0" w:color="000000"/>
            </w:tcBorders>
            <w:shd w:val="clear" w:color="auto" w:fill="FFFFFF"/>
            <w:vAlign w:val="bottom"/>
            <w:hideMark/>
          </w:tcPr>
          <w:p w14:paraId="1A79F62C"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3E5B29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E01A144"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0F946B4C" w14:textId="77777777" w:rsidR="00000000" w:rsidRDefault="00527094">
            <w:pPr>
              <w:jc w:val="right"/>
              <w:rPr>
                <w:rFonts w:eastAsia="Times New Roman"/>
                <w:sz w:val="16"/>
                <w:szCs w:val="16"/>
              </w:rPr>
            </w:pPr>
            <w:r>
              <w:rPr>
                <w:rFonts w:eastAsia="Times New Roman"/>
                <w:sz w:val="16"/>
                <w:szCs w:val="16"/>
              </w:rPr>
              <w:t>5,488,978</w:t>
            </w:r>
          </w:p>
        </w:tc>
        <w:tc>
          <w:tcPr>
            <w:tcW w:w="50" w:type="pct"/>
            <w:shd w:val="clear" w:color="auto" w:fill="FFFFFF"/>
            <w:tcMar>
              <w:top w:w="0" w:type="dxa"/>
              <w:left w:w="0" w:type="dxa"/>
              <w:bottom w:w="45" w:type="dxa"/>
              <w:right w:w="0" w:type="dxa"/>
            </w:tcMar>
            <w:vAlign w:val="bottom"/>
            <w:hideMark/>
          </w:tcPr>
          <w:p w14:paraId="4BE501EC" w14:textId="77777777" w:rsidR="00000000" w:rsidRDefault="00527094">
            <w:pPr>
              <w:rPr>
                <w:rFonts w:eastAsia="Times New Roman"/>
                <w:sz w:val="16"/>
                <w:szCs w:val="16"/>
              </w:rPr>
            </w:pPr>
            <w:r>
              <w:rPr>
                <w:rFonts w:eastAsia="Times New Roman"/>
                <w:sz w:val="16"/>
                <w:szCs w:val="16"/>
              </w:rPr>
              <w:t> </w:t>
            </w:r>
          </w:p>
        </w:tc>
      </w:tr>
      <w:tr w:rsidR="00527094" w14:paraId="2163CD8C" w14:textId="77777777">
        <w:trPr>
          <w:divId w:val="248856616"/>
          <w:tblCellSpacing w:w="0" w:type="dxa"/>
        </w:trPr>
        <w:tc>
          <w:tcPr>
            <w:tcW w:w="750" w:type="pct"/>
            <w:shd w:val="clear" w:color="auto" w:fill="CCEEFF"/>
            <w:vAlign w:val="bottom"/>
            <w:hideMark/>
          </w:tcPr>
          <w:p w14:paraId="0E275CE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22BA1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48FCF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D1D3A9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5D88C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55E11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A7EC7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A27804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70DE9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18F71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1CB0C5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5A50BD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C3433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F588B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8AAD1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920538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31570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E3AFF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E227B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31B606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4EABC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20F95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0B393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E9F5B1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77105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BBE6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783CC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2BF9DD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181AB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C70E1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73859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8D966A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43B1E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0C4B8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BA296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DD3001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B7BB5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99CC0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035B5F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793654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A141BE" w14:textId="77777777" w:rsidR="00000000" w:rsidRDefault="00527094">
            <w:pPr>
              <w:rPr>
                <w:rFonts w:eastAsia="Times New Roman"/>
                <w:sz w:val="16"/>
                <w:szCs w:val="16"/>
              </w:rPr>
            </w:pPr>
            <w:r>
              <w:rPr>
                <w:rFonts w:eastAsia="Times New Roman"/>
                <w:sz w:val="16"/>
                <w:szCs w:val="16"/>
              </w:rPr>
              <w:t> </w:t>
            </w:r>
          </w:p>
        </w:tc>
      </w:tr>
      <w:tr w:rsidR="00527094" w14:paraId="16772B41" w14:textId="77777777">
        <w:trPr>
          <w:divId w:val="248856616"/>
          <w:tblCellSpacing w:w="0" w:type="dxa"/>
        </w:trPr>
        <w:tc>
          <w:tcPr>
            <w:tcW w:w="750" w:type="pct"/>
            <w:shd w:val="clear" w:color="auto" w:fill="FFFFFF"/>
            <w:vAlign w:val="bottom"/>
            <w:hideMark/>
          </w:tcPr>
          <w:p w14:paraId="0CD13E31" w14:textId="77777777" w:rsidR="00000000" w:rsidRDefault="00527094">
            <w:pPr>
              <w:pStyle w:val="a3"/>
              <w:spacing w:before="0" w:beforeAutospacing="0" w:after="0" w:afterAutospacing="0"/>
              <w:rPr>
                <w:sz w:val="16"/>
                <w:szCs w:val="16"/>
              </w:rPr>
            </w:pPr>
            <w:r>
              <w:rPr>
                <w:sz w:val="16"/>
                <w:szCs w:val="16"/>
              </w:rPr>
              <w:t>Balance at April 1, 2019</w:t>
            </w:r>
          </w:p>
        </w:tc>
        <w:tc>
          <w:tcPr>
            <w:tcW w:w="50" w:type="pct"/>
            <w:shd w:val="clear" w:color="auto" w:fill="FFFFFF"/>
            <w:vAlign w:val="bottom"/>
            <w:hideMark/>
          </w:tcPr>
          <w:p w14:paraId="524B987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25160D"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5ECBBE1F" w14:textId="77777777" w:rsidR="00000000" w:rsidRDefault="00527094">
            <w:pPr>
              <w:jc w:val="right"/>
              <w:rPr>
                <w:rFonts w:eastAsia="Times New Roman"/>
                <w:sz w:val="16"/>
                <w:szCs w:val="16"/>
              </w:rPr>
            </w:pPr>
            <w:r>
              <w:rPr>
                <w:rFonts w:eastAsia="Times New Roman"/>
                <w:sz w:val="16"/>
                <w:szCs w:val="16"/>
              </w:rPr>
              <w:t>(804,241</w:t>
            </w:r>
          </w:p>
        </w:tc>
        <w:tc>
          <w:tcPr>
            <w:tcW w:w="50" w:type="pct"/>
            <w:shd w:val="clear" w:color="auto" w:fill="FFFFFF"/>
            <w:vAlign w:val="bottom"/>
            <w:hideMark/>
          </w:tcPr>
          <w:p w14:paraId="49499D74"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282A3E1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9CAEC0"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50E8F70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458D9E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AD168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4683E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23DF6C1" w14:textId="77777777" w:rsidR="00000000" w:rsidRDefault="00527094">
            <w:pPr>
              <w:jc w:val="right"/>
              <w:rPr>
                <w:rFonts w:eastAsia="Times New Roman"/>
                <w:sz w:val="16"/>
                <w:szCs w:val="16"/>
              </w:rPr>
            </w:pPr>
            <w:r>
              <w:rPr>
                <w:rFonts w:eastAsia="Times New Roman"/>
                <w:sz w:val="16"/>
                <w:szCs w:val="16"/>
              </w:rPr>
              <w:t>43</w:t>
            </w:r>
          </w:p>
        </w:tc>
        <w:tc>
          <w:tcPr>
            <w:tcW w:w="50" w:type="pct"/>
            <w:shd w:val="clear" w:color="auto" w:fill="FFFFFF"/>
            <w:vAlign w:val="bottom"/>
            <w:hideMark/>
          </w:tcPr>
          <w:p w14:paraId="6E2FFD7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1A9B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D74FA7" w14:textId="77777777" w:rsidR="00000000" w:rsidRDefault="00527094">
            <w:pPr>
              <w:rPr>
                <w:rFonts w:eastAsia="Times New Roman"/>
                <w:sz w:val="16"/>
                <w:szCs w:val="16"/>
              </w:rPr>
            </w:pPr>
            <w:r>
              <w:rPr>
                <w:rFonts w:eastAsia="Times New Roman"/>
                <w:sz w:val="16"/>
                <w:szCs w:val="16"/>
              </w:rPr>
              <w:t>$</w:t>
            </w:r>
          </w:p>
        </w:tc>
        <w:tc>
          <w:tcPr>
            <w:tcW w:w="250" w:type="pct"/>
            <w:shd w:val="clear" w:color="auto" w:fill="FFFFFF"/>
            <w:vAlign w:val="bottom"/>
            <w:hideMark/>
          </w:tcPr>
          <w:p w14:paraId="0C178726" w14:textId="77777777" w:rsidR="00000000" w:rsidRDefault="00527094">
            <w:pPr>
              <w:jc w:val="right"/>
              <w:rPr>
                <w:rFonts w:eastAsia="Times New Roman"/>
                <w:sz w:val="16"/>
                <w:szCs w:val="16"/>
              </w:rPr>
            </w:pPr>
            <w:r>
              <w:rPr>
                <w:rFonts w:eastAsia="Times New Roman"/>
                <w:sz w:val="16"/>
                <w:szCs w:val="16"/>
              </w:rPr>
              <w:t>43</w:t>
            </w:r>
          </w:p>
        </w:tc>
        <w:tc>
          <w:tcPr>
            <w:tcW w:w="50" w:type="pct"/>
            <w:shd w:val="clear" w:color="auto" w:fill="FFFFFF"/>
            <w:vAlign w:val="bottom"/>
            <w:hideMark/>
          </w:tcPr>
          <w:p w14:paraId="7DA8693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DA17F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D6FBB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78239F3" w14:textId="77777777" w:rsidR="00000000" w:rsidRDefault="00527094">
            <w:pPr>
              <w:jc w:val="right"/>
              <w:rPr>
                <w:rFonts w:eastAsia="Times New Roman"/>
                <w:sz w:val="16"/>
                <w:szCs w:val="16"/>
              </w:rPr>
            </w:pPr>
            <w:r>
              <w:rPr>
                <w:rFonts w:eastAsia="Times New Roman"/>
                <w:sz w:val="16"/>
                <w:szCs w:val="16"/>
              </w:rPr>
              <w:t>422,037</w:t>
            </w:r>
          </w:p>
        </w:tc>
        <w:tc>
          <w:tcPr>
            <w:tcW w:w="50" w:type="pct"/>
            <w:shd w:val="clear" w:color="auto" w:fill="FFFFFF"/>
            <w:vAlign w:val="bottom"/>
            <w:hideMark/>
          </w:tcPr>
          <w:p w14:paraId="79F5DCC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24367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49F0C2" w14:textId="77777777" w:rsidR="00000000" w:rsidRDefault="00527094">
            <w:pPr>
              <w:rPr>
                <w:rFonts w:eastAsia="Times New Roman"/>
                <w:sz w:val="16"/>
                <w:szCs w:val="16"/>
              </w:rPr>
            </w:pPr>
            <w:r>
              <w:rPr>
                <w:rFonts w:eastAsia="Times New Roman"/>
                <w:sz w:val="16"/>
                <w:szCs w:val="16"/>
              </w:rPr>
              <w:t>$</w:t>
            </w:r>
          </w:p>
        </w:tc>
        <w:tc>
          <w:tcPr>
            <w:tcW w:w="250" w:type="pct"/>
            <w:shd w:val="clear" w:color="auto" w:fill="FFFFFF"/>
            <w:vAlign w:val="bottom"/>
            <w:hideMark/>
          </w:tcPr>
          <w:p w14:paraId="3FA61C8A" w14:textId="77777777" w:rsidR="00000000" w:rsidRDefault="00527094">
            <w:pPr>
              <w:jc w:val="right"/>
              <w:rPr>
                <w:rFonts w:eastAsia="Times New Roman"/>
                <w:sz w:val="16"/>
                <w:szCs w:val="16"/>
              </w:rPr>
            </w:pPr>
            <w:r>
              <w:rPr>
                <w:rFonts w:eastAsia="Times New Roman"/>
                <w:sz w:val="16"/>
                <w:szCs w:val="16"/>
              </w:rPr>
              <w:t>4,220</w:t>
            </w:r>
          </w:p>
        </w:tc>
        <w:tc>
          <w:tcPr>
            <w:tcW w:w="50" w:type="pct"/>
            <w:shd w:val="clear" w:color="auto" w:fill="FFFFFF"/>
            <w:vAlign w:val="bottom"/>
            <w:hideMark/>
          </w:tcPr>
          <w:p w14:paraId="62A1C0B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6AD32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3301CB"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4AD88A02" w14:textId="77777777" w:rsidR="00000000" w:rsidRDefault="00527094">
            <w:pPr>
              <w:jc w:val="right"/>
              <w:rPr>
                <w:rFonts w:eastAsia="Times New Roman"/>
                <w:sz w:val="16"/>
                <w:szCs w:val="16"/>
              </w:rPr>
            </w:pPr>
            <w:r>
              <w:rPr>
                <w:rFonts w:eastAsia="Times New Roman"/>
                <w:sz w:val="16"/>
                <w:szCs w:val="16"/>
              </w:rPr>
              <w:t>6,119,855</w:t>
            </w:r>
          </w:p>
        </w:tc>
        <w:tc>
          <w:tcPr>
            <w:tcW w:w="50" w:type="pct"/>
            <w:shd w:val="clear" w:color="auto" w:fill="FFFFFF"/>
            <w:vAlign w:val="bottom"/>
            <w:hideMark/>
          </w:tcPr>
          <w:p w14:paraId="7033509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A7468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48D619"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144A5414" w14:textId="77777777" w:rsidR="00000000" w:rsidRDefault="00527094">
            <w:pPr>
              <w:jc w:val="right"/>
              <w:rPr>
                <w:rFonts w:eastAsia="Times New Roman"/>
                <w:sz w:val="16"/>
                <w:szCs w:val="16"/>
              </w:rPr>
            </w:pPr>
            <w:r>
              <w:rPr>
                <w:rFonts w:eastAsia="Times New Roman"/>
                <w:sz w:val="16"/>
                <w:szCs w:val="16"/>
              </w:rPr>
              <w:t>5,319,877</w:t>
            </w:r>
          </w:p>
        </w:tc>
        <w:tc>
          <w:tcPr>
            <w:tcW w:w="50" w:type="pct"/>
            <w:shd w:val="clear" w:color="auto" w:fill="FFFFFF"/>
            <w:vAlign w:val="bottom"/>
            <w:hideMark/>
          </w:tcPr>
          <w:p w14:paraId="0288325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FF505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B96683"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119E585B" w14:textId="77777777" w:rsidR="00000000" w:rsidRDefault="00527094">
            <w:pPr>
              <w:jc w:val="right"/>
              <w:rPr>
                <w:rFonts w:eastAsia="Times New Roman"/>
                <w:sz w:val="16"/>
                <w:szCs w:val="16"/>
              </w:rPr>
            </w:pPr>
            <w:r>
              <w:rPr>
                <w:rFonts w:eastAsia="Times New Roman"/>
                <w:sz w:val="16"/>
                <w:szCs w:val="16"/>
              </w:rPr>
              <w:t>76,981</w:t>
            </w:r>
          </w:p>
        </w:tc>
        <w:tc>
          <w:tcPr>
            <w:tcW w:w="50" w:type="pct"/>
            <w:shd w:val="clear" w:color="auto" w:fill="FFFFFF"/>
            <w:vAlign w:val="bottom"/>
            <w:hideMark/>
          </w:tcPr>
          <w:p w14:paraId="02B0475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FADBBD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0CA5F1" w14:textId="77777777" w:rsidR="00000000" w:rsidRDefault="00527094">
            <w:pPr>
              <w:rPr>
                <w:rFonts w:eastAsia="Times New Roman"/>
                <w:sz w:val="16"/>
                <w:szCs w:val="16"/>
              </w:rPr>
            </w:pPr>
            <w:r>
              <w:rPr>
                <w:rFonts w:eastAsia="Times New Roman"/>
                <w:sz w:val="16"/>
                <w:szCs w:val="16"/>
              </w:rPr>
              <w:t>$</w:t>
            </w:r>
          </w:p>
        </w:tc>
        <w:tc>
          <w:tcPr>
            <w:tcW w:w="250" w:type="pct"/>
            <w:shd w:val="clear" w:color="auto" w:fill="FFFFFF"/>
            <w:vAlign w:val="bottom"/>
            <w:hideMark/>
          </w:tcPr>
          <w:p w14:paraId="0B46CFD1" w14:textId="77777777" w:rsidR="00000000" w:rsidRDefault="00527094">
            <w:pPr>
              <w:jc w:val="right"/>
              <w:rPr>
                <w:rFonts w:eastAsia="Times New Roman"/>
                <w:sz w:val="16"/>
                <w:szCs w:val="16"/>
              </w:rPr>
            </w:pPr>
            <w:r>
              <w:rPr>
                <w:rFonts w:eastAsia="Times New Roman"/>
                <w:sz w:val="16"/>
                <w:szCs w:val="16"/>
              </w:rPr>
              <w:t>5,396,858</w:t>
            </w:r>
          </w:p>
        </w:tc>
        <w:tc>
          <w:tcPr>
            <w:tcW w:w="50" w:type="pct"/>
            <w:shd w:val="clear" w:color="auto" w:fill="FFFFFF"/>
            <w:vAlign w:val="bottom"/>
            <w:hideMark/>
          </w:tcPr>
          <w:p w14:paraId="369F406B" w14:textId="77777777" w:rsidR="00000000" w:rsidRDefault="00527094">
            <w:pPr>
              <w:rPr>
                <w:rFonts w:eastAsia="Times New Roman"/>
                <w:sz w:val="16"/>
                <w:szCs w:val="16"/>
              </w:rPr>
            </w:pPr>
            <w:r>
              <w:rPr>
                <w:rFonts w:eastAsia="Times New Roman"/>
                <w:sz w:val="16"/>
                <w:szCs w:val="16"/>
              </w:rPr>
              <w:t> </w:t>
            </w:r>
          </w:p>
        </w:tc>
      </w:tr>
      <w:tr w:rsidR="00527094" w14:paraId="451C432D" w14:textId="77777777">
        <w:trPr>
          <w:divId w:val="248856616"/>
          <w:tblCellSpacing w:w="0" w:type="dxa"/>
        </w:trPr>
        <w:tc>
          <w:tcPr>
            <w:tcW w:w="750" w:type="pct"/>
            <w:shd w:val="clear" w:color="auto" w:fill="CCEEFF"/>
            <w:vAlign w:val="bottom"/>
            <w:hideMark/>
          </w:tcPr>
          <w:p w14:paraId="74C3230B" w14:textId="77777777" w:rsidR="00000000" w:rsidRDefault="00527094">
            <w:pPr>
              <w:pStyle w:val="a3"/>
              <w:spacing w:before="0" w:beforeAutospacing="0" w:after="0" w:afterAutospacing="0"/>
              <w:rPr>
                <w:sz w:val="16"/>
                <w:szCs w:val="16"/>
              </w:rPr>
            </w:pPr>
            <w:r>
              <w:rPr>
                <w:sz w:val="16"/>
                <w:szCs w:val="16"/>
              </w:rPr>
              <w:t>Net income</w:t>
            </w:r>
          </w:p>
        </w:tc>
        <w:tc>
          <w:tcPr>
            <w:tcW w:w="50" w:type="pct"/>
            <w:shd w:val="clear" w:color="auto" w:fill="CCEEFF"/>
            <w:vAlign w:val="bottom"/>
            <w:hideMark/>
          </w:tcPr>
          <w:p w14:paraId="7D24534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9CD05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BF1A74C" w14:textId="77777777" w:rsidR="00000000" w:rsidRDefault="00527094">
            <w:pPr>
              <w:jc w:val="right"/>
              <w:rPr>
                <w:rFonts w:eastAsia="Times New Roman"/>
                <w:sz w:val="16"/>
                <w:szCs w:val="16"/>
              </w:rPr>
            </w:pPr>
            <w:r>
              <w:rPr>
                <w:rFonts w:eastAsia="Times New Roman"/>
                <w:sz w:val="16"/>
                <w:szCs w:val="16"/>
              </w:rPr>
              <w:t>101,027</w:t>
            </w:r>
          </w:p>
        </w:tc>
        <w:tc>
          <w:tcPr>
            <w:tcW w:w="50" w:type="pct"/>
            <w:shd w:val="clear" w:color="auto" w:fill="CCEEFF"/>
            <w:vAlign w:val="bottom"/>
            <w:hideMark/>
          </w:tcPr>
          <w:p w14:paraId="20ABD4A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0A779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9AC30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B38E86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138200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32060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1F52E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7BC3F82"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6BDD450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ADFF7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2EAE6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1E4AEE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D15E04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4ADFC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771AF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E539CB3"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28AF66B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04D66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A1BEF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8275D9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93E90F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4B700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91492E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5549F2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A698E7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8ACD5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F423D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A1114B9" w14:textId="77777777" w:rsidR="00000000" w:rsidRDefault="00527094">
            <w:pPr>
              <w:jc w:val="right"/>
              <w:rPr>
                <w:rFonts w:eastAsia="Times New Roman"/>
                <w:sz w:val="16"/>
                <w:szCs w:val="16"/>
              </w:rPr>
            </w:pPr>
            <w:r>
              <w:rPr>
                <w:rFonts w:eastAsia="Times New Roman"/>
                <w:sz w:val="16"/>
                <w:szCs w:val="16"/>
              </w:rPr>
              <w:t>101,027</w:t>
            </w:r>
          </w:p>
        </w:tc>
        <w:tc>
          <w:tcPr>
            <w:tcW w:w="50" w:type="pct"/>
            <w:shd w:val="clear" w:color="auto" w:fill="CCEEFF"/>
            <w:vAlign w:val="bottom"/>
            <w:hideMark/>
          </w:tcPr>
          <w:p w14:paraId="7C5500E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1190E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F039F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AEDA3D5" w14:textId="77777777" w:rsidR="00000000" w:rsidRDefault="00527094">
            <w:pPr>
              <w:jc w:val="right"/>
              <w:rPr>
                <w:rFonts w:eastAsia="Times New Roman"/>
                <w:sz w:val="16"/>
                <w:szCs w:val="16"/>
              </w:rPr>
            </w:pPr>
            <w:r>
              <w:rPr>
                <w:rFonts w:eastAsia="Times New Roman"/>
                <w:sz w:val="16"/>
                <w:szCs w:val="16"/>
              </w:rPr>
              <w:t>360</w:t>
            </w:r>
          </w:p>
        </w:tc>
        <w:tc>
          <w:tcPr>
            <w:tcW w:w="50" w:type="pct"/>
            <w:shd w:val="clear" w:color="auto" w:fill="CCEEFF"/>
            <w:vAlign w:val="bottom"/>
            <w:hideMark/>
          </w:tcPr>
          <w:p w14:paraId="39B3050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D5F2D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D19BC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1534A83" w14:textId="77777777" w:rsidR="00000000" w:rsidRDefault="00527094">
            <w:pPr>
              <w:jc w:val="right"/>
              <w:rPr>
                <w:rFonts w:eastAsia="Times New Roman"/>
                <w:sz w:val="16"/>
                <w:szCs w:val="16"/>
              </w:rPr>
            </w:pPr>
            <w:r>
              <w:rPr>
                <w:rFonts w:eastAsia="Times New Roman"/>
                <w:sz w:val="16"/>
                <w:szCs w:val="16"/>
              </w:rPr>
              <w:t>101,387</w:t>
            </w:r>
          </w:p>
        </w:tc>
        <w:tc>
          <w:tcPr>
            <w:tcW w:w="50" w:type="pct"/>
            <w:shd w:val="clear" w:color="auto" w:fill="CCEEFF"/>
            <w:vAlign w:val="bottom"/>
            <w:hideMark/>
          </w:tcPr>
          <w:p w14:paraId="335E5629" w14:textId="77777777" w:rsidR="00000000" w:rsidRDefault="00527094">
            <w:pPr>
              <w:rPr>
                <w:rFonts w:eastAsia="Times New Roman"/>
                <w:sz w:val="16"/>
                <w:szCs w:val="16"/>
              </w:rPr>
            </w:pPr>
            <w:r>
              <w:rPr>
                <w:rFonts w:eastAsia="Times New Roman"/>
                <w:sz w:val="16"/>
                <w:szCs w:val="16"/>
              </w:rPr>
              <w:t> </w:t>
            </w:r>
          </w:p>
        </w:tc>
      </w:tr>
      <w:tr w:rsidR="00527094" w14:paraId="1F86B8BF" w14:textId="77777777">
        <w:trPr>
          <w:divId w:val="248856616"/>
          <w:tblCellSpacing w:w="0" w:type="dxa"/>
        </w:trPr>
        <w:tc>
          <w:tcPr>
            <w:tcW w:w="750" w:type="pct"/>
            <w:shd w:val="clear" w:color="auto" w:fill="FFFFFF"/>
            <w:vAlign w:val="bottom"/>
            <w:hideMark/>
          </w:tcPr>
          <w:p w14:paraId="6849FED8" w14:textId="77777777" w:rsidR="00000000" w:rsidRDefault="00527094">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14:paraId="79C29B1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C43CB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859E21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B4278B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1F17A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DBE4B1"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5E157F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0F81D0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7DA8C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4BF8B1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348CEAC"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B2D6EF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076C7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DA31C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9B3AF5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D5ADB4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9BD7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94773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4AE4CC1"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DC33E7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3F1C9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39894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054454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BF1ADF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ACF25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D8EFC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7749EA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FF67CC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1E970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95616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BC78A0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107434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ACC3A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4D999E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AF14063" w14:textId="77777777" w:rsidR="00000000" w:rsidRDefault="00527094">
            <w:pPr>
              <w:jc w:val="right"/>
              <w:rPr>
                <w:rFonts w:eastAsia="Times New Roman"/>
                <w:sz w:val="16"/>
                <w:szCs w:val="16"/>
              </w:rPr>
            </w:pPr>
            <w:r>
              <w:rPr>
                <w:rFonts w:eastAsia="Times New Roman"/>
                <w:sz w:val="16"/>
                <w:szCs w:val="16"/>
              </w:rPr>
              <w:t>(93</w:t>
            </w:r>
          </w:p>
        </w:tc>
        <w:tc>
          <w:tcPr>
            <w:tcW w:w="50" w:type="pct"/>
            <w:shd w:val="clear" w:color="auto" w:fill="FFFFFF"/>
            <w:vAlign w:val="bottom"/>
            <w:hideMark/>
          </w:tcPr>
          <w:p w14:paraId="144010E3"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78D49A8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38DA2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315CB22" w14:textId="77777777" w:rsidR="00000000" w:rsidRDefault="00527094">
            <w:pPr>
              <w:jc w:val="right"/>
              <w:rPr>
                <w:rFonts w:eastAsia="Times New Roman"/>
                <w:sz w:val="16"/>
                <w:szCs w:val="16"/>
              </w:rPr>
            </w:pPr>
            <w:r>
              <w:rPr>
                <w:rFonts w:eastAsia="Times New Roman"/>
                <w:sz w:val="16"/>
                <w:szCs w:val="16"/>
              </w:rPr>
              <w:t>(93</w:t>
            </w:r>
          </w:p>
        </w:tc>
        <w:tc>
          <w:tcPr>
            <w:tcW w:w="50" w:type="pct"/>
            <w:shd w:val="clear" w:color="auto" w:fill="FFFFFF"/>
            <w:vAlign w:val="bottom"/>
            <w:hideMark/>
          </w:tcPr>
          <w:p w14:paraId="461E9D56" w14:textId="77777777" w:rsidR="00000000" w:rsidRDefault="00527094">
            <w:pPr>
              <w:rPr>
                <w:rFonts w:eastAsia="Times New Roman"/>
                <w:sz w:val="16"/>
                <w:szCs w:val="16"/>
              </w:rPr>
            </w:pPr>
            <w:r>
              <w:rPr>
                <w:rFonts w:eastAsia="Times New Roman"/>
                <w:sz w:val="16"/>
                <w:szCs w:val="16"/>
              </w:rPr>
              <w:t>)</w:t>
            </w:r>
          </w:p>
        </w:tc>
      </w:tr>
      <w:tr w:rsidR="00527094" w14:paraId="6C08ABAB" w14:textId="77777777">
        <w:trPr>
          <w:divId w:val="248856616"/>
          <w:tblCellSpacing w:w="0" w:type="dxa"/>
        </w:trPr>
        <w:tc>
          <w:tcPr>
            <w:tcW w:w="750" w:type="pct"/>
            <w:shd w:val="clear" w:color="auto" w:fill="CCEEFF"/>
            <w:vAlign w:val="bottom"/>
            <w:hideMark/>
          </w:tcPr>
          <w:p w14:paraId="0E6A3C53" w14:textId="77777777" w:rsidR="00000000" w:rsidRDefault="00527094">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14:paraId="1C98F3D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CEBDE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058B929" w14:textId="77777777" w:rsidR="00000000" w:rsidRDefault="00527094">
            <w:pPr>
              <w:jc w:val="right"/>
              <w:rPr>
                <w:rFonts w:eastAsia="Times New Roman"/>
                <w:sz w:val="16"/>
                <w:szCs w:val="16"/>
              </w:rPr>
            </w:pPr>
            <w:r>
              <w:rPr>
                <w:rFonts w:eastAsia="Times New Roman"/>
                <w:sz w:val="16"/>
                <w:szCs w:val="16"/>
              </w:rPr>
              <w:t>(132,720</w:t>
            </w:r>
          </w:p>
        </w:tc>
        <w:tc>
          <w:tcPr>
            <w:tcW w:w="50" w:type="pct"/>
            <w:shd w:val="clear" w:color="auto" w:fill="CCEEFF"/>
            <w:vAlign w:val="bottom"/>
            <w:hideMark/>
          </w:tcPr>
          <w:p w14:paraId="26C43D1A"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5168D4C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B8ABD1"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0A4479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95C584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B495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D2A8E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4A6DF37"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00CE226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0A0EE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EA6CB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F5981B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7D2567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B4D1A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F0559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A0FF6B1"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4177BBA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967610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01C4B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4E5BB9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C5B42F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25AC4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4F7E8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8B6E82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BF5D0F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5EDD5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5F0AD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32F633F" w14:textId="77777777" w:rsidR="00000000" w:rsidRDefault="00527094">
            <w:pPr>
              <w:jc w:val="right"/>
              <w:rPr>
                <w:rFonts w:eastAsia="Times New Roman"/>
                <w:sz w:val="16"/>
                <w:szCs w:val="16"/>
              </w:rPr>
            </w:pPr>
            <w:r>
              <w:rPr>
                <w:rFonts w:eastAsia="Times New Roman"/>
                <w:sz w:val="16"/>
                <w:szCs w:val="16"/>
              </w:rPr>
              <w:t>(132,720</w:t>
            </w:r>
          </w:p>
        </w:tc>
        <w:tc>
          <w:tcPr>
            <w:tcW w:w="50" w:type="pct"/>
            <w:shd w:val="clear" w:color="auto" w:fill="CCEEFF"/>
            <w:vAlign w:val="bottom"/>
            <w:hideMark/>
          </w:tcPr>
          <w:p w14:paraId="0BFF4806"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5B7AC36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A638B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6DB254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031788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EA5A6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9B804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1941F18" w14:textId="77777777" w:rsidR="00000000" w:rsidRDefault="00527094">
            <w:pPr>
              <w:jc w:val="right"/>
              <w:rPr>
                <w:rFonts w:eastAsia="Times New Roman"/>
                <w:sz w:val="16"/>
                <w:szCs w:val="16"/>
              </w:rPr>
            </w:pPr>
            <w:r>
              <w:rPr>
                <w:rFonts w:eastAsia="Times New Roman"/>
                <w:sz w:val="16"/>
                <w:szCs w:val="16"/>
              </w:rPr>
              <w:t>(132,720</w:t>
            </w:r>
          </w:p>
        </w:tc>
        <w:tc>
          <w:tcPr>
            <w:tcW w:w="50" w:type="pct"/>
            <w:shd w:val="clear" w:color="auto" w:fill="CCEEFF"/>
            <w:vAlign w:val="bottom"/>
            <w:hideMark/>
          </w:tcPr>
          <w:p w14:paraId="3A79C1B2" w14:textId="77777777" w:rsidR="00000000" w:rsidRDefault="00527094">
            <w:pPr>
              <w:rPr>
                <w:rFonts w:eastAsia="Times New Roman"/>
                <w:sz w:val="16"/>
                <w:szCs w:val="16"/>
              </w:rPr>
            </w:pPr>
            <w:r>
              <w:rPr>
                <w:rFonts w:eastAsia="Times New Roman"/>
                <w:sz w:val="16"/>
                <w:szCs w:val="16"/>
              </w:rPr>
              <w:t>)</w:t>
            </w:r>
          </w:p>
        </w:tc>
      </w:tr>
      <w:tr w:rsidR="00527094" w14:paraId="71D93EA7" w14:textId="77777777">
        <w:trPr>
          <w:divId w:val="248856616"/>
          <w:tblCellSpacing w:w="0" w:type="dxa"/>
        </w:trPr>
        <w:tc>
          <w:tcPr>
            <w:tcW w:w="750" w:type="pct"/>
            <w:shd w:val="clear" w:color="auto" w:fill="FFFFFF"/>
            <w:vAlign w:val="bottom"/>
            <w:hideMark/>
          </w:tcPr>
          <w:p w14:paraId="23AEAF71" w14:textId="77777777" w:rsidR="00000000" w:rsidRDefault="00527094">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14:paraId="7F8D405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E93B1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68CCF4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2F89C2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8C4BD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45E9F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82E974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E6E6F1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A969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49D56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68D436A"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745FEF4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6C6D3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A67D6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72652A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43EAAC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29D49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CE090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93C959A"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44402C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2C1B6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235F2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3076D1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EF0A4C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ED701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F0C82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33BCF7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894111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61831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EFD9D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2859D1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E8893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E4172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594B1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EA3CC2F" w14:textId="77777777" w:rsidR="00000000" w:rsidRDefault="00527094">
            <w:pPr>
              <w:jc w:val="right"/>
              <w:rPr>
                <w:rFonts w:eastAsia="Times New Roman"/>
                <w:sz w:val="16"/>
                <w:szCs w:val="16"/>
              </w:rPr>
            </w:pPr>
            <w:r>
              <w:rPr>
                <w:rFonts w:eastAsia="Times New Roman"/>
                <w:sz w:val="16"/>
                <w:szCs w:val="16"/>
              </w:rPr>
              <w:t>(474</w:t>
            </w:r>
          </w:p>
        </w:tc>
        <w:tc>
          <w:tcPr>
            <w:tcW w:w="50" w:type="pct"/>
            <w:shd w:val="clear" w:color="auto" w:fill="FFFFFF"/>
            <w:vAlign w:val="bottom"/>
            <w:hideMark/>
          </w:tcPr>
          <w:p w14:paraId="6CDD24CD"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7AD9C4E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62E80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06CD505" w14:textId="77777777" w:rsidR="00000000" w:rsidRDefault="00527094">
            <w:pPr>
              <w:jc w:val="right"/>
              <w:rPr>
                <w:rFonts w:eastAsia="Times New Roman"/>
                <w:sz w:val="16"/>
                <w:szCs w:val="16"/>
              </w:rPr>
            </w:pPr>
            <w:r>
              <w:rPr>
                <w:rFonts w:eastAsia="Times New Roman"/>
                <w:sz w:val="16"/>
                <w:szCs w:val="16"/>
              </w:rPr>
              <w:t>(474</w:t>
            </w:r>
          </w:p>
        </w:tc>
        <w:tc>
          <w:tcPr>
            <w:tcW w:w="50" w:type="pct"/>
            <w:shd w:val="clear" w:color="auto" w:fill="FFFFFF"/>
            <w:vAlign w:val="bottom"/>
            <w:hideMark/>
          </w:tcPr>
          <w:p w14:paraId="4A3517A7" w14:textId="77777777" w:rsidR="00000000" w:rsidRDefault="00527094">
            <w:pPr>
              <w:rPr>
                <w:rFonts w:eastAsia="Times New Roman"/>
                <w:sz w:val="16"/>
                <w:szCs w:val="16"/>
              </w:rPr>
            </w:pPr>
            <w:r>
              <w:rPr>
                <w:rFonts w:eastAsia="Times New Roman"/>
                <w:sz w:val="16"/>
                <w:szCs w:val="16"/>
              </w:rPr>
              <w:t>)</w:t>
            </w:r>
          </w:p>
        </w:tc>
      </w:tr>
      <w:tr w:rsidR="00527094" w14:paraId="28313271" w14:textId="77777777">
        <w:trPr>
          <w:divId w:val="248856616"/>
          <w:tblCellSpacing w:w="0" w:type="dxa"/>
        </w:trPr>
        <w:tc>
          <w:tcPr>
            <w:tcW w:w="750" w:type="pct"/>
            <w:shd w:val="clear" w:color="auto" w:fill="CCEEFF"/>
            <w:vAlign w:val="bottom"/>
            <w:hideMark/>
          </w:tcPr>
          <w:p w14:paraId="36457678" w14:textId="77777777" w:rsidR="00000000" w:rsidRDefault="00527094">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14:paraId="21DE9F5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941DA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142875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04E7E8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57DE5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FAD59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0E14EC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E9846B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DCCDB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CBCD8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4987FC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96B811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C4409E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3BAAE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117E8D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D4C24E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30462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0006C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C1179F5" w14:textId="77777777" w:rsidR="00000000" w:rsidRDefault="00527094">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14:paraId="6580682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29422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BDB36F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3D8A46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927FB3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DDCA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BE73F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5736EF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876032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64CDA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33817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2FAE30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DE5AA1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BA1A7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95AAA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CC1CD9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1FA22B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123A5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550B7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BA6021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AAA093D" w14:textId="77777777" w:rsidR="00000000" w:rsidRDefault="00527094">
            <w:pPr>
              <w:rPr>
                <w:rFonts w:eastAsia="Times New Roman"/>
                <w:sz w:val="16"/>
                <w:szCs w:val="16"/>
              </w:rPr>
            </w:pPr>
            <w:r>
              <w:rPr>
                <w:rFonts w:eastAsia="Times New Roman"/>
                <w:sz w:val="16"/>
                <w:szCs w:val="16"/>
              </w:rPr>
              <w:t> </w:t>
            </w:r>
          </w:p>
        </w:tc>
      </w:tr>
      <w:tr w:rsidR="00527094" w14:paraId="0CF301F7" w14:textId="77777777">
        <w:trPr>
          <w:divId w:val="248856616"/>
          <w:tblCellSpacing w:w="0" w:type="dxa"/>
        </w:trPr>
        <w:tc>
          <w:tcPr>
            <w:tcW w:w="750" w:type="pct"/>
            <w:shd w:val="clear" w:color="auto" w:fill="FFFFFF"/>
            <w:vAlign w:val="bottom"/>
            <w:hideMark/>
          </w:tcPr>
          <w:p w14:paraId="0268E542" w14:textId="77777777" w:rsidR="00000000" w:rsidRDefault="00527094">
            <w:pPr>
              <w:pStyle w:val="a3"/>
              <w:spacing w:before="0" w:beforeAutospacing="0" w:after="0" w:afterAutospacing="0"/>
              <w:rPr>
                <w:sz w:val="16"/>
                <w:szCs w:val="16"/>
              </w:rPr>
            </w:pPr>
            <w:r>
              <w:rPr>
                <w:sz w:val="16"/>
                <w:szCs w:val="16"/>
              </w:rPr>
              <w:t>Surrender of restricted common stock</w:t>
            </w:r>
          </w:p>
        </w:tc>
        <w:tc>
          <w:tcPr>
            <w:tcW w:w="50" w:type="pct"/>
            <w:shd w:val="clear" w:color="auto" w:fill="FFFFFF"/>
            <w:vAlign w:val="bottom"/>
            <w:hideMark/>
          </w:tcPr>
          <w:p w14:paraId="0D2FBE0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9A4DC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9A72C2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D55560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D2AC3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260AC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C79639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7EE814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E2707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0044E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25FAE4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BACBBC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AC4B5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D2E2E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D57AEC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7D7FF1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624BE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05E2D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EDCEFE2" w14:textId="77777777" w:rsidR="00000000" w:rsidRDefault="00527094">
            <w:pPr>
              <w:jc w:val="right"/>
              <w:rPr>
                <w:rFonts w:eastAsia="Times New Roman"/>
                <w:sz w:val="16"/>
                <w:szCs w:val="16"/>
              </w:rPr>
            </w:pPr>
            <w:r>
              <w:rPr>
                <w:rFonts w:eastAsia="Times New Roman"/>
                <w:sz w:val="16"/>
                <w:szCs w:val="16"/>
              </w:rPr>
              <w:t>(36</w:t>
            </w:r>
          </w:p>
        </w:tc>
        <w:tc>
          <w:tcPr>
            <w:tcW w:w="50" w:type="pct"/>
            <w:shd w:val="clear" w:color="auto" w:fill="FFFFFF"/>
            <w:vAlign w:val="bottom"/>
            <w:hideMark/>
          </w:tcPr>
          <w:p w14:paraId="6CEB8265"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21F65FF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CC699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3FA833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C87CC6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B8C6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AED82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DA7F0F2" w14:textId="77777777" w:rsidR="00000000" w:rsidRDefault="00527094">
            <w:pPr>
              <w:jc w:val="right"/>
              <w:rPr>
                <w:rFonts w:eastAsia="Times New Roman"/>
                <w:sz w:val="16"/>
                <w:szCs w:val="16"/>
              </w:rPr>
            </w:pPr>
            <w:r>
              <w:rPr>
                <w:rFonts w:eastAsia="Times New Roman"/>
                <w:sz w:val="16"/>
                <w:szCs w:val="16"/>
              </w:rPr>
              <w:t>(437</w:t>
            </w:r>
          </w:p>
        </w:tc>
        <w:tc>
          <w:tcPr>
            <w:tcW w:w="50" w:type="pct"/>
            <w:shd w:val="clear" w:color="auto" w:fill="FFFFFF"/>
            <w:vAlign w:val="bottom"/>
            <w:hideMark/>
          </w:tcPr>
          <w:p w14:paraId="4ED3290A"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15DA362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5C67F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70E0504" w14:textId="77777777" w:rsidR="00000000" w:rsidRDefault="00527094">
            <w:pPr>
              <w:jc w:val="right"/>
              <w:rPr>
                <w:rFonts w:eastAsia="Times New Roman"/>
                <w:sz w:val="16"/>
                <w:szCs w:val="16"/>
              </w:rPr>
            </w:pPr>
            <w:r>
              <w:rPr>
                <w:rFonts w:eastAsia="Times New Roman"/>
                <w:sz w:val="16"/>
                <w:szCs w:val="16"/>
              </w:rPr>
              <w:t>(437</w:t>
            </w:r>
          </w:p>
        </w:tc>
        <w:tc>
          <w:tcPr>
            <w:tcW w:w="50" w:type="pct"/>
            <w:shd w:val="clear" w:color="auto" w:fill="FFFFFF"/>
            <w:vAlign w:val="bottom"/>
            <w:hideMark/>
          </w:tcPr>
          <w:p w14:paraId="7FE3359A"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4A8C5C4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BC785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A61811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9A12C6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30A92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D7340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AF40D72" w14:textId="77777777" w:rsidR="00000000" w:rsidRDefault="00527094">
            <w:pPr>
              <w:jc w:val="right"/>
              <w:rPr>
                <w:rFonts w:eastAsia="Times New Roman"/>
                <w:sz w:val="16"/>
                <w:szCs w:val="16"/>
              </w:rPr>
            </w:pPr>
            <w:r>
              <w:rPr>
                <w:rFonts w:eastAsia="Times New Roman"/>
                <w:sz w:val="16"/>
                <w:szCs w:val="16"/>
              </w:rPr>
              <w:t>(</w:t>
            </w:r>
            <w:r>
              <w:rPr>
                <w:rFonts w:eastAsia="Times New Roman"/>
                <w:sz w:val="16"/>
                <w:szCs w:val="16"/>
              </w:rPr>
              <w:t>437</w:t>
            </w:r>
          </w:p>
        </w:tc>
        <w:tc>
          <w:tcPr>
            <w:tcW w:w="50" w:type="pct"/>
            <w:shd w:val="clear" w:color="auto" w:fill="FFFFFF"/>
            <w:vAlign w:val="bottom"/>
            <w:hideMark/>
          </w:tcPr>
          <w:p w14:paraId="3FB48F87" w14:textId="77777777" w:rsidR="00000000" w:rsidRDefault="00527094">
            <w:pPr>
              <w:rPr>
                <w:rFonts w:eastAsia="Times New Roman"/>
                <w:sz w:val="16"/>
                <w:szCs w:val="16"/>
              </w:rPr>
            </w:pPr>
            <w:r>
              <w:rPr>
                <w:rFonts w:eastAsia="Times New Roman"/>
                <w:sz w:val="16"/>
                <w:szCs w:val="16"/>
              </w:rPr>
              <w:t>)</w:t>
            </w:r>
          </w:p>
        </w:tc>
      </w:tr>
      <w:tr w:rsidR="00527094" w14:paraId="379E982F" w14:textId="77777777">
        <w:trPr>
          <w:divId w:val="248856616"/>
          <w:tblCellSpacing w:w="0" w:type="dxa"/>
        </w:trPr>
        <w:tc>
          <w:tcPr>
            <w:tcW w:w="750" w:type="pct"/>
            <w:shd w:val="clear" w:color="auto" w:fill="CCEEFF"/>
            <w:vAlign w:val="bottom"/>
            <w:hideMark/>
          </w:tcPr>
          <w:p w14:paraId="619F24FD" w14:textId="77777777" w:rsidR="00000000" w:rsidRDefault="00527094">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14:paraId="315AE9F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CE330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C87360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A3193A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F9211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78340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8707F8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ED9447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24950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76C4F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56E851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BF4409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5DC0B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B7BFC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344A96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22CCA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11D10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8DA3FB"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0D8C03B" w14:textId="77777777" w:rsidR="00000000" w:rsidRDefault="00527094">
            <w:pPr>
              <w:jc w:val="right"/>
              <w:rPr>
                <w:rFonts w:eastAsia="Times New Roman"/>
                <w:sz w:val="16"/>
                <w:szCs w:val="16"/>
              </w:rPr>
            </w:pPr>
            <w:r>
              <w:rPr>
                <w:rFonts w:eastAsia="Times New Roman"/>
                <w:sz w:val="16"/>
                <w:szCs w:val="16"/>
              </w:rPr>
              <w:t>90</w:t>
            </w:r>
          </w:p>
        </w:tc>
        <w:tc>
          <w:tcPr>
            <w:tcW w:w="50" w:type="pct"/>
            <w:shd w:val="clear" w:color="auto" w:fill="CCEEFF"/>
            <w:vAlign w:val="bottom"/>
            <w:hideMark/>
          </w:tcPr>
          <w:p w14:paraId="56536E6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C0210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BF72F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DAB3A43" w14:textId="77777777" w:rsidR="00000000" w:rsidRDefault="00527094">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14:paraId="0CE6FAD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314C5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4B723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3696711" w14:textId="77777777" w:rsidR="00000000" w:rsidRDefault="00527094">
            <w:pPr>
              <w:jc w:val="right"/>
              <w:rPr>
                <w:rFonts w:eastAsia="Times New Roman"/>
                <w:sz w:val="16"/>
                <w:szCs w:val="16"/>
              </w:rPr>
            </w:pPr>
            <w:r>
              <w:rPr>
                <w:rFonts w:eastAsia="Times New Roman"/>
                <w:sz w:val="16"/>
                <w:szCs w:val="16"/>
              </w:rPr>
              <w:t>1,129</w:t>
            </w:r>
          </w:p>
        </w:tc>
        <w:tc>
          <w:tcPr>
            <w:tcW w:w="50" w:type="pct"/>
            <w:shd w:val="clear" w:color="auto" w:fill="CCEEFF"/>
            <w:vAlign w:val="bottom"/>
            <w:hideMark/>
          </w:tcPr>
          <w:p w14:paraId="5DA3F5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FFD9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52FC5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1A6727C" w14:textId="77777777" w:rsidR="00000000" w:rsidRDefault="00527094">
            <w:pPr>
              <w:jc w:val="right"/>
              <w:rPr>
                <w:rFonts w:eastAsia="Times New Roman"/>
                <w:sz w:val="16"/>
                <w:szCs w:val="16"/>
              </w:rPr>
            </w:pPr>
            <w:r>
              <w:rPr>
                <w:rFonts w:eastAsia="Times New Roman"/>
                <w:sz w:val="16"/>
                <w:szCs w:val="16"/>
              </w:rPr>
              <w:t>1,130</w:t>
            </w:r>
          </w:p>
        </w:tc>
        <w:tc>
          <w:tcPr>
            <w:tcW w:w="50" w:type="pct"/>
            <w:shd w:val="clear" w:color="auto" w:fill="CCEEFF"/>
            <w:vAlign w:val="bottom"/>
            <w:hideMark/>
          </w:tcPr>
          <w:p w14:paraId="7982EEC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0EA86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5E3653"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9570AF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B4D308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4C643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AE824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DC7C863" w14:textId="77777777" w:rsidR="00000000" w:rsidRDefault="00527094">
            <w:pPr>
              <w:jc w:val="right"/>
              <w:rPr>
                <w:rFonts w:eastAsia="Times New Roman"/>
                <w:sz w:val="16"/>
                <w:szCs w:val="16"/>
              </w:rPr>
            </w:pPr>
            <w:r>
              <w:rPr>
                <w:rFonts w:eastAsia="Times New Roman"/>
                <w:sz w:val="16"/>
                <w:szCs w:val="16"/>
              </w:rPr>
              <w:t>1,130</w:t>
            </w:r>
          </w:p>
        </w:tc>
        <w:tc>
          <w:tcPr>
            <w:tcW w:w="50" w:type="pct"/>
            <w:shd w:val="clear" w:color="auto" w:fill="CCEEFF"/>
            <w:vAlign w:val="bottom"/>
            <w:hideMark/>
          </w:tcPr>
          <w:p w14:paraId="645F5076" w14:textId="77777777" w:rsidR="00000000" w:rsidRDefault="00527094">
            <w:pPr>
              <w:rPr>
                <w:rFonts w:eastAsia="Times New Roman"/>
                <w:sz w:val="16"/>
                <w:szCs w:val="16"/>
              </w:rPr>
            </w:pPr>
            <w:r>
              <w:rPr>
                <w:rFonts w:eastAsia="Times New Roman"/>
                <w:sz w:val="16"/>
                <w:szCs w:val="16"/>
              </w:rPr>
              <w:t> </w:t>
            </w:r>
          </w:p>
        </w:tc>
      </w:tr>
      <w:tr w:rsidR="00527094" w14:paraId="27EC3F09" w14:textId="77777777">
        <w:trPr>
          <w:divId w:val="248856616"/>
          <w:tblCellSpacing w:w="0" w:type="dxa"/>
        </w:trPr>
        <w:tc>
          <w:tcPr>
            <w:tcW w:w="750" w:type="pct"/>
            <w:shd w:val="clear" w:color="auto" w:fill="FFFFFF"/>
            <w:vAlign w:val="bottom"/>
            <w:hideMark/>
          </w:tcPr>
          <w:p w14:paraId="5A410A54" w14:textId="77777777" w:rsidR="00000000" w:rsidRDefault="00527094">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14:paraId="0C362EC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AC6DB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2F9E9E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88E6C3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DAC0D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24D4C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1043DA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ABEC5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B44D0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FC0B4B"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E49F87D"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6CEAEB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12BF5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4319F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D46E1E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355535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6A936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A4F69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D94BD1F"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5E2825E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43E2D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633C7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2133E3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7471C3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1298F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820E0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A61BA8E" w14:textId="77777777" w:rsidR="00000000" w:rsidRDefault="00527094">
            <w:pPr>
              <w:jc w:val="right"/>
              <w:rPr>
                <w:rFonts w:eastAsia="Times New Roman"/>
                <w:sz w:val="16"/>
                <w:szCs w:val="16"/>
              </w:rPr>
            </w:pPr>
            <w:r>
              <w:rPr>
                <w:rFonts w:eastAsia="Times New Roman"/>
                <w:sz w:val="16"/>
                <w:szCs w:val="16"/>
              </w:rPr>
              <w:t>4,536</w:t>
            </w:r>
          </w:p>
        </w:tc>
        <w:tc>
          <w:tcPr>
            <w:tcW w:w="50" w:type="pct"/>
            <w:shd w:val="clear" w:color="auto" w:fill="FFFFFF"/>
            <w:vAlign w:val="bottom"/>
            <w:hideMark/>
          </w:tcPr>
          <w:p w14:paraId="623E850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82DE5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97DC23"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2E4F737" w14:textId="77777777" w:rsidR="00000000" w:rsidRDefault="00527094">
            <w:pPr>
              <w:jc w:val="right"/>
              <w:rPr>
                <w:rFonts w:eastAsia="Times New Roman"/>
                <w:sz w:val="16"/>
                <w:szCs w:val="16"/>
              </w:rPr>
            </w:pPr>
            <w:r>
              <w:rPr>
                <w:rFonts w:eastAsia="Times New Roman"/>
                <w:sz w:val="16"/>
                <w:szCs w:val="16"/>
              </w:rPr>
              <w:t>4,536</w:t>
            </w:r>
          </w:p>
        </w:tc>
        <w:tc>
          <w:tcPr>
            <w:tcW w:w="50" w:type="pct"/>
            <w:shd w:val="clear" w:color="auto" w:fill="FFFFFF"/>
            <w:vAlign w:val="bottom"/>
            <w:hideMark/>
          </w:tcPr>
          <w:p w14:paraId="64ECE44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FE55D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2F7E4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F0C691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A28AED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C9128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D982E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C7F2C3B" w14:textId="77777777" w:rsidR="00000000" w:rsidRDefault="00527094">
            <w:pPr>
              <w:jc w:val="right"/>
              <w:rPr>
                <w:rFonts w:eastAsia="Times New Roman"/>
                <w:sz w:val="16"/>
                <w:szCs w:val="16"/>
              </w:rPr>
            </w:pPr>
            <w:r>
              <w:rPr>
                <w:rFonts w:eastAsia="Times New Roman"/>
                <w:sz w:val="16"/>
                <w:szCs w:val="16"/>
              </w:rPr>
              <w:t>4,536</w:t>
            </w:r>
          </w:p>
        </w:tc>
        <w:tc>
          <w:tcPr>
            <w:tcW w:w="50" w:type="pct"/>
            <w:shd w:val="clear" w:color="auto" w:fill="FFFFFF"/>
            <w:vAlign w:val="bottom"/>
            <w:hideMark/>
          </w:tcPr>
          <w:p w14:paraId="35D0D79C" w14:textId="77777777" w:rsidR="00000000" w:rsidRDefault="00527094">
            <w:pPr>
              <w:rPr>
                <w:rFonts w:eastAsia="Times New Roman"/>
                <w:sz w:val="16"/>
                <w:szCs w:val="16"/>
              </w:rPr>
            </w:pPr>
            <w:r>
              <w:rPr>
                <w:rFonts w:eastAsia="Times New Roman"/>
                <w:sz w:val="16"/>
                <w:szCs w:val="16"/>
              </w:rPr>
              <w:t> </w:t>
            </w:r>
          </w:p>
        </w:tc>
      </w:tr>
      <w:tr w:rsidR="00527094" w14:paraId="5157842F" w14:textId="77777777">
        <w:trPr>
          <w:divId w:val="248856616"/>
          <w:tblCellSpacing w:w="0" w:type="dxa"/>
        </w:trPr>
        <w:tc>
          <w:tcPr>
            <w:tcW w:w="750" w:type="pct"/>
            <w:shd w:val="clear" w:color="auto" w:fill="CCEEFF"/>
            <w:vAlign w:val="bottom"/>
            <w:hideMark/>
          </w:tcPr>
          <w:p w14:paraId="2D3AFB10" w14:textId="77777777" w:rsidR="00000000" w:rsidRDefault="00527094">
            <w:pPr>
              <w:pStyle w:val="a3"/>
              <w:spacing w:before="0" w:beforeAutospacing="0" w:after="0" w:afterAutospacing="0"/>
              <w:rPr>
                <w:sz w:val="16"/>
                <w:szCs w:val="16"/>
              </w:rPr>
            </w:pPr>
            <w:r>
              <w:rPr>
                <w:sz w:val="16"/>
                <w:szCs w:val="16"/>
              </w:rPr>
              <w:t>Acquisition of noncontrolling interests</w:t>
            </w:r>
          </w:p>
        </w:tc>
        <w:tc>
          <w:tcPr>
            <w:tcW w:w="50" w:type="pct"/>
            <w:shd w:val="clear" w:color="auto" w:fill="CCEEFF"/>
            <w:tcMar>
              <w:top w:w="0" w:type="dxa"/>
              <w:left w:w="0" w:type="dxa"/>
              <w:bottom w:w="15" w:type="dxa"/>
              <w:right w:w="0" w:type="dxa"/>
            </w:tcMar>
            <w:vAlign w:val="bottom"/>
            <w:hideMark/>
          </w:tcPr>
          <w:p w14:paraId="4ABE5088"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2244255"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441170F3"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C26EB5A"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C1FBAB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84A7184"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3AF1C4E6"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81B6D44"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F3BAF01"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FB5A962"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672FDD5B"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324BD436"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218E187"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F90BD94"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5EC59FD2"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E9118F3"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F76FE10"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2FD9936"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5EB6796"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52F1BD7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EFE14C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4703059"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EFB8B31"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0317ADDF"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E75FA0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F0603B0"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34C84E4E" w14:textId="77777777" w:rsidR="00000000" w:rsidRDefault="0052709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CCEEFF"/>
            <w:vAlign w:val="bottom"/>
            <w:hideMark/>
          </w:tcPr>
          <w:p w14:paraId="0370D83D"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B243DBB"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860F0CB"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1A028EFD" w14:textId="77777777" w:rsidR="00000000" w:rsidRDefault="0052709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CCEEFF"/>
            <w:vAlign w:val="bottom"/>
            <w:hideMark/>
          </w:tcPr>
          <w:p w14:paraId="6F34415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2BAD69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4C6EC45"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2E62DA40" w14:textId="77777777" w:rsidR="00000000" w:rsidRDefault="00527094">
            <w:pPr>
              <w:jc w:val="right"/>
              <w:rPr>
                <w:rFonts w:eastAsia="Times New Roman"/>
                <w:sz w:val="16"/>
                <w:szCs w:val="16"/>
              </w:rPr>
            </w:pPr>
            <w:r>
              <w:rPr>
                <w:rFonts w:eastAsia="Times New Roman"/>
                <w:sz w:val="16"/>
                <w:szCs w:val="16"/>
              </w:rPr>
              <w:t>(3,215</w:t>
            </w:r>
          </w:p>
        </w:tc>
        <w:tc>
          <w:tcPr>
            <w:tcW w:w="50" w:type="pct"/>
            <w:tcBorders>
              <w:bottom w:val="single" w:sz="6" w:space="0" w:color="000000"/>
            </w:tcBorders>
            <w:shd w:val="clear" w:color="auto" w:fill="CCEEFF"/>
            <w:vAlign w:val="bottom"/>
            <w:hideMark/>
          </w:tcPr>
          <w:p w14:paraId="215B9228" w14:textId="77777777" w:rsidR="00000000" w:rsidRDefault="0052709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102D841"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52F19A4"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AF7953A" w14:textId="77777777" w:rsidR="00000000" w:rsidRDefault="00527094">
            <w:pPr>
              <w:jc w:val="right"/>
              <w:rPr>
                <w:rFonts w:eastAsia="Times New Roman"/>
                <w:sz w:val="16"/>
                <w:szCs w:val="16"/>
              </w:rPr>
            </w:pPr>
            <w:r>
              <w:rPr>
                <w:rFonts w:eastAsia="Times New Roman"/>
                <w:sz w:val="16"/>
                <w:szCs w:val="16"/>
              </w:rPr>
              <w:t>(2,726</w:t>
            </w:r>
          </w:p>
        </w:tc>
        <w:tc>
          <w:tcPr>
            <w:tcW w:w="50" w:type="pct"/>
            <w:shd w:val="clear" w:color="auto" w:fill="CCEEFF"/>
            <w:tcMar>
              <w:top w:w="0" w:type="dxa"/>
              <w:left w:w="0" w:type="dxa"/>
              <w:bottom w:w="15" w:type="dxa"/>
              <w:right w:w="0" w:type="dxa"/>
            </w:tcMar>
            <w:vAlign w:val="bottom"/>
            <w:hideMark/>
          </w:tcPr>
          <w:p w14:paraId="7724943B" w14:textId="77777777" w:rsidR="00000000" w:rsidRDefault="00527094">
            <w:pPr>
              <w:rPr>
                <w:rFonts w:eastAsia="Times New Roman"/>
                <w:sz w:val="16"/>
                <w:szCs w:val="16"/>
              </w:rPr>
            </w:pPr>
            <w:r>
              <w:rPr>
                <w:rFonts w:eastAsia="Times New Roman"/>
                <w:sz w:val="16"/>
                <w:szCs w:val="16"/>
              </w:rPr>
              <w:t>)</w:t>
            </w:r>
          </w:p>
        </w:tc>
      </w:tr>
      <w:tr w:rsidR="00527094" w14:paraId="5EA6A3F2" w14:textId="77777777">
        <w:trPr>
          <w:divId w:val="248856616"/>
          <w:tblCellSpacing w:w="0" w:type="dxa"/>
        </w:trPr>
        <w:tc>
          <w:tcPr>
            <w:tcW w:w="750" w:type="pct"/>
            <w:shd w:val="clear" w:color="auto" w:fill="FFFFFF"/>
            <w:vAlign w:val="bottom"/>
            <w:hideMark/>
          </w:tcPr>
          <w:p w14:paraId="2576D684" w14:textId="77777777" w:rsidR="00000000" w:rsidRDefault="00527094">
            <w:pPr>
              <w:pStyle w:val="a3"/>
              <w:spacing w:before="0" w:beforeAutospacing="0" w:after="0" w:afterAutospacing="0"/>
              <w:rPr>
                <w:sz w:val="16"/>
                <w:szCs w:val="16"/>
              </w:rPr>
            </w:pPr>
            <w:r>
              <w:rPr>
                <w:sz w:val="16"/>
                <w:szCs w:val="16"/>
              </w:rPr>
              <w:t>Balance at June 30, 2019</w:t>
            </w:r>
          </w:p>
        </w:tc>
        <w:tc>
          <w:tcPr>
            <w:tcW w:w="50" w:type="pct"/>
            <w:shd w:val="clear" w:color="auto" w:fill="FFFFFF"/>
            <w:vAlign w:val="bottom"/>
            <w:hideMark/>
          </w:tcPr>
          <w:p w14:paraId="5B105ED1"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E12621A"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424A41AF" w14:textId="77777777" w:rsidR="00000000" w:rsidRDefault="00527094">
            <w:pPr>
              <w:jc w:val="right"/>
              <w:rPr>
                <w:rFonts w:eastAsia="Times New Roman"/>
                <w:sz w:val="16"/>
                <w:szCs w:val="16"/>
              </w:rPr>
            </w:pPr>
            <w:r>
              <w:rPr>
                <w:rFonts w:eastAsia="Times New Roman"/>
                <w:sz w:val="16"/>
                <w:szCs w:val="16"/>
              </w:rPr>
              <w:t>(835,934</w:t>
            </w:r>
          </w:p>
        </w:tc>
        <w:tc>
          <w:tcPr>
            <w:tcW w:w="50" w:type="pct"/>
            <w:tcBorders>
              <w:bottom w:val="double" w:sz="6" w:space="0" w:color="000000"/>
            </w:tcBorders>
            <w:shd w:val="clear" w:color="auto" w:fill="FFFFFF"/>
            <w:vAlign w:val="bottom"/>
            <w:hideMark/>
          </w:tcPr>
          <w:p w14:paraId="35C69FEE" w14:textId="77777777" w:rsidR="00000000" w:rsidRDefault="0052709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1FF240A2"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BA65228"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26AA9110"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788BE60E"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A059FB9"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4CD40C4"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413A80C3"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7C6A7F58"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CA45040"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6A775B3"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415B34AF"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6301038D"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8F21A3B"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AE51363"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0125A186" w14:textId="77777777" w:rsidR="00000000" w:rsidRDefault="00527094">
            <w:pPr>
              <w:jc w:val="right"/>
              <w:rPr>
                <w:rFonts w:eastAsia="Times New Roman"/>
                <w:sz w:val="16"/>
                <w:szCs w:val="16"/>
              </w:rPr>
            </w:pPr>
            <w:r>
              <w:rPr>
                <w:rFonts w:eastAsia="Times New Roman"/>
                <w:sz w:val="16"/>
                <w:szCs w:val="16"/>
              </w:rPr>
              <w:t>422,094</w:t>
            </w:r>
          </w:p>
        </w:tc>
        <w:tc>
          <w:tcPr>
            <w:tcW w:w="50" w:type="pct"/>
            <w:tcBorders>
              <w:bottom w:val="double" w:sz="6" w:space="0" w:color="000000"/>
            </w:tcBorders>
            <w:shd w:val="clear" w:color="auto" w:fill="FFFFFF"/>
            <w:vAlign w:val="bottom"/>
            <w:hideMark/>
          </w:tcPr>
          <w:p w14:paraId="1BB23C04"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FB530FC"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524F620"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7602D8CA" w14:textId="77777777" w:rsidR="00000000" w:rsidRDefault="00527094">
            <w:pPr>
              <w:jc w:val="right"/>
              <w:rPr>
                <w:rFonts w:eastAsia="Times New Roman"/>
                <w:sz w:val="16"/>
                <w:szCs w:val="16"/>
              </w:rPr>
            </w:pPr>
            <w:r>
              <w:rPr>
                <w:rFonts w:eastAsia="Times New Roman"/>
                <w:sz w:val="16"/>
                <w:szCs w:val="16"/>
              </w:rPr>
              <w:t>4,221</w:t>
            </w:r>
          </w:p>
        </w:tc>
        <w:tc>
          <w:tcPr>
            <w:tcW w:w="50" w:type="pct"/>
            <w:tcBorders>
              <w:bottom w:val="double" w:sz="6" w:space="0" w:color="000000"/>
            </w:tcBorders>
            <w:shd w:val="clear" w:color="auto" w:fill="FFFFFF"/>
            <w:vAlign w:val="bottom"/>
            <w:hideMark/>
          </w:tcPr>
          <w:p w14:paraId="6643B78D"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EE58FB0"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7C62941"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6829860A" w14:textId="77777777" w:rsidR="00000000" w:rsidRDefault="00527094">
            <w:pPr>
              <w:jc w:val="right"/>
              <w:rPr>
                <w:rFonts w:eastAsia="Times New Roman"/>
                <w:sz w:val="16"/>
                <w:szCs w:val="16"/>
              </w:rPr>
            </w:pPr>
            <w:r>
              <w:rPr>
                <w:rFonts w:eastAsia="Times New Roman"/>
                <w:sz w:val="16"/>
                <w:szCs w:val="16"/>
              </w:rPr>
              <w:t>6,125,572</w:t>
            </w:r>
          </w:p>
        </w:tc>
        <w:tc>
          <w:tcPr>
            <w:tcW w:w="50" w:type="pct"/>
            <w:tcBorders>
              <w:bottom w:val="double" w:sz="6" w:space="0" w:color="000000"/>
            </w:tcBorders>
            <w:shd w:val="clear" w:color="auto" w:fill="FFFFFF"/>
            <w:vAlign w:val="bottom"/>
            <w:hideMark/>
          </w:tcPr>
          <w:p w14:paraId="1C082F43"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109D9F6"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1FB63D1"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543144A2" w14:textId="77777777" w:rsidR="00000000" w:rsidRDefault="00527094">
            <w:pPr>
              <w:jc w:val="right"/>
              <w:rPr>
                <w:rFonts w:eastAsia="Times New Roman"/>
                <w:sz w:val="16"/>
                <w:szCs w:val="16"/>
              </w:rPr>
            </w:pPr>
            <w:r>
              <w:rPr>
                <w:rFonts w:eastAsia="Times New Roman"/>
                <w:sz w:val="16"/>
                <w:szCs w:val="16"/>
              </w:rPr>
              <w:t>5,293,902</w:t>
            </w:r>
          </w:p>
        </w:tc>
        <w:tc>
          <w:tcPr>
            <w:tcW w:w="50" w:type="pct"/>
            <w:tcBorders>
              <w:bottom w:val="double" w:sz="6" w:space="0" w:color="000000"/>
            </w:tcBorders>
            <w:shd w:val="clear" w:color="auto" w:fill="FFFFFF"/>
            <w:vAlign w:val="bottom"/>
            <w:hideMark/>
          </w:tcPr>
          <w:p w14:paraId="0122DC0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1600F4D"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D37C222"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6F1F6A6D" w14:textId="77777777" w:rsidR="00000000" w:rsidRDefault="00527094">
            <w:pPr>
              <w:jc w:val="right"/>
              <w:rPr>
                <w:rFonts w:eastAsia="Times New Roman"/>
                <w:sz w:val="16"/>
                <w:szCs w:val="16"/>
              </w:rPr>
            </w:pPr>
            <w:r>
              <w:rPr>
                <w:rFonts w:eastAsia="Times New Roman"/>
                <w:sz w:val="16"/>
                <w:szCs w:val="16"/>
              </w:rPr>
              <w:t>73,559</w:t>
            </w:r>
          </w:p>
        </w:tc>
        <w:tc>
          <w:tcPr>
            <w:tcW w:w="50" w:type="pct"/>
            <w:tcBorders>
              <w:bottom w:val="double" w:sz="6" w:space="0" w:color="000000"/>
            </w:tcBorders>
            <w:shd w:val="clear" w:color="auto" w:fill="FFFFFF"/>
            <w:vAlign w:val="bottom"/>
            <w:hideMark/>
          </w:tcPr>
          <w:p w14:paraId="2342D87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67783FB"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20F0ED9"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56B96C6E" w14:textId="77777777" w:rsidR="00000000" w:rsidRDefault="00527094">
            <w:pPr>
              <w:jc w:val="right"/>
              <w:rPr>
                <w:rFonts w:eastAsia="Times New Roman"/>
                <w:sz w:val="16"/>
                <w:szCs w:val="16"/>
              </w:rPr>
            </w:pPr>
            <w:r>
              <w:rPr>
                <w:rFonts w:eastAsia="Times New Roman"/>
                <w:sz w:val="16"/>
                <w:szCs w:val="16"/>
              </w:rPr>
              <w:t>5,367,461</w:t>
            </w:r>
          </w:p>
        </w:tc>
        <w:tc>
          <w:tcPr>
            <w:tcW w:w="50" w:type="pct"/>
            <w:shd w:val="clear" w:color="auto" w:fill="FFFFFF"/>
            <w:tcMar>
              <w:top w:w="0" w:type="dxa"/>
              <w:left w:w="0" w:type="dxa"/>
              <w:bottom w:w="45" w:type="dxa"/>
              <w:right w:w="0" w:type="dxa"/>
            </w:tcMar>
            <w:vAlign w:val="bottom"/>
            <w:hideMark/>
          </w:tcPr>
          <w:p w14:paraId="22818A62" w14:textId="77777777" w:rsidR="00000000" w:rsidRDefault="00527094">
            <w:pPr>
              <w:rPr>
                <w:rFonts w:eastAsia="Times New Roman"/>
                <w:sz w:val="16"/>
                <w:szCs w:val="16"/>
              </w:rPr>
            </w:pPr>
            <w:r>
              <w:rPr>
                <w:rFonts w:eastAsia="Times New Roman"/>
                <w:sz w:val="16"/>
                <w:szCs w:val="16"/>
              </w:rPr>
              <w:t> </w:t>
            </w:r>
          </w:p>
        </w:tc>
      </w:tr>
    </w:tbl>
    <w:p w14:paraId="39EC6CA8" w14:textId="77777777" w:rsidR="00000000" w:rsidRDefault="00527094">
      <w:pPr>
        <w:pStyle w:val="a3"/>
        <w:spacing w:before="0" w:beforeAutospacing="0" w:after="0" w:afterAutospacing="0"/>
        <w:rPr>
          <w:sz w:val="20"/>
          <w:szCs w:val="20"/>
        </w:rPr>
      </w:pPr>
      <w:r>
        <w:rPr>
          <w:sz w:val="20"/>
          <w:szCs w:val="20"/>
        </w:rPr>
        <w:t> </w:t>
      </w:r>
    </w:p>
    <w:p w14:paraId="3E113888" w14:textId="77777777" w:rsidR="00000000" w:rsidRDefault="00527094">
      <w:pPr>
        <w:pStyle w:val="a3"/>
        <w:spacing w:before="0" w:beforeAutospacing="0" w:after="0" w:afterAutospacing="0"/>
        <w:jc w:val="center"/>
        <w:rPr>
          <w:sz w:val="20"/>
          <w:szCs w:val="20"/>
        </w:rPr>
      </w:pPr>
      <w:r>
        <w:rPr>
          <w:sz w:val="20"/>
          <w:szCs w:val="20"/>
        </w:rPr>
        <w:t> </w:t>
      </w:r>
    </w:p>
    <w:p w14:paraId="35B28888" w14:textId="77777777" w:rsidR="00000000" w:rsidRDefault="0052709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1D2C9C0E" w14:textId="77777777" w:rsidR="00000000" w:rsidRDefault="00527094">
      <w:pPr>
        <w:pStyle w:val="a3"/>
        <w:spacing w:before="0" w:beforeAutospacing="0" w:after="0" w:afterAutospacing="0"/>
        <w:jc w:val="center"/>
        <w:rPr>
          <w:sz w:val="20"/>
          <w:szCs w:val="20"/>
        </w:rPr>
      </w:pPr>
      <w:r>
        <w:rPr>
          <w:sz w:val="20"/>
          <w:szCs w:val="20"/>
        </w:rPr>
        <w:t> </w:t>
      </w:r>
    </w:p>
    <w:p w14:paraId="536B85F9" w14:textId="77777777" w:rsidR="00000000" w:rsidRDefault="00527094">
      <w:pPr>
        <w:jc w:val="center"/>
        <w:divId w:val="1268537590"/>
        <w:rPr>
          <w:rFonts w:eastAsia="Times New Roman"/>
          <w:sz w:val="20"/>
          <w:szCs w:val="20"/>
        </w:rPr>
      </w:pPr>
      <w:r>
        <w:rPr>
          <w:rFonts w:eastAsia="Times New Roman"/>
          <w:sz w:val="20"/>
          <w:szCs w:val="20"/>
        </w:rPr>
        <w:t xml:space="preserve">6 </w:t>
      </w:r>
    </w:p>
    <w:p w14:paraId="5EFF86D5" w14:textId="77777777" w:rsidR="00000000" w:rsidRDefault="00527094">
      <w:pPr>
        <w:divId w:val="1268537590"/>
        <w:rPr>
          <w:rFonts w:eastAsia="Times New Roman"/>
          <w:sz w:val="20"/>
          <w:szCs w:val="20"/>
        </w:rPr>
      </w:pPr>
      <w:r>
        <w:rPr>
          <w:rFonts w:eastAsia="Times New Roman"/>
          <w:sz w:val="20"/>
          <w:szCs w:val="20"/>
        </w:rPr>
        <w:pict w14:anchorId="64D0D8A9">
          <v:rect id="_x0000_i1034" style="width:0;height:1.5pt" o:hralign="center" o:hrstd="t" o:hr="t" fillcolor="#a0a0a0" stroked="f"/>
        </w:pict>
      </w:r>
    </w:p>
    <w:p w14:paraId="0BE4905E" w14:textId="77777777" w:rsidR="00000000" w:rsidRDefault="00527094">
      <w:pPr>
        <w:divId w:val="12685375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A832AB5" w14:textId="77777777" w:rsidR="00000000" w:rsidRDefault="00527094">
      <w:pPr>
        <w:pStyle w:val="a3"/>
        <w:spacing w:before="0" w:beforeAutospacing="0" w:after="0" w:afterAutospacing="0"/>
        <w:rPr>
          <w:sz w:val="20"/>
          <w:szCs w:val="20"/>
        </w:rPr>
      </w:pPr>
      <w:r>
        <w:rPr>
          <w:sz w:val="20"/>
          <w:szCs w:val="20"/>
        </w:rPr>
        <w:t> </w:t>
      </w:r>
    </w:p>
    <w:p w14:paraId="750A434F" w14:textId="77777777" w:rsidR="00000000" w:rsidRDefault="00527094">
      <w:pPr>
        <w:pStyle w:val="a3"/>
        <w:spacing w:before="0" w:beforeAutospacing="0" w:after="0" w:afterAutospacing="0"/>
        <w:jc w:val="center"/>
        <w:rPr>
          <w:sz w:val="20"/>
          <w:szCs w:val="20"/>
        </w:rPr>
      </w:pPr>
      <w:r>
        <w:rPr>
          <w:sz w:val="20"/>
          <w:szCs w:val="20"/>
        </w:rPr>
        <w:t>KIMCO REALTY CORPORATION AND SUBSIDIARIES</w:t>
      </w:r>
    </w:p>
    <w:p w14:paraId="25C51A92" w14:textId="77777777" w:rsidR="00000000" w:rsidRDefault="00527094">
      <w:pPr>
        <w:pStyle w:val="a3"/>
        <w:spacing w:before="0" w:beforeAutospacing="0" w:after="0" w:afterAutospacing="0"/>
        <w:jc w:val="center"/>
        <w:rPr>
          <w:sz w:val="20"/>
          <w:szCs w:val="20"/>
        </w:rPr>
      </w:pPr>
      <w:r>
        <w:rPr>
          <w:sz w:val="20"/>
          <w:szCs w:val="20"/>
        </w:rPr>
        <w:t>CONDENSED CONSOLIDATED STATEMENTS OF CHANGES IN EQUITY</w:t>
      </w:r>
    </w:p>
    <w:p w14:paraId="15992A09" w14:textId="77777777" w:rsidR="00000000" w:rsidRDefault="00527094">
      <w:pPr>
        <w:pStyle w:val="a3"/>
        <w:spacing w:before="0" w:beforeAutospacing="0" w:after="0" w:afterAutospacing="0"/>
        <w:jc w:val="center"/>
        <w:rPr>
          <w:sz w:val="20"/>
          <w:szCs w:val="20"/>
        </w:rPr>
      </w:pPr>
      <w:r>
        <w:rPr>
          <w:sz w:val="20"/>
          <w:szCs w:val="20"/>
        </w:rPr>
        <w:t>For the Six Months Ended June 30, 2019 and 2018</w:t>
      </w:r>
    </w:p>
    <w:p w14:paraId="2FEE4A53" w14:textId="77777777" w:rsidR="00000000" w:rsidRDefault="00527094">
      <w:pPr>
        <w:pStyle w:val="a3"/>
        <w:spacing w:before="0" w:beforeAutospacing="0" w:after="0" w:afterAutospacing="0"/>
        <w:jc w:val="center"/>
        <w:rPr>
          <w:sz w:val="20"/>
          <w:szCs w:val="20"/>
        </w:rPr>
      </w:pPr>
      <w:r>
        <w:rPr>
          <w:sz w:val="20"/>
          <w:szCs w:val="20"/>
        </w:rPr>
        <w:t>(Unaudited)</w:t>
      </w:r>
    </w:p>
    <w:p w14:paraId="63A62EB0" w14:textId="77777777" w:rsidR="00000000" w:rsidRDefault="00527094">
      <w:pPr>
        <w:pStyle w:val="a3"/>
        <w:spacing w:before="0" w:beforeAutospacing="0" w:after="0" w:afterAutospacing="0"/>
        <w:jc w:val="center"/>
        <w:rPr>
          <w:sz w:val="20"/>
          <w:szCs w:val="20"/>
        </w:rPr>
      </w:pPr>
      <w:r>
        <w:rPr>
          <w:sz w:val="20"/>
          <w:szCs w:val="20"/>
        </w:rPr>
        <w:t>(in thousands)</w:t>
      </w:r>
    </w:p>
    <w:p w14:paraId="7959FC49" w14:textId="77777777" w:rsidR="00000000" w:rsidRDefault="0052709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5"/>
        <w:gridCol w:w="40"/>
        <w:gridCol w:w="129"/>
        <w:gridCol w:w="769"/>
        <w:gridCol w:w="54"/>
        <w:gridCol w:w="40"/>
        <w:gridCol w:w="153"/>
        <w:gridCol w:w="914"/>
        <w:gridCol w:w="54"/>
        <w:gridCol w:w="40"/>
        <w:gridCol w:w="73"/>
        <w:gridCol w:w="364"/>
        <w:gridCol w:w="48"/>
        <w:gridCol w:w="47"/>
        <w:gridCol w:w="94"/>
        <w:gridCol w:w="467"/>
        <w:gridCol w:w="40"/>
        <w:gridCol w:w="40"/>
        <w:gridCol w:w="40"/>
        <w:gridCol w:w="520"/>
        <w:gridCol w:w="54"/>
        <w:gridCol w:w="40"/>
        <w:gridCol w:w="94"/>
        <w:gridCol w:w="467"/>
        <w:gridCol w:w="54"/>
        <w:gridCol w:w="40"/>
        <w:gridCol w:w="80"/>
        <w:gridCol w:w="640"/>
        <w:gridCol w:w="54"/>
        <w:gridCol w:w="40"/>
        <w:gridCol w:w="134"/>
        <w:gridCol w:w="800"/>
        <w:gridCol w:w="54"/>
        <w:gridCol w:w="40"/>
        <w:gridCol w:w="148"/>
        <w:gridCol w:w="884"/>
        <w:gridCol w:w="54"/>
        <w:gridCol w:w="40"/>
        <w:gridCol w:w="80"/>
        <w:gridCol w:w="640"/>
        <w:gridCol w:w="54"/>
      </w:tblGrid>
      <w:tr w:rsidR="00000000" w14:paraId="297AB9B9" w14:textId="77777777">
        <w:trPr>
          <w:divId w:val="1502234384"/>
          <w:tblCellSpacing w:w="0" w:type="dxa"/>
        </w:trPr>
        <w:tc>
          <w:tcPr>
            <w:tcW w:w="750" w:type="pct"/>
            <w:vAlign w:val="bottom"/>
            <w:hideMark/>
          </w:tcPr>
          <w:p w14:paraId="0C30815F"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3BDFCEF0"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14129439" w14:textId="77777777" w:rsidR="00000000" w:rsidRDefault="00527094">
            <w:pPr>
              <w:jc w:val="center"/>
              <w:rPr>
                <w:rFonts w:eastAsia="Times New Roman"/>
                <w:sz w:val="16"/>
                <w:szCs w:val="16"/>
              </w:rPr>
            </w:pPr>
            <w:r>
              <w:rPr>
                <w:rFonts w:eastAsia="Times New Roman"/>
                <w:b/>
                <w:bCs/>
                <w:sz w:val="16"/>
                <w:szCs w:val="16"/>
              </w:rPr>
              <w:t>Cumulative</w:t>
            </w:r>
          </w:p>
        </w:tc>
        <w:tc>
          <w:tcPr>
            <w:tcW w:w="50" w:type="pct"/>
            <w:vAlign w:val="bottom"/>
            <w:hideMark/>
          </w:tcPr>
          <w:p w14:paraId="27CD09AD"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7FF909CF"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0FFA53D9" w14:textId="77777777" w:rsidR="00000000" w:rsidRDefault="00527094">
            <w:pPr>
              <w:pStyle w:val="a3"/>
              <w:spacing w:before="0" w:beforeAutospacing="0" w:after="0" w:afterAutospacing="0"/>
              <w:jc w:val="center"/>
              <w:rPr>
                <w:sz w:val="16"/>
                <w:szCs w:val="16"/>
              </w:rPr>
            </w:pPr>
            <w:r>
              <w:rPr>
                <w:b/>
                <w:bCs/>
                <w:sz w:val="16"/>
                <w:szCs w:val="16"/>
              </w:rPr>
              <w:t>Accumulated</w:t>
            </w:r>
          </w:p>
        </w:tc>
        <w:tc>
          <w:tcPr>
            <w:tcW w:w="50" w:type="pct"/>
            <w:vAlign w:val="bottom"/>
            <w:hideMark/>
          </w:tcPr>
          <w:p w14:paraId="116F52DF"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76CB00D6"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64EC0B0D"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4E70CE8F"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58B11FCF"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1E1E3C91"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9063D87"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4F731605"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0D209D94"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749EF7D"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A755525"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725031E6"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09972D02"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07A6614C"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14EF6399"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3ECCA6E5"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4C2B6F84"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961EA01"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7C5AF40A"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48510F01"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68B97E70"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2F34902A"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E8B704E"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16601A09"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7FD3797F"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6EE9001C"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7BB61F7D"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14E2FF37"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63659DBF"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4C618E24"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596C82E"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148A6308"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1C05E6FA" w14:textId="77777777" w:rsidR="00000000" w:rsidRDefault="00527094">
            <w:pPr>
              <w:rPr>
                <w:rFonts w:eastAsia="Times New Roman"/>
                <w:sz w:val="16"/>
                <w:szCs w:val="16"/>
              </w:rPr>
            </w:pPr>
            <w:r>
              <w:rPr>
                <w:rFonts w:eastAsia="Times New Roman"/>
                <w:b/>
                <w:bCs/>
                <w:sz w:val="16"/>
                <w:szCs w:val="16"/>
              </w:rPr>
              <w:t> </w:t>
            </w:r>
          </w:p>
        </w:tc>
      </w:tr>
      <w:tr w:rsidR="00000000" w14:paraId="5CFC0CCE" w14:textId="77777777">
        <w:trPr>
          <w:divId w:val="1502234384"/>
          <w:tblCellSpacing w:w="0" w:type="dxa"/>
        </w:trPr>
        <w:tc>
          <w:tcPr>
            <w:tcW w:w="750" w:type="pct"/>
            <w:vAlign w:val="bottom"/>
            <w:hideMark/>
          </w:tcPr>
          <w:p w14:paraId="6433AAD2"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D2D3878"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3ADC28F0" w14:textId="77777777" w:rsidR="00000000" w:rsidRDefault="00527094">
            <w:pPr>
              <w:pStyle w:val="a3"/>
              <w:spacing w:before="0" w:beforeAutospacing="0" w:after="0" w:afterAutospacing="0"/>
              <w:jc w:val="center"/>
              <w:rPr>
                <w:sz w:val="16"/>
                <w:szCs w:val="16"/>
              </w:rPr>
            </w:pPr>
            <w:r>
              <w:rPr>
                <w:b/>
                <w:bCs/>
                <w:sz w:val="16"/>
                <w:szCs w:val="16"/>
              </w:rPr>
              <w:t>Distributions in</w:t>
            </w:r>
          </w:p>
        </w:tc>
        <w:tc>
          <w:tcPr>
            <w:tcW w:w="50" w:type="pct"/>
            <w:vAlign w:val="bottom"/>
            <w:hideMark/>
          </w:tcPr>
          <w:p w14:paraId="2B1B54C2"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28F5A96"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60930A9A" w14:textId="77777777" w:rsidR="00000000" w:rsidRDefault="00527094">
            <w:pPr>
              <w:pStyle w:val="a3"/>
              <w:spacing w:before="0" w:beforeAutospacing="0" w:after="0" w:afterAutospacing="0"/>
              <w:jc w:val="center"/>
              <w:rPr>
                <w:sz w:val="16"/>
                <w:szCs w:val="16"/>
              </w:rPr>
            </w:pPr>
            <w:r>
              <w:rPr>
                <w:b/>
                <w:bCs/>
                <w:sz w:val="16"/>
                <w:szCs w:val="16"/>
              </w:rPr>
              <w:t>Other</w:t>
            </w:r>
          </w:p>
        </w:tc>
        <w:tc>
          <w:tcPr>
            <w:tcW w:w="50" w:type="pct"/>
            <w:vAlign w:val="bottom"/>
            <w:hideMark/>
          </w:tcPr>
          <w:p w14:paraId="040A952F"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509DA62"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60B9ED2"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06D8A121"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3FAA235D"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7D1B7F59"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2F16DFF"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2315A26F"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10054B27"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620CDF1"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38967ED"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6964AC9D"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563EE1BE"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456726A4"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1423BA5"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04F6E929"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0F5B7090"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41F9ED4C"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2C116429"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323C53C9"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4F670628"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3E6418F4"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211E1C1D" w14:textId="77777777" w:rsidR="00000000" w:rsidRDefault="0052709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1B29455A"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195645BF"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1DBE5EC5" w14:textId="77777777" w:rsidR="00000000" w:rsidRDefault="00527094">
            <w:pPr>
              <w:rPr>
                <w:rFonts w:eastAsia="Times New Roman"/>
                <w:sz w:val="16"/>
                <w:szCs w:val="16"/>
              </w:rPr>
            </w:pPr>
            <w:r>
              <w:rPr>
                <w:rFonts w:eastAsia="Times New Roman"/>
                <w:b/>
                <w:bCs/>
                <w:sz w:val="16"/>
                <w:szCs w:val="16"/>
              </w:rPr>
              <w:t> </w:t>
            </w:r>
          </w:p>
        </w:tc>
        <w:tc>
          <w:tcPr>
            <w:tcW w:w="300" w:type="pct"/>
            <w:vAlign w:val="bottom"/>
            <w:hideMark/>
          </w:tcPr>
          <w:p w14:paraId="2B466FC1"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4839FDD4" w14:textId="77777777" w:rsidR="00000000" w:rsidRDefault="00527094">
            <w:pPr>
              <w:rPr>
                <w:rFonts w:eastAsia="Times New Roman"/>
                <w:sz w:val="16"/>
                <w:szCs w:val="16"/>
              </w:rPr>
            </w:pPr>
            <w:r>
              <w:rPr>
                <w:rFonts w:eastAsia="Times New Roman"/>
                <w:b/>
                <w:bCs/>
                <w:sz w:val="16"/>
                <w:szCs w:val="16"/>
              </w:rPr>
              <w:t> </w:t>
            </w:r>
          </w:p>
        </w:tc>
        <w:tc>
          <w:tcPr>
            <w:tcW w:w="50" w:type="pct"/>
            <w:vAlign w:val="bottom"/>
            <w:hideMark/>
          </w:tcPr>
          <w:p w14:paraId="73CB8920"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62588C08" w14:textId="77777777" w:rsidR="00000000" w:rsidRDefault="00527094">
            <w:pPr>
              <w:rPr>
                <w:rFonts w:eastAsia="Times New Roman"/>
                <w:sz w:val="16"/>
                <w:szCs w:val="16"/>
              </w:rPr>
            </w:pPr>
            <w:r>
              <w:rPr>
                <w:rFonts w:eastAsia="Times New Roman"/>
                <w:b/>
                <w:bCs/>
                <w:sz w:val="16"/>
                <w:szCs w:val="16"/>
              </w:rPr>
              <w:t> </w:t>
            </w:r>
          </w:p>
        </w:tc>
        <w:tc>
          <w:tcPr>
            <w:tcW w:w="250" w:type="pct"/>
            <w:vAlign w:val="bottom"/>
            <w:hideMark/>
          </w:tcPr>
          <w:p w14:paraId="7A00EF09" w14:textId="77777777" w:rsidR="00000000" w:rsidRDefault="00527094">
            <w:pPr>
              <w:jc w:val="center"/>
              <w:rPr>
                <w:rFonts w:eastAsia="Times New Roman"/>
                <w:sz w:val="16"/>
                <w:szCs w:val="16"/>
              </w:rPr>
            </w:pPr>
            <w:r>
              <w:rPr>
                <w:rFonts w:eastAsia="Times New Roman"/>
                <w:b/>
                <w:bCs/>
                <w:sz w:val="16"/>
                <w:szCs w:val="16"/>
              </w:rPr>
              <w:t> </w:t>
            </w:r>
          </w:p>
        </w:tc>
        <w:tc>
          <w:tcPr>
            <w:tcW w:w="50" w:type="pct"/>
            <w:vAlign w:val="bottom"/>
            <w:hideMark/>
          </w:tcPr>
          <w:p w14:paraId="10DF2E33" w14:textId="77777777" w:rsidR="00000000" w:rsidRDefault="00527094">
            <w:pPr>
              <w:rPr>
                <w:rFonts w:eastAsia="Times New Roman"/>
                <w:sz w:val="16"/>
                <w:szCs w:val="16"/>
              </w:rPr>
            </w:pPr>
            <w:r>
              <w:rPr>
                <w:rFonts w:eastAsia="Times New Roman"/>
                <w:b/>
                <w:bCs/>
                <w:sz w:val="16"/>
                <w:szCs w:val="16"/>
              </w:rPr>
              <w:t> </w:t>
            </w:r>
          </w:p>
        </w:tc>
      </w:tr>
      <w:tr w:rsidR="00000000" w14:paraId="3082AC8C" w14:textId="77777777">
        <w:trPr>
          <w:divId w:val="1502234384"/>
          <w:tblCellSpacing w:w="0" w:type="dxa"/>
        </w:trPr>
        <w:tc>
          <w:tcPr>
            <w:tcW w:w="750" w:type="pct"/>
            <w:vAlign w:val="bottom"/>
            <w:hideMark/>
          </w:tcPr>
          <w:p w14:paraId="4C84101B"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16AAA6A"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7418465F" w14:textId="77777777" w:rsidR="00000000" w:rsidRDefault="00527094">
            <w:pPr>
              <w:pStyle w:val="a3"/>
              <w:spacing w:before="0" w:beforeAutospacing="0" w:after="0" w:afterAutospacing="0"/>
              <w:jc w:val="center"/>
              <w:rPr>
                <w:sz w:val="16"/>
                <w:szCs w:val="16"/>
              </w:rPr>
            </w:pPr>
            <w:r>
              <w:rPr>
                <w:b/>
                <w:bCs/>
                <w:sz w:val="16"/>
                <w:szCs w:val="16"/>
              </w:rPr>
              <w:t xml:space="preserve">Excess of </w:t>
            </w:r>
          </w:p>
        </w:tc>
        <w:tc>
          <w:tcPr>
            <w:tcW w:w="50" w:type="pct"/>
            <w:vAlign w:val="bottom"/>
            <w:hideMark/>
          </w:tcPr>
          <w:p w14:paraId="6250AE9C"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4C47850A"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6EC7BFD3" w14:textId="77777777" w:rsidR="00000000" w:rsidRDefault="00527094">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14:paraId="0016F0C6"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0B1F9DCC" w14:textId="77777777" w:rsidR="00000000" w:rsidRDefault="0052709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56F5419F" w14:textId="77777777" w:rsidR="00000000" w:rsidRDefault="00527094">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14:paraId="19E3663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43D44FF9" w14:textId="77777777" w:rsidR="00000000" w:rsidRDefault="0052709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430CEC0F" w14:textId="77777777" w:rsidR="00000000" w:rsidRDefault="00527094">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14:paraId="61C8C4CD"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6E32E601"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31AEA608" w14:textId="77777777" w:rsidR="00000000" w:rsidRDefault="00527094">
            <w:pPr>
              <w:pStyle w:val="a3"/>
              <w:spacing w:before="0" w:beforeAutospacing="0" w:after="0" w:afterAutospacing="0"/>
              <w:jc w:val="center"/>
              <w:rPr>
                <w:sz w:val="16"/>
                <w:szCs w:val="16"/>
              </w:rPr>
            </w:pPr>
            <w:r>
              <w:rPr>
                <w:b/>
                <w:bCs/>
                <w:sz w:val="16"/>
                <w:szCs w:val="16"/>
              </w:rPr>
              <w:t>Paid-in</w:t>
            </w:r>
          </w:p>
        </w:tc>
        <w:tc>
          <w:tcPr>
            <w:tcW w:w="50" w:type="pct"/>
            <w:vAlign w:val="bottom"/>
            <w:hideMark/>
          </w:tcPr>
          <w:p w14:paraId="14244984"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4F2500CE"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599CACFC" w14:textId="77777777" w:rsidR="00000000" w:rsidRDefault="00527094">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14:paraId="6AA52AB1"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D63BEC3"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569A1F59" w14:textId="77777777" w:rsidR="00000000" w:rsidRDefault="00527094">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14:paraId="71B1715F"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3F5733C3" w14:textId="77777777" w:rsidR="00000000" w:rsidRDefault="00527094">
            <w:pPr>
              <w:rPr>
                <w:rFonts w:eastAsia="Times New Roman"/>
                <w:sz w:val="16"/>
                <w:szCs w:val="16"/>
              </w:rPr>
            </w:pPr>
            <w:r>
              <w:rPr>
                <w:rFonts w:eastAsia="Times New Roman"/>
                <w:sz w:val="16"/>
                <w:szCs w:val="16"/>
              </w:rPr>
              <w:t> </w:t>
            </w:r>
          </w:p>
        </w:tc>
        <w:tc>
          <w:tcPr>
            <w:tcW w:w="50" w:type="pct"/>
            <w:gridSpan w:val="2"/>
            <w:vAlign w:val="bottom"/>
            <w:hideMark/>
          </w:tcPr>
          <w:p w14:paraId="0F698933" w14:textId="77777777" w:rsidR="00000000" w:rsidRDefault="0052709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5EC11655" w14:textId="77777777" w:rsidR="00000000" w:rsidRDefault="00527094">
            <w:pPr>
              <w:rPr>
                <w:rFonts w:eastAsia="Times New Roman"/>
                <w:sz w:val="16"/>
                <w:szCs w:val="16"/>
              </w:rPr>
            </w:pPr>
            <w:r>
              <w:rPr>
                <w:rFonts w:eastAsia="Times New Roman"/>
                <w:sz w:val="16"/>
                <w:szCs w:val="16"/>
              </w:rPr>
              <w:t> </w:t>
            </w:r>
          </w:p>
        </w:tc>
      </w:tr>
      <w:tr w:rsidR="00000000" w14:paraId="70DBF313" w14:textId="77777777">
        <w:trPr>
          <w:divId w:val="1502234384"/>
          <w:tblCellSpacing w:w="0" w:type="dxa"/>
        </w:trPr>
        <w:tc>
          <w:tcPr>
            <w:tcW w:w="750" w:type="pct"/>
            <w:vAlign w:val="bottom"/>
            <w:hideMark/>
          </w:tcPr>
          <w:p w14:paraId="20223F64" w14:textId="77777777" w:rsidR="00000000" w:rsidRDefault="00527094">
            <w:pPr>
              <w:rPr>
                <w:rFonts w:eastAsia="Times New Roman"/>
                <w:sz w:val="16"/>
                <w:szCs w:val="16"/>
              </w:rPr>
            </w:pPr>
            <w:r>
              <w:rPr>
                <w:rFonts w:eastAsia="Times New Roman"/>
                <w:sz w:val="16"/>
                <w:szCs w:val="16"/>
              </w:rPr>
              <w:t> </w:t>
            </w:r>
          </w:p>
        </w:tc>
        <w:tc>
          <w:tcPr>
            <w:tcW w:w="50" w:type="pct"/>
            <w:vAlign w:val="bottom"/>
            <w:hideMark/>
          </w:tcPr>
          <w:p w14:paraId="5CE6B292"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195D83AD" w14:textId="77777777" w:rsidR="00000000" w:rsidRDefault="00527094">
            <w:pPr>
              <w:pStyle w:val="a3"/>
              <w:spacing w:before="0" w:beforeAutospacing="0" w:after="0" w:afterAutospacing="0"/>
              <w:jc w:val="center"/>
              <w:rPr>
                <w:sz w:val="16"/>
                <w:szCs w:val="16"/>
              </w:rPr>
            </w:pPr>
            <w:r>
              <w:rPr>
                <w:b/>
                <w:bCs/>
                <w:sz w:val="16"/>
                <w:szCs w:val="16"/>
              </w:rPr>
              <w:t>Net Income</w:t>
            </w:r>
          </w:p>
        </w:tc>
        <w:tc>
          <w:tcPr>
            <w:tcW w:w="50" w:type="pct"/>
            <w:tcBorders>
              <w:bottom w:val="single" w:sz="6" w:space="0" w:color="000000"/>
            </w:tcBorders>
            <w:vAlign w:val="bottom"/>
            <w:hideMark/>
          </w:tcPr>
          <w:p w14:paraId="3391484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78DDF98"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8C7BF55" w14:textId="77777777" w:rsidR="00000000" w:rsidRDefault="00527094">
            <w:pPr>
              <w:pStyle w:val="a3"/>
              <w:spacing w:before="0" w:beforeAutospacing="0" w:after="0" w:afterAutospacing="0"/>
              <w:jc w:val="center"/>
              <w:rPr>
                <w:sz w:val="16"/>
                <w:szCs w:val="16"/>
              </w:rPr>
            </w:pPr>
            <w:r>
              <w:rPr>
                <w:b/>
                <w:bCs/>
                <w:sz w:val="16"/>
                <w:szCs w:val="16"/>
              </w:rPr>
              <w:t>Income/(Loss)</w:t>
            </w:r>
          </w:p>
        </w:tc>
        <w:tc>
          <w:tcPr>
            <w:tcW w:w="50" w:type="pct"/>
            <w:tcBorders>
              <w:bottom w:val="single" w:sz="6" w:space="0" w:color="000000"/>
            </w:tcBorders>
            <w:vAlign w:val="bottom"/>
            <w:hideMark/>
          </w:tcPr>
          <w:p w14:paraId="3203F60C"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D02FFDA"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571E31B3" w14:textId="77777777" w:rsidR="00000000" w:rsidRDefault="0052709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3C65824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D42FCD7"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DEA75EF" w14:textId="77777777" w:rsidR="00000000" w:rsidRDefault="0052709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16BB23A6"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24535845"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C6E150D" w14:textId="77777777" w:rsidR="00000000" w:rsidRDefault="0052709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162A603A"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72BA5600"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71824265" w14:textId="77777777" w:rsidR="00000000" w:rsidRDefault="0052709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2D3A1B66"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2939D187"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A27E7BC" w14:textId="77777777" w:rsidR="00000000" w:rsidRDefault="00527094">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14:paraId="57F1D9E8"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7441857A"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10AA7E40" w14:textId="77777777" w:rsidR="00000000" w:rsidRDefault="00527094">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14:paraId="77BA2A7F"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BFD54C1"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0A94B74" w14:textId="77777777" w:rsidR="00000000" w:rsidRDefault="00527094">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14:paraId="79C064B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4E50744" w14:textId="77777777" w:rsidR="00000000" w:rsidRDefault="0052709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1549D09" w14:textId="77777777" w:rsidR="00000000" w:rsidRDefault="00527094">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14:paraId="66193A3C" w14:textId="77777777" w:rsidR="00000000" w:rsidRDefault="00527094">
            <w:pPr>
              <w:rPr>
                <w:rFonts w:eastAsia="Times New Roman"/>
                <w:sz w:val="16"/>
                <w:szCs w:val="16"/>
              </w:rPr>
            </w:pPr>
            <w:r>
              <w:rPr>
                <w:rFonts w:eastAsia="Times New Roman"/>
                <w:sz w:val="16"/>
                <w:szCs w:val="16"/>
              </w:rPr>
              <w:t> </w:t>
            </w:r>
          </w:p>
        </w:tc>
      </w:tr>
      <w:tr w:rsidR="00527094" w14:paraId="75EE8B01" w14:textId="77777777">
        <w:trPr>
          <w:divId w:val="1502234384"/>
          <w:tblCellSpacing w:w="0" w:type="dxa"/>
        </w:trPr>
        <w:tc>
          <w:tcPr>
            <w:tcW w:w="750" w:type="pct"/>
            <w:shd w:val="clear" w:color="auto" w:fill="CCEEFF"/>
            <w:vAlign w:val="bottom"/>
            <w:hideMark/>
          </w:tcPr>
          <w:p w14:paraId="41091398" w14:textId="77777777" w:rsidR="00000000" w:rsidRDefault="00527094">
            <w:pPr>
              <w:pStyle w:val="a3"/>
              <w:spacing w:before="0" w:beforeAutospacing="0" w:after="0" w:afterAutospacing="0"/>
              <w:rPr>
                <w:sz w:val="16"/>
                <w:szCs w:val="16"/>
              </w:rPr>
            </w:pPr>
            <w:r>
              <w:rPr>
                <w:sz w:val="16"/>
                <w:szCs w:val="16"/>
              </w:rPr>
              <w:t>Balance at January 1, 2018</w:t>
            </w:r>
          </w:p>
        </w:tc>
        <w:tc>
          <w:tcPr>
            <w:tcW w:w="50" w:type="pct"/>
            <w:shd w:val="clear" w:color="auto" w:fill="CCEEFF"/>
            <w:vAlign w:val="bottom"/>
            <w:hideMark/>
          </w:tcPr>
          <w:p w14:paraId="1441731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E89D55"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4FE8A244" w14:textId="77777777" w:rsidR="00000000" w:rsidRDefault="00527094">
            <w:pPr>
              <w:jc w:val="right"/>
              <w:rPr>
                <w:rFonts w:eastAsia="Times New Roman"/>
                <w:sz w:val="16"/>
                <w:szCs w:val="16"/>
              </w:rPr>
            </w:pPr>
            <w:r>
              <w:rPr>
                <w:rFonts w:eastAsia="Times New Roman"/>
                <w:sz w:val="16"/>
                <w:szCs w:val="16"/>
              </w:rPr>
              <w:t>(754,375</w:t>
            </w:r>
          </w:p>
        </w:tc>
        <w:tc>
          <w:tcPr>
            <w:tcW w:w="50" w:type="pct"/>
            <w:shd w:val="clear" w:color="auto" w:fill="CCEEFF"/>
            <w:vAlign w:val="bottom"/>
            <w:hideMark/>
          </w:tcPr>
          <w:p w14:paraId="2AA5E31F"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3906DCA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4AC116"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69DE5676" w14:textId="77777777" w:rsidR="00000000" w:rsidRDefault="00527094">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14:paraId="11A7D52C"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6EA9A67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6406E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168FC6C" w14:textId="77777777" w:rsidR="00000000" w:rsidRDefault="00527094">
            <w:pPr>
              <w:jc w:val="right"/>
              <w:rPr>
                <w:rFonts w:eastAsia="Times New Roman"/>
                <w:sz w:val="16"/>
                <w:szCs w:val="16"/>
              </w:rPr>
            </w:pPr>
            <w:r>
              <w:rPr>
                <w:rFonts w:eastAsia="Times New Roman"/>
                <w:sz w:val="16"/>
                <w:szCs w:val="16"/>
              </w:rPr>
              <w:t>41</w:t>
            </w:r>
          </w:p>
        </w:tc>
        <w:tc>
          <w:tcPr>
            <w:tcW w:w="50" w:type="pct"/>
            <w:shd w:val="clear" w:color="auto" w:fill="CCEEFF"/>
            <w:vAlign w:val="bottom"/>
            <w:hideMark/>
          </w:tcPr>
          <w:p w14:paraId="33A8798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49FB2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357387" w14:textId="77777777" w:rsidR="00000000" w:rsidRDefault="00527094">
            <w:pPr>
              <w:rPr>
                <w:rFonts w:eastAsia="Times New Roman"/>
                <w:sz w:val="16"/>
                <w:szCs w:val="16"/>
              </w:rPr>
            </w:pPr>
            <w:r>
              <w:rPr>
                <w:rFonts w:eastAsia="Times New Roman"/>
                <w:sz w:val="16"/>
                <w:szCs w:val="16"/>
              </w:rPr>
              <w:t>$</w:t>
            </w:r>
          </w:p>
        </w:tc>
        <w:tc>
          <w:tcPr>
            <w:tcW w:w="250" w:type="pct"/>
            <w:shd w:val="clear" w:color="auto" w:fill="CCEEFF"/>
            <w:vAlign w:val="bottom"/>
            <w:hideMark/>
          </w:tcPr>
          <w:p w14:paraId="139DEE8B" w14:textId="77777777" w:rsidR="00000000" w:rsidRDefault="00527094">
            <w:pPr>
              <w:jc w:val="right"/>
              <w:rPr>
                <w:rFonts w:eastAsia="Times New Roman"/>
                <w:sz w:val="16"/>
                <w:szCs w:val="16"/>
              </w:rPr>
            </w:pPr>
            <w:r>
              <w:rPr>
                <w:rFonts w:eastAsia="Times New Roman"/>
                <w:sz w:val="16"/>
                <w:szCs w:val="16"/>
              </w:rPr>
              <w:t>41</w:t>
            </w:r>
          </w:p>
        </w:tc>
        <w:tc>
          <w:tcPr>
            <w:tcW w:w="50" w:type="pct"/>
            <w:shd w:val="clear" w:color="auto" w:fill="CCEEFF"/>
            <w:vAlign w:val="bottom"/>
            <w:hideMark/>
          </w:tcPr>
          <w:p w14:paraId="2CD4FE9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370A1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8B198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75E3B17" w14:textId="77777777" w:rsidR="00000000" w:rsidRDefault="00527094">
            <w:pPr>
              <w:jc w:val="right"/>
              <w:rPr>
                <w:rFonts w:eastAsia="Times New Roman"/>
                <w:sz w:val="16"/>
                <w:szCs w:val="16"/>
              </w:rPr>
            </w:pPr>
            <w:r>
              <w:rPr>
                <w:rFonts w:eastAsia="Times New Roman"/>
                <w:sz w:val="16"/>
                <w:szCs w:val="16"/>
              </w:rPr>
              <w:t>425,646</w:t>
            </w:r>
          </w:p>
        </w:tc>
        <w:tc>
          <w:tcPr>
            <w:tcW w:w="50" w:type="pct"/>
            <w:shd w:val="clear" w:color="auto" w:fill="CCEEFF"/>
            <w:vAlign w:val="bottom"/>
            <w:hideMark/>
          </w:tcPr>
          <w:p w14:paraId="350DA7F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F0801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6E233C" w14:textId="77777777" w:rsidR="00000000" w:rsidRDefault="00527094">
            <w:pPr>
              <w:rPr>
                <w:rFonts w:eastAsia="Times New Roman"/>
                <w:sz w:val="16"/>
                <w:szCs w:val="16"/>
              </w:rPr>
            </w:pPr>
            <w:r>
              <w:rPr>
                <w:rFonts w:eastAsia="Times New Roman"/>
                <w:sz w:val="16"/>
                <w:szCs w:val="16"/>
              </w:rPr>
              <w:t>$</w:t>
            </w:r>
          </w:p>
        </w:tc>
        <w:tc>
          <w:tcPr>
            <w:tcW w:w="250" w:type="pct"/>
            <w:shd w:val="clear" w:color="auto" w:fill="CCEEFF"/>
            <w:vAlign w:val="bottom"/>
            <w:hideMark/>
          </w:tcPr>
          <w:p w14:paraId="6C4A6F77" w14:textId="77777777" w:rsidR="00000000" w:rsidRDefault="00527094">
            <w:pPr>
              <w:jc w:val="right"/>
              <w:rPr>
                <w:rFonts w:eastAsia="Times New Roman"/>
                <w:sz w:val="16"/>
                <w:szCs w:val="16"/>
              </w:rPr>
            </w:pPr>
            <w:r>
              <w:rPr>
                <w:rFonts w:eastAsia="Times New Roman"/>
                <w:sz w:val="16"/>
                <w:szCs w:val="16"/>
              </w:rPr>
              <w:t>4,256</w:t>
            </w:r>
          </w:p>
        </w:tc>
        <w:tc>
          <w:tcPr>
            <w:tcW w:w="50" w:type="pct"/>
            <w:shd w:val="clear" w:color="auto" w:fill="CCEEFF"/>
            <w:vAlign w:val="bottom"/>
            <w:hideMark/>
          </w:tcPr>
          <w:p w14:paraId="7EA30AA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DDCF7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6DC841"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0DA810ED" w14:textId="77777777" w:rsidR="00000000" w:rsidRDefault="00527094">
            <w:pPr>
              <w:jc w:val="right"/>
              <w:rPr>
                <w:rFonts w:eastAsia="Times New Roman"/>
                <w:sz w:val="16"/>
                <w:szCs w:val="16"/>
              </w:rPr>
            </w:pPr>
            <w:r>
              <w:rPr>
                <w:rFonts w:eastAsia="Times New Roman"/>
                <w:sz w:val="16"/>
                <w:szCs w:val="16"/>
              </w:rPr>
              <w:t>6,152,764</w:t>
            </w:r>
          </w:p>
        </w:tc>
        <w:tc>
          <w:tcPr>
            <w:tcW w:w="50" w:type="pct"/>
            <w:shd w:val="clear" w:color="auto" w:fill="CCEEFF"/>
            <w:vAlign w:val="bottom"/>
            <w:hideMark/>
          </w:tcPr>
          <w:p w14:paraId="039E07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8424D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868AF3"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6C8D5841" w14:textId="77777777" w:rsidR="00000000" w:rsidRDefault="00527094">
            <w:pPr>
              <w:jc w:val="right"/>
              <w:rPr>
                <w:rFonts w:eastAsia="Times New Roman"/>
                <w:sz w:val="16"/>
                <w:szCs w:val="16"/>
              </w:rPr>
            </w:pPr>
            <w:r>
              <w:rPr>
                <w:rFonts w:eastAsia="Times New Roman"/>
                <w:sz w:val="16"/>
                <w:szCs w:val="16"/>
              </w:rPr>
              <w:t>5,402,342</w:t>
            </w:r>
          </w:p>
        </w:tc>
        <w:tc>
          <w:tcPr>
            <w:tcW w:w="50" w:type="pct"/>
            <w:shd w:val="clear" w:color="auto" w:fill="CCEEFF"/>
            <w:vAlign w:val="bottom"/>
            <w:hideMark/>
          </w:tcPr>
          <w:p w14:paraId="057F968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BD5AB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4E948C" w14:textId="77777777" w:rsidR="00000000" w:rsidRDefault="00527094">
            <w:pPr>
              <w:rPr>
                <w:rFonts w:eastAsia="Times New Roman"/>
                <w:sz w:val="16"/>
                <w:szCs w:val="16"/>
              </w:rPr>
            </w:pPr>
            <w:r>
              <w:rPr>
                <w:rFonts w:eastAsia="Times New Roman"/>
                <w:sz w:val="16"/>
                <w:szCs w:val="16"/>
              </w:rPr>
              <w:t>$</w:t>
            </w:r>
          </w:p>
        </w:tc>
        <w:tc>
          <w:tcPr>
            <w:tcW w:w="300" w:type="pct"/>
            <w:shd w:val="clear" w:color="auto" w:fill="CCEEFF"/>
            <w:vAlign w:val="bottom"/>
            <w:hideMark/>
          </w:tcPr>
          <w:p w14:paraId="6AA585D0" w14:textId="77777777" w:rsidR="00000000" w:rsidRDefault="00527094">
            <w:pPr>
              <w:jc w:val="right"/>
              <w:rPr>
                <w:rFonts w:eastAsia="Times New Roman"/>
                <w:sz w:val="16"/>
                <w:szCs w:val="16"/>
              </w:rPr>
            </w:pPr>
            <w:r>
              <w:rPr>
                <w:rFonts w:eastAsia="Times New Roman"/>
                <w:sz w:val="16"/>
                <w:szCs w:val="16"/>
              </w:rPr>
              <w:t>127,903</w:t>
            </w:r>
          </w:p>
        </w:tc>
        <w:tc>
          <w:tcPr>
            <w:tcW w:w="50" w:type="pct"/>
            <w:shd w:val="clear" w:color="auto" w:fill="CCEEFF"/>
            <w:vAlign w:val="bottom"/>
            <w:hideMark/>
          </w:tcPr>
          <w:p w14:paraId="6B0B7D4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D25BF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1F1C13" w14:textId="77777777" w:rsidR="00000000" w:rsidRDefault="00527094">
            <w:pPr>
              <w:rPr>
                <w:rFonts w:eastAsia="Times New Roman"/>
                <w:sz w:val="16"/>
                <w:szCs w:val="16"/>
              </w:rPr>
            </w:pPr>
            <w:r>
              <w:rPr>
                <w:rFonts w:eastAsia="Times New Roman"/>
                <w:sz w:val="16"/>
                <w:szCs w:val="16"/>
              </w:rPr>
              <w:t>$</w:t>
            </w:r>
          </w:p>
        </w:tc>
        <w:tc>
          <w:tcPr>
            <w:tcW w:w="250" w:type="pct"/>
            <w:shd w:val="clear" w:color="auto" w:fill="CCEEFF"/>
            <w:vAlign w:val="bottom"/>
            <w:hideMark/>
          </w:tcPr>
          <w:p w14:paraId="0384DCB9" w14:textId="77777777" w:rsidR="00000000" w:rsidRDefault="00527094">
            <w:pPr>
              <w:jc w:val="right"/>
              <w:rPr>
                <w:rFonts w:eastAsia="Times New Roman"/>
                <w:sz w:val="16"/>
                <w:szCs w:val="16"/>
              </w:rPr>
            </w:pPr>
            <w:r>
              <w:rPr>
                <w:rFonts w:eastAsia="Times New Roman"/>
                <w:sz w:val="16"/>
                <w:szCs w:val="16"/>
              </w:rPr>
              <w:t>5,530,245</w:t>
            </w:r>
          </w:p>
        </w:tc>
        <w:tc>
          <w:tcPr>
            <w:tcW w:w="50" w:type="pct"/>
            <w:shd w:val="clear" w:color="auto" w:fill="CCEEFF"/>
            <w:vAlign w:val="bottom"/>
            <w:hideMark/>
          </w:tcPr>
          <w:p w14:paraId="1B145431" w14:textId="77777777" w:rsidR="00000000" w:rsidRDefault="00527094">
            <w:pPr>
              <w:rPr>
                <w:rFonts w:eastAsia="Times New Roman"/>
                <w:sz w:val="16"/>
                <w:szCs w:val="16"/>
              </w:rPr>
            </w:pPr>
            <w:r>
              <w:rPr>
                <w:rFonts w:eastAsia="Times New Roman"/>
                <w:sz w:val="16"/>
                <w:szCs w:val="16"/>
              </w:rPr>
              <w:t> </w:t>
            </w:r>
          </w:p>
        </w:tc>
      </w:tr>
      <w:tr w:rsidR="00527094" w14:paraId="34CA410F" w14:textId="77777777">
        <w:trPr>
          <w:divId w:val="1502234384"/>
          <w:tblCellSpacing w:w="0" w:type="dxa"/>
        </w:trPr>
        <w:tc>
          <w:tcPr>
            <w:tcW w:w="750" w:type="pct"/>
            <w:shd w:val="clear" w:color="auto" w:fill="FFFFFF"/>
            <w:vAlign w:val="bottom"/>
            <w:hideMark/>
          </w:tcPr>
          <w:p w14:paraId="5B578FD6" w14:textId="77777777" w:rsidR="00000000" w:rsidRDefault="00527094">
            <w:pPr>
              <w:pStyle w:val="a3"/>
              <w:spacing w:before="0" w:beforeAutospacing="0" w:after="0" w:afterAutospacing="0"/>
              <w:rPr>
                <w:sz w:val="16"/>
                <w:szCs w:val="16"/>
              </w:rPr>
            </w:pPr>
            <w:r>
              <w:rPr>
                <w:sz w:val="16"/>
                <w:szCs w:val="16"/>
              </w:rPr>
              <w:t>Comprehensive income:</w:t>
            </w:r>
          </w:p>
        </w:tc>
        <w:tc>
          <w:tcPr>
            <w:tcW w:w="50" w:type="pct"/>
            <w:shd w:val="clear" w:color="auto" w:fill="FFFFFF"/>
            <w:vAlign w:val="bottom"/>
            <w:hideMark/>
          </w:tcPr>
          <w:p w14:paraId="4935E2E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4F844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C934E8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38284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6DC4B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21998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90B5DC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18982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92886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87CF0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31D2F4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ACAA4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0DA26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1B911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29948F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90F51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17202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39CD9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38FF32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6F802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94040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6A57C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3B7519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C1693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EE43B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A88A0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7C565B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DB4E6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5CB9F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56F0B3"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C5CF72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82F51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C00CC8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B3C6E3"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CE1DCF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FE5C15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383FB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F1200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166907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C23DD1" w14:textId="77777777" w:rsidR="00000000" w:rsidRDefault="00527094">
            <w:pPr>
              <w:rPr>
                <w:rFonts w:eastAsia="Times New Roman"/>
                <w:sz w:val="16"/>
                <w:szCs w:val="16"/>
              </w:rPr>
            </w:pPr>
            <w:r>
              <w:rPr>
                <w:rFonts w:eastAsia="Times New Roman"/>
                <w:sz w:val="16"/>
                <w:szCs w:val="16"/>
              </w:rPr>
              <w:t> </w:t>
            </w:r>
          </w:p>
        </w:tc>
      </w:tr>
      <w:tr w:rsidR="00527094" w14:paraId="5AB6B9CF" w14:textId="77777777">
        <w:trPr>
          <w:divId w:val="1502234384"/>
          <w:tblCellSpacing w:w="0" w:type="dxa"/>
        </w:trPr>
        <w:tc>
          <w:tcPr>
            <w:tcW w:w="750" w:type="pct"/>
            <w:shd w:val="clear" w:color="auto" w:fill="CCEEFF"/>
            <w:vAlign w:val="bottom"/>
            <w:hideMark/>
          </w:tcPr>
          <w:p w14:paraId="4E2EB6E3" w14:textId="77777777" w:rsidR="00000000" w:rsidRDefault="00527094">
            <w:pPr>
              <w:pStyle w:val="a3"/>
              <w:spacing w:before="0" w:beforeAutospacing="0" w:after="0" w:afterAutospacing="0"/>
              <w:ind w:left="180"/>
              <w:rPr>
                <w:sz w:val="16"/>
                <w:szCs w:val="16"/>
              </w:rPr>
            </w:pPr>
            <w:r>
              <w:rPr>
                <w:sz w:val="16"/>
                <w:szCs w:val="16"/>
              </w:rPr>
              <w:t>Net income</w:t>
            </w:r>
          </w:p>
        </w:tc>
        <w:tc>
          <w:tcPr>
            <w:tcW w:w="50" w:type="pct"/>
            <w:shd w:val="clear" w:color="auto" w:fill="CCEEFF"/>
            <w:vAlign w:val="bottom"/>
            <w:hideMark/>
          </w:tcPr>
          <w:p w14:paraId="712B058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7F9E1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CE11CBE" w14:textId="77777777" w:rsidR="00000000" w:rsidRDefault="00527094">
            <w:pPr>
              <w:jc w:val="right"/>
              <w:rPr>
                <w:rFonts w:eastAsia="Times New Roman"/>
                <w:sz w:val="16"/>
                <w:szCs w:val="16"/>
              </w:rPr>
            </w:pPr>
            <w:r>
              <w:rPr>
                <w:rFonts w:eastAsia="Times New Roman"/>
                <w:sz w:val="16"/>
                <w:szCs w:val="16"/>
              </w:rPr>
              <w:t>309,476</w:t>
            </w:r>
          </w:p>
        </w:tc>
        <w:tc>
          <w:tcPr>
            <w:tcW w:w="50" w:type="pct"/>
            <w:shd w:val="clear" w:color="auto" w:fill="CCEEFF"/>
            <w:vAlign w:val="bottom"/>
            <w:hideMark/>
          </w:tcPr>
          <w:p w14:paraId="531881E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3D90A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E346E9"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C24366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44709F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573E8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07629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05D291F"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30FF59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069E4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F21F7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2AE221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D5EFB5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DC0AE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9BD7E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0B770EC"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873CEB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CD6F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289E1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A45D24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3A1B26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452E5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0FD08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3BF3D0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A95370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6C8FD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D7CAF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592D3C7" w14:textId="77777777" w:rsidR="00000000" w:rsidRDefault="00527094">
            <w:pPr>
              <w:jc w:val="right"/>
              <w:rPr>
                <w:rFonts w:eastAsia="Times New Roman"/>
                <w:sz w:val="16"/>
                <w:szCs w:val="16"/>
              </w:rPr>
            </w:pPr>
            <w:r>
              <w:rPr>
                <w:rFonts w:eastAsia="Times New Roman"/>
                <w:sz w:val="16"/>
                <w:szCs w:val="16"/>
              </w:rPr>
              <w:t>309,476</w:t>
            </w:r>
          </w:p>
        </w:tc>
        <w:tc>
          <w:tcPr>
            <w:tcW w:w="50" w:type="pct"/>
            <w:shd w:val="clear" w:color="auto" w:fill="CCEEFF"/>
            <w:vAlign w:val="bottom"/>
            <w:hideMark/>
          </w:tcPr>
          <w:p w14:paraId="4CD355E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936C3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AC3A8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64E02C5" w14:textId="77777777" w:rsidR="00000000" w:rsidRDefault="00527094">
            <w:pPr>
              <w:jc w:val="right"/>
              <w:rPr>
                <w:rFonts w:eastAsia="Times New Roman"/>
                <w:sz w:val="16"/>
                <w:szCs w:val="16"/>
              </w:rPr>
            </w:pPr>
            <w:r>
              <w:rPr>
                <w:rFonts w:eastAsia="Times New Roman"/>
                <w:sz w:val="16"/>
                <w:szCs w:val="16"/>
              </w:rPr>
              <w:t>315</w:t>
            </w:r>
          </w:p>
        </w:tc>
        <w:tc>
          <w:tcPr>
            <w:tcW w:w="50" w:type="pct"/>
            <w:shd w:val="clear" w:color="auto" w:fill="CCEEFF"/>
            <w:vAlign w:val="bottom"/>
            <w:hideMark/>
          </w:tcPr>
          <w:p w14:paraId="79CCFC1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F08F0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AB8C5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A345B39" w14:textId="77777777" w:rsidR="00000000" w:rsidRDefault="00527094">
            <w:pPr>
              <w:jc w:val="right"/>
              <w:rPr>
                <w:rFonts w:eastAsia="Times New Roman"/>
                <w:sz w:val="16"/>
                <w:szCs w:val="16"/>
              </w:rPr>
            </w:pPr>
            <w:r>
              <w:rPr>
                <w:rFonts w:eastAsia="Times New Roman"/>
                <w:sz w:val="16"/>
                <w:szCs w:val="16"/>
              </w:rPr>
              <w:t>309,791</w:t>
            </w:r>
          </w:p>
        </w:tc>
        <w:tc>
          <w:tcPr>
            <w:tcW w:w="50" w:type="pct"/>
            <w:shd w:val="clear" w:color="auto" w:fill="CCEEFF"/>
            <w:vAlign w:val="bottom"/>
            <w:hideMark/>
          </w:tcPr>
          <w:p w14:paraId="059C5D5F" w14:textId="77777777" w:rsidR="00000000" w:rsidRDefault="00527094">
            <w:pPr>
              <w:rPr>
                <w:rFonts w:eastAsia="Times New Roman"/>
                <w:sz w:val="16"/>
                <w:szCs w:val="16"/>
              </w:rPr>
            </w:pPr>
            <w:r>
              <w:rPr>
                <w:rFonts w:eastAsia="Times New Roman"/>
                <w:sz w:val="16"/>
                <w:szCs w:val="16"/>
              </w:rPr>
              <w:t> </w:t>
            </w:r>
          </w:p>
        </w:tc>
      </w:tr>
      <w:tr w:rsidR="00527094" w14:paraId="4A2D7A93" w14:textId="77777777">
        <w:trPr>
          <w:divId w:val="1502234384"/>
          <w:tblCellSpacing w:w="0" w:type="dxa"/>
        </w:trPr>
        <w:tc>
          <w:tcPr>
            <w:tcW w:w="750" w:type="pct"/>
            <w:shd w:val="clear" w:color="auto" w:fill="FFFFFF"/>
            <w:vAlign w:val="bottom"/>
            <w:hideMark/>
          </w:tcPr>
          <w:p w14:paraId="2F033229" w14:textId="77777777" w:rsidR="00000000" w:rsidRDefault="00527094">
            <w:pPr>
              <w:pStyle w:val="a3"/>
              <w:spacing w:before="0" w:beforeAutospacing="0" w:after="0" w:afterAutospacing="0"/>
              <w:ind w:left="180"/>
              <w:rPr>
                <w:sz w:val="16"/>
                <w:szCs w:val="16"/>
              </w:rPr>
            </w:pPr>
            <w:r>
              <w:rPr>
                <w:sz w:val="16"/>
                <w:szCs w:val="16"/>
              </w:rPr>
              <w:t>Other comprehensive income:</w:t>
            </w:r>
          </w:p>
        </w:tc>
        <w:tc>
          <w:tcPr>
            <w:tcW w:w="50" w:type="pct"/>
            <w:shd w:val="clear" w:color="auto" w:fill="FFFFFF"/>
            <w:vAlign w:val="bottom"/>
            <w:hideMark/>
          </w:tcPr>
          <w:p w14:paraId="28A8215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12F2C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2F8614F"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1DB9E33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4DEAA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2FDB5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5FD7364"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0740896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1E36E6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107F8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CF82FEA"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7852D26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5E0A8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C628D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318C2F9"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17FCBDA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035DA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2C577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2241F82"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6ED9AFA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350D4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4A8A9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CB3DF76"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6B90574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704AF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F853A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AAECFF0"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1F6C1DF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C5E58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03DF6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F9E97C8"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6231CF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ECF85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007F2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71B72BB" w14:textId="77777777" w:rsidR="00000000" w:rsidRDefault="00527094">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14:paraId="530D4F2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A2F94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426F7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ABAEB11"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FD8C5EA" w14:textId="77777777" w:rsidR="00000000" w:rsidRDefault="00527094">
            <w:pPr>
              <w:rPr>
                <w:rFonts w:eastAsia="Times New Roman"/>
                <w:sz w:val="16"/>
                <w:szCs w:val="16"/>
              </w:rPr>
            </w:pPr>
            <w:r>
              <w:rPr>
                <w:rFonts w:eastAsia="Times New Roman"/>
                <w:sz w:val="16"/>
                <w:szCs w:val="16"/>
              </w:rPr>
              <w:t> </w:t>
            </w:r>
          </w:p>
        </w:tc>
      </w:tr>
      <w:tr w:rsidR="00527094" w14:paraId="377C8B5F" w14:textId="77777777">
        <w:trPr>
          <w:divId w:val="1502234384"/>
          <w:tblCellSpacing w:w="0" w:type="dxa"/>
        </w:trPr>
        <w:tc>
          <w:tcPr>
            <w:tcW w:w="750" w:type="pct"/>
            <w:shd w:val="clear" w:color="auto" w:fill="CCEEFF"/>
            <w:vAlign w:val="bottom"/>
            <w:hideMark/>
          </w:tcPr>
          <w:p w14:paraId="4DC427B4" w14:textId="77777777" w:rsidR="00000000" w:rsidRDefault="00527094">
            <w:pPr>
              <w:pStyle w:val="a3"/>
              <w:spacing w:before="0" w:beforeAutospacing="0" w:after="0" w:afterAutospacing="0"/>
              <w:ind w:left="360"/>
              <w:rPr>
                <w:sz w:val="16"/>
                <w:szCs w:val="16"/>
              </w:rPr>
            </w:pPr>
            <w:r>
              <w:rPr>
                <w:sz w:val="16"/>
                <w:szCs w:val="16"/>
              </w:rPr>
              <w:t>Change in unrealized loss on interest rate swap</w:t>
            </w:r>
          </w:p>
        </w:tc>
        <w:tc>
          <w:tcPr>
            <w:tcW w:w="50" w:type="pct"/>
            <w:shd w:val="clear" w:color="auto" w:fill="CCEEFF"/>
            <w:vAlign w:val="bottom"/>
            <w:hideMark/>
          </w:tcPr>
          <w:p w14:paraId="7933F71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9BDB6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B3C6CA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82167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8717B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A521B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30B54B4" w14:textId="77777777" w:rsidR="00000000" w:rsidRDefault="00527094">
            <w:pPr>
              <w:jc w:val="right"/>
              <w:rPr>
                <w:rFonts w:eastAsia="Times New Roman"/>
                <w:sz w:val="16"/>
                <w:szCs w:val="16"/>
              </w:rPr>
            </w:pPr>
            <w:r>
              <w:rPr>
                <w:rFonts w:eastAsia="Times New Roman"/>
                <w:sz w:val="16"/>
                <w:szCs w:val="16"/>
              </w:rPr>
              <w:t>416</w:t>
            </w:r>
          </w:p>
        </w:tc>
        <w:tc>
          <w:tcPr>
            <w:tcW w:w="50" w:type="pct"/>
            <w:shd w:val="clear" w:color="auto" w:fill="CCEEFF"/>
            <w:vAlign w:val="bottom"/>
            <w:hideMark/>
          </w:tcPr>
          <w:p w14:paraId="54BD547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5DE8E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BC4B3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99F7041"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4A2224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0A3EF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1E212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5EBDC4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46F096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C7A9E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CCD5E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D3715D2"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754D12B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D5142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733C9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CE8429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54ED37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12B8A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4271E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1195EC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5569FE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4090E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037B5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79F330F" w14:textId="77777777" w:rsidR="00000000" w:rsidRDefault="00527094">
            <w:pPr>
              <w:jc w:val="right"/>
              <w:rPr>
                <w:rFonts w:eastAsia="Times New Roman"/>
                <w:sz w:val="16"/>
                <w:szCs w:val="16"/>
              </w:rPr>
            </w:pPr>
            <w:r>
              <w:rPr>
                <w:rFonts w:eastAsia="Times New Roman"/>
                <w:sz w:val="16"/>
                <w:szCs w:val="16"/>
              </w:rPr>
              <w:t>416</w:t>
            </w:r>
          </w:p>
        </w:tc>
        <w:tc>
          <w:tcPr>
            <w:tcW w:w="50" w:type="pct"/>
            <w:shd w:val="clear" w:color="auto" w:fill="CCEEFF"/>
            <w:vAlign w:val="bottom"/>
            <w:hideMark/>
          </w:tcPr>
          <w:p w14:paraId="3176B5B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2623A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323593"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D3E30E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5E7DCE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B1327F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8F2287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D0669EA" w14:textId="77777777" w:rsidR="00000000" w:rsidRDefault="00527094">
            <w:pPr>
              <w:jc w:val="right"/>
              <w:rPr>
                <w:rFonts w:eastAsia="Times New Roman"/>
                <w:sz w:val="16"/>
                <w:szCs w:val="16"/>
              </w:rPr>
            </w:pPr>
            <w:r>
              <w:rPr>
                <w:rFonts w:eastAsia="Times New Roman"/>
                <w:sz w:val="16"/>
                <w:szCs w:val="16"/>
              </w:rPr>
              <w:t>416</w:t>
            </w:r>
          </w:p>
        </w:tc>
        <w:tc>
          <w:tcPr>
            <w:tcW w:w="50" w:type="pct"/>
            <w:shd w:val="clear" w:color="auto" w:fill="CCEEFF"/>
            <w:vAlign w:val="bottom"/>
            <w:hideMark/>
          </w:tcPr>
          <w:p w14:paraId="5A1A214E" w14:textId="77777777" w:rsidR="00000000" w:rsidRDefault="00527094">
            <w:pPr>
              <w:rPr>
                <w:rFonts w:eastAsia="Times New Roman"/>
                <w:sz w:val="16"/>
                <w:szCs w:val="16"/>
              </w:rPr>
            </w:pPr>
            <w:r>
              <w:rPr>
                <w:rFonts w:eastAsia="Times New Roman"/>
                <w:sz w:val="16"/>
                <w:szCs w:val="16"/>
              </w:rPr>
              <w:t> </w:t>
            </w:r>
          </w:p>
        </w:tc>
      </w:tr>
      <w:tr w:rsidR="00527094" w14:paraId="585BFD0E" w14:textId="77777777">
        <w:trPr>
          <w:divId w:val="1502234384"/>
          <w:tblCellSpacing w:w="0" w:type="dxa"/>
        </w:trPr>
        <w:tc>
          <w:tcPr>
            <w:tcW w:w="750" w:type="pct"/>
            <w:shd w:val="clear" w:color="auto" w:fill="FFFFFF"/>
            <w:vAlign w:val="bottom"/>
            <w:hideMark/>
          </w:tcPr>
          <w:p w14:paraId="3FFB93C7" w14:textId="77777777" w:rsidR="00000000" w:rsidRDefault="00527094">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14:paraId="3161121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FF92D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EB0E21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2DEC88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BEB42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A1264A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EAD549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A939FA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602E8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E66DC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30E389F"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39EF09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81DAD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B4D36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F1EEED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0BD481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840ED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3A68E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4D77076"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7802331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6EB3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DAAE4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C5C1FC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53CBEA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6C16C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B32DB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3ED48E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113939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11425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2A2E69"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9435E3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88154C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9EC52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FEB8C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C042A18" w14:textId="77777777" w:rsidR="00000000" w:rsidRDefault="00527094">
            <w:pPr>
              <w:jc w:val="right"/>
              <w:rPr>
                <w:rFonts w:eastAsia="Times New Roman"/>
                <w:sz w:val="16"/>
                <w:szCs w:val="16"/>
              </w:rPr>
            </w:pPr>
            <w:r>
              <w:rPr>
                <w:rFonts w:eastAsia="Times New Roman"/>
                <w:sz w:val="16"/>
                <w:szCs w:val="16"/>
              </w:rPr>
              <w:t>(185</w:t>
            </w:r>
          </w:p>
        </w:tc>
        <w:tc>
          <w:tcPr>
            <w:tcW w:w="50" w:type="pct"/>
            <w:shd w:val="clear" w:color="auto" w:fill="FFFFFF"/>
            <w:vAlign w:val="bottom"/>
            <w:hideMark/>
          </w:tcPr>
          <w:p w14:paraId="46CFDF91"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2FC0997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CC314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68AB8AC" w14:textId="77777777" w:rsidR="00000000" w:rsidRDefault="00527094">
            <w:pPr>
              <w:jc w:val="right"/>
              <w:rPr>
                <w:rFonts w:eastAsia="Times New Roman"/>
                <w:sz w:val="16"/>
                <w:szCs w:val="16"/>
              </w:rPr>
            </w:pPr>
            <w:r>
              <w:rPr>
                <w:rFonts w:eastAsia="Times New Roman"/>
                <w:sz w:val="16"/>
                <w:szCs w:val="16"/>
              </w:rPr>
              <w:t>(185</w:t>
            </w:r>
          </w:p>
        </w:tc>
        <w:tc>
          <w:tcPr>
            <w:tcW w:w="50" w:type="pct"/>
            <w:shd w:val="clear" w:color="auto" w:fill="FFFFFF"/>
            <w:vAlign w:val="bottom"/>
            <w:hideMark/>
          </w:tcPr>
          <w:p w14:paraId="22DB7674" w14:textId="77777777" w:rsidR="00000000" w:rsidRDefault="00527094">
            <w:pPr>
              <w:rPr>
                <w:rFonts w:eastAsia="Times New Roman"/>
                <w:sz w:val="16"/>
                <w:szCs w:val="16"/>
              </w:rPr>
            </w:pPr>
            <w:r>
              <w:rPr>
                <w:rFonts w:eastAsia="Times New Roman"/>
                <w:sz w:val="16"/>
                <w:szCs w:val="16"/>
              </w:rPr>
              <w:t>)</w:t>
            </w:r>
          </w:p>
        </w:tc>
      </w:tr>
      <w:tr w:rsidR="00527094" w14:paraId="624F18B9" w14:textId="77777777">
        <w:trPr>
          <w:divId w:val="1502234384"/>
          <w:tblCellSpacing w:w="0" w:type="dxa"/>
        </w:trPr>
        <w:tc>
          <w:tcPr>
            <w:tcW w:w="750" w:type="pct"/>
            <w:shd w:val="clear" w:color="auto" w:fill="CCEEFF"/>
            <w:vAlign w:val="bottom"/>
            <w:hideMark/>
          </w:tcPr>
          <w:p w14:paraId="5C07F5C6" w14:textId="77777777" w:rsidR="00000000" w:rsidRDefault="00527094">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14:paraId="386C982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15E73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854C530" w14:textId="77777777" w:rsidR="00000000" w:rsidRDefault="00527094">
            <w:pPr>
              <w:jc w:val="right"/>
              <w:rPr>
                <w:rFonts w:eastAsia="Times New Roman"/>
                <w:sz w:val="16"/>
                <w:szCs w:val="16"/>
              </w:rPr>
            </w:pPr>
            <w:r>
              <w:rPr>
                <w:rFonts w:eastAsia="Times New Roman"/>
                <w:sz w:val="16"/>
                <w:szCs w:val="16"/>
              </w:rPr>
              <w:t>(266,082</w:t>
            </w:r>
          </w:p>
        </w:tc>
        <w:tc>
          <w:tcPr>
            <w:tcW w:w="50" w:type="pct"/>
            <w:shd w:val="clear" w:color="auto" w:fill="CCEEFF"/>
            <w:vAlign w:val="bottom"/>
            <w:hideMark/>
          </w:tcPr>
          <w:p w14:paraId="071D747E"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100AC62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6007A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713655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E22BC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AEFF6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89693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39719EE"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36CAB85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0DFB1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67021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BC7160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FA5BC5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36A0A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BD309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AFD93C7"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5D1B165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356B7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6875D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97EA3F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A65C85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C2E07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29CD3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6B248E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0A3163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9714A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00A6C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A0C2027" w14:textId="77777777" w:rsidR="00000000" w:rsidRDefault="00527094">
            <w:pPr>
              <w:jc w:val="right"/>
              <w:rPr>
                <w:rFonts w:eastAsia="Times New Roman"/>
                <w:sz w:val="16"/>
                <w:szCs w:val="16"/>
              </w:rPr>
            </w:pPr>
            <w:r>
              <w:rPr>
                <w:rFonts w:eastAsia="Times New Roman"/>
                <w:sz w:val="16"/>
                <w:szCs w:val="16"/>
              </w:rPr>
              <w:t>(266,082</w:t>
            </w:r>
          </w:p>
        </w:tc>
        <w:tc>
          <w:tcPr>
            <w:tcW w:w="50" w:type="pct"/>
            <w:shd w:val="clear" w:color="auto" w:fill="CCEEFF"/>
            <w:vAlign w:val="bottom"/>
            <w:hideMark/>
          </w:tcPr>
          <w:p w14:paraId="2E3A40A0"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0BCE066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D873C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FDFB69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46CE2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42B6A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65667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F19394D" w14:textId="77777777" w:rsidR="00000000" w:rsidRDefault="00527094">
            <w:pPr>
              <w:jc w:val="right"/>
              <w:rPr>
                <w:rFonts w:eastAsia="Times New Roman"/>
                <w:sz w:val="16"/>
                <w:szCs w:val="16"/>
              </w:rPr>
            </w:pPr>
            <w:r>
              <w:rPr>
                <w:rFonts w:eastAsia="Times New Roman"/>
                <w:sz w:val="16"/>
                <w:szCs w:val="16"/>
              </w:rPr>
              <w:t>(266,082</w:t>
            </w:r>
          </w:p>
        </w:tc>
        <w:tc>
          <w:tcPr>
            <w:tcW w:w="50" w:type="pct"/>
            <w:shd w:val="clear" w:color="auto" w:fill="CCEEFF"/>
            <w:vAlign w:val="bottom"/>
            <w:hideMark/>
          </w:tcPr>
          <w:p w14:paraId="65B816C9" w14:textId="77777777" w:rsidR="00000000" w:rsidRDefault="00527094">
            <w:pPr>
              <w:rPr>
                <w:rFonts w:eastAsia="Times New Roman"/>
                <w:sz w:val="16"/>
                <w:szCs w:val="16"/>
              </w:rPr>
            </w:pPr>
            <w:r>
              <w:rPr>
                <w:rFonts w:eastAsia="Times New Roman"/>
                <w:sz w:val="16"/>
                <w:szCs w:val="16"/>
              </w:rPr>
              <w:t>)</w:t>
            </w:r>
          </w:p>
        </w:tc>
      </w:tr>
      <w:tr w:rsidR="00527094" w14:paraId="7CD0E42D" w14:textId="77777777">
        <w:trPr>
          <w:divId w:val="1502234384"/>
          <w:tblCellSpacing w:w="0" w:type="dxa"/>
        </w:trPr>
        <w:tc>
          <w:tcPr>
            <w:tcW w:w="750" w:type="pct"/>
            <w:shd w:val="clear" w:color="auto" w:fill="FFFFFF"/>
            <w:vAlign w:val="bottom"/>
            <w:hideMark/>
          </w:tcPr>
          <w:p w14:paraId="0F746D24" w14:textId="77777777" w:rsidR="00000000" w:rsidRDefault="00527094">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14:paraId="008BC23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A5898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59A9F1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7D63BE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C465A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7CB0F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F9E439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593800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A3384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B3BED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0ABE710"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7DCC1EC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C6EEC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C2FA4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F0808D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24765B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16CA6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5F4A2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BAC7C54"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532A8B4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2D872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A66F4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708ED8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C8C7CD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9D9A6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D3801A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8A561E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BA8BD4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71D34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C4765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BFC85C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1A5EB1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39384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311B5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9F1C140" w14:textId="77777777" w:rsidR="00000000" w:rsidRDefault="00527094">
            <w:pPr>
              <w:jc w:val="right"/>
              <w:rPr>
                <w:rFonts w:eastAsia="Times New Roman"/>
                <w:sz w:val="16"/>
                <w:szCs w:val="16"/>
              </w:rPr>
            </w:pPr>
            <w:r>
              <w:rPr>
                <w:rFonts w:eastAsia="Times New Roman"/>
                <w:sz w:val="16"/>
                <w:szCs w:val="16"/>
              </w:rPr>
              <w:t>(1,870</w:t>
            </w:r>
          </w:p>
        </w:tc>
        <w:tc>
          <w:tcPr>
            <w:tcW w:w="50" w:type="pct"/>
            <w:shd w:val="clear" w:color="auto" w:fill="FFFFFF"/>
            <w:vAlign w:val="bottom"/>
            <w:hideMark/>
          </w:tcPr>
          <w:p w14:paraId="5A8F9162"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50C9545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B54B1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40FC2FA" w14:textId="77777777" w:rsidR="00000000" w:rsidRDefault="00527094">
            <w:pPr>
              <w:jc w:val="right"/>
              <w:rPr>
                <w:rFonts w:eastAsia="Times New Roman"/>
                <w:sz w:val="16"/>
                <w:szCs w:val="16"/>
              </w:rPr>
            </w:pPr>
            <w:r>
              <w:rPr>
                <w:rFonts w:eastAsia="Times New Roman"/>
                <w:sz w:val="16"/>
                <w:szCs w:val="16"/>
              </w:rPr>
              <w:t>(1,870</w:t>
            </w:r>
          </w:p>
        </w:tc>
        <w:tc>
          <w:tcPr>
            <w:tcW w:w="50" w:type="pct"/>
            <w:shd w:val="clear" w:color="auto" w:fill="FFFFFF"/>
            <w:vAlign w:val="bottom"/>
            <w:hideMark/>
          </w:tcPr>
          <w:p w14:paraId="6BB794B5" w14:textId="77777777" w:rsidR="00000000" w:rsidRDefault="00527094">
            <w:pPr>
              <w:rPr>
                <w:rFonts w:eastAsia="Times New Roman"/>
                <w:sz w:val="16"/>
                <w:szCs w:val="16"/>
              </w:rPr>
            </w:pPr>
            <w:r>
              <w:rPr>
                <w:rFonts w:eastAsia="Times New Roman"/>
                <w:sz w:val="16"/>
                <w:szCs w:val="16"/>
              </w:rPr>
              <w:t>)</w:t>
            </w:r>
          </w:p>
        </w:tc>
      </w:tr>
      <w:tr w:rsidR="00527094" w14:paraId="2B66590E" w14:textId="77777777">
        <w:trPr>
          <w:divId w:val="1502234384"/>
          <w:tblCellSpacing w:w="0" w:type="dxa"/>
        </w:trPr>
        <w:tc>
          <w:tcPr>
            <w:tcW w:w="750" w:type="pct"/>
            <w:shd w:val="clear" w:color="auto" w:fill="CCEEFF"/>
            <w:vAlign w:val="bottom"/>
            <w:hideMark/>
          </w:tcPr>
          <w:p w14:paraId="74CE9F6F" w14:textId="77777777" w:rsidR="00000000" w:rsidRDefault="00527094">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14:paraId="35C766B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BCBBB9"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C7A6CF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FB41C5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B1490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B4B1CD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B9EE7C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A2FB98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EE4FC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7690C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79D114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FAC118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2A42B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4F118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35FF26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2E2762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DB031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1181A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7A80C1C" w14:textId="77777777" w:rsidR="00000000" w:rsidRDefault="00527094">
            <w:pPr>
              <w:jc w:val="right"/>
              <w:rPr>
                <w:rFonts w:eastAsia="Times New Roman"/>
                <w:sz w:val="16"/>
                <w:szCs w:val="16"/>
              </w:rPr>
            </w:pPr>
            <w:r>
              <w:rPr>
                <w:rFonts w:eastAsia="Times New Roman"/>
                <w:sz w:val="16"/>
                <w:szCs w:val="16"/>
              </w:rPr>
              <w:t>1,075</w:t>
            </w:r>
          </w:p>
        </w:tc>
        <w:tc>
          <w:tcPr>
            <w:tcW w:w="50" w:type="pct"/>
            <w:shd w:val="clear" w:color="auto" w:fill="CCEEFF"/>
            <w:vAlign w:val="bottom"/>
            <w:hideMark/>
          </w:tcPr>
          <w:p w14:paraId="74E54E3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F7394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5C23F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7DD95A6" w14:textId="77777777" w:rsidR="00000000" w:rsidRDefault="00527094">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14:paraId="1AC2DB2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5DEC1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37EDE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2AF6B52" w14:textId="77777777" w:rsidR="00000000" w:rsidRDefault="00527094">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14:paraId="4EB51AE7"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14D6025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245EB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B52FC5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9A71EF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5C04F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37F8D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250FF2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8587E5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F391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31B4B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9EDDFB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5AC3B29" w14:textId="77777777" w:rsidR="00000000" w:rsidRDefault="00527094">
            <w:pPr>
              <w:rPr>
                <w:rFonts w:eastAsia="Times New Roman"/>
                <w:sz w:val="16"/>
                <w:szCs w:val="16"/>
              </w:rPr>
            </w:pPr>
            <w:r>
              <w:rPr>
                <w:rFonts w:eastAsia="Times New Roman"/>
                <w:sz w:val="16"/>
                <w:szCs w:val="16"/>
              </w:rPr>
              <w:t> </w:t>
            </w:r>
          </w:p>
        </w:tc>
      </w:tr>
      <w:tr w:rsidR="00527094" w14:paraId="4121579E" w14:textId="77777777">
        <w:trPr>
          <w:divId w:val="1502234384"/>
          <w:tblCellSpacing w:w="0" w:type="dxa"/>
        </w:trPr>
        <w:tc>
          <w:tcPr>
            <w:tcW w:w="750" w:type="pct"/>
            <w:shd w:val="clear" w:color="auto" w:fill="FFFFFF"/>
            <w:vAlign w:val="bottom"/>
            <w:hideMark/>
          </w:tcPr>
          <w:p w14:paraId="10733AAA" w14:textId="77777777" w:rsidR="00000000" w:rsidRDefault="00527094">
            <w:pPr>
              <w:pStyle w:val="a3"/>
              <w:spacing w:before="0" w:beforeAutospacing="0" w:after="0" w:afterAutospacing="0"/>
              <w:rPr>
                <w:sz w:val="16"/>
                <w:szCs w:val="16"/>
              </w:rPr>
            </w:pPr>
            <w:r>
              <w:rPr>
                <w:sz w:val="16"/>
                <w:szCs w:val="16"/>
              </w:rPr>
              <w:t>Repurchase of common stock</w:t>
            </w:r>
          </w:p>
        </w:tc>
        <w:tc>
          <w:tcPr>
            <w:tcW w:w="50" w:type="pct"/>
            <w:shd w:val="clear" w:color="auto" w:fill="FFFFFF"/>
            <w:vAlign w:val="bottom"/>
            <w:hideMark/>
          </w:tcPr>
          <w:p w14:paraId="2F9E57A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95C84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532575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74D79E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4954F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24DC30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C40A77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765164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13CB4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6937F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594867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DF6B87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0F097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EBE7F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92EA34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D39DB1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97D3F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AB317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895D623" w14:textId="77777777" w:rsidR="00000000" w:rsidRDefault="00527094">
            <w:pPr>
              <w:jc w:val="right"/>
              <w:rPr>
                <w:rFonts w:eastAsia="Times New Roman"/>
                <w:sz w:val="16"/>
                <w:szCs w:val="16"/>
              </w:rPr>
            </w:pPr>
            <w:r>
              <w:rPr>
                <w:rFonts w:eastAsia="Times New Roman"/>
                <w:sz w:val="16"/>
                <w:szCs w:val="16"/>
              </w:rPr>
              <w:t>(5,100</w:t>
            </w:r>
          </w:p>
        </w:tc>
        <w:tc>
          <w:tcPr>
            <w:tcW w:w="50" w:type="pct"/>
            <w:shd w:val="clear" w:color="auto" w:fill="FFFFFF"/>
            <w:vAlign w:val="bottom"/>
            <w:hideMark/>
          </w:tcPr>
          <w:p w14:paraId="4744B4C3"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31D7719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2D4BA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1BD10ED" w14:textId="77777777" w:rsidR="00000000" w:rsidRDefault="00527094">
            <w:pPr>
              <w:jc w:val="right"/>
              <w:rPr>
                <w:rFonts w:eastAsia="Times New Roman"/>
                <w:sz w:val="16"/>
                <w:szCs w:val="16"/>
              </w:rPr>
            </w:pPr>
            <w:r>
              <w:rPr>
                <w:rFonts w:eastAsia="Times New Roman"/>
                <w:sz w:val="16"/>
                <w:szCs w:val="16"/>
              </w:rPr>
              <w:t>(51</w:t>
            </w:r>
          </w:p>
        </w:tc>
        <w:tc>
          <w:tcPr>
            <w:tcW w:w="50" w:type="pct"/>
            <w:shd w:val="clear" w:color="auto" w:fill="FFFFFF"/>
            <w:vAlign w:val="bottom"/>
            <w:hideMark/>
          </w:tcPr>
          <w:p w14:paraId="3D3F2F36"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3C02FFA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16D67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92DF4BC" w14:textId="77777777" w:rsidR="00000000" w:rsidRDefault="00527094">
            <w:pPr>
              <w:jc w:val="right"/>
              <w:rPr>
                <w:rFonts w:eastAsia="Times New Roman"/>
                <w:sz w:val="16"/>
                <w:szCs w:val="16"/>
              </w:rPr>
            </w:pPr>
            <w:r>
              <w:rPr>
                <w:rFonts w:eastAsia="Times New Roman"/>
                <w:sz w:val="16"/>
                <w:szCs w:val="16"/>
              </w:rPr>
              <w:t>(75,075</w:t>
            </w:r>
          </w:p>
        </w:tc>
        <w:tc>
          <w:tcPr>
            <w:tcW w:w="50" w:type="pct"/>
            <w:shd w:val="clear" w:color="auto" w:fill="FFFFFF"/>
            <w:vAlign w:val="bottom"/>
            <w:hideMark/>
          </w:tcPr>
          <w:p w14:paraId="3312ACE9"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6E802D9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62474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3567DF0" w14:textId="77777777" w:rsidR="00000000" w:rsidRDefault="00527094">
            <w:pPr>
              <w:jc w:val="right"/>
              <w:rPr>
                <w:rFonts w:eastAsia="Times New Roman"/>
                <w:sz w:val="16"/>
                <w:szCs w:val="16"/>
              </w:rPr>
            </w:pPr>
            <w:r>
              <w:rPr>
                <w:rFonts w:eastAsia="Times New Roman"/>
                <w:sz w:val="16"/>
                <w:szCs w:val="16"/>
              </w:rPr>
              <w:t>(75,126</w:t>
            </w:r>
          </w:p>
        </w:tc>
        <w:tc>
          <w:tcPr>
            <w:tcW w:w="50" w:type="pct"/>
            <w:shd w:val="clear" w:color="auto" w:fill="FFFFFF"/>
            <w:vAlign w:val="bottom"/>
            <w:hideMark/>
          </w:tcPr>
          <w:p w14:paraId="682A2AAA"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34B3AAB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A97BC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FFE9C2B"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5BA08D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F21D8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F63ED2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78DEFF2" w14:textId="77777777" w:rsidR="00000000" w:rsidRDefault="00527094">
            <w:pPr>
              <w:jc w:val="right"/>
              <w:rPr>
                <w:rFonts w:eastAsia="Times New Roman"/>
                <w:sz w:val="16"/>
                <w:szCs w:val="16"/>
              </w:rPr>
            </w:pPr>
            <w:r>
              <w:rPr>
                <w:rFonts w:eastAsia="Times New Roman"/>
                <w:sz w:val="16"/>
                <w:szCs w:val="16"/>
              </w:rPr>
              <w:t>(75,126</w:t>
            </w:r>
          </w:p>
        </w:tc>
        <w:tc>
          <w:tcPr>
            <w:tcW w:w="50" w:type="pct"/>
            <w:shd w:val="clear" w:color="auto" w:fill="FFFFFF"/>
            <w:vAlign w:val="bottom"/>
            <w:hideMark/>
          </w:tcPr>
          <w:p w14:paraId="1B3AFDA5" w14:textId="77777777" w:rsidR="00000000" w:rsidRDefault="00527094">
            <w:pPr>
              <w:rPr>
                <w:rFonts w:eastAsia="Times New Roman"/>
                <w:sz w:val="16"/>
                <w:szCs w:val="16"/>
              </w:rPr>
            </w:pPr>
            <w:r>
              <w:rPr>
                <w:rFonts w:eastAsia="Times New Roman"/>
                <w:sz w:val="16"/>
                <w:szCs w:val="16"/>
              </w:rPr>
              <w:t>)</w:t>
            </w:r>
          </w:p>
        </w:tc>
      </w:tr>
      <w:tr w:rsidR="00527094" w14:paraId="19AFB76E" w14:textId="77777777">
        <w:trPr>
          <w:divId w:val="1502234384"/>
          <w:tblCellSpacing w:w="0" w:type="dxa"/>
        </w:trPr>
        <w:tc>
          <w:tcPr>
            <w:tcW w:w="750" w:type="pct"/>
            <w:shd w:val="clear" w:color="auto" w:fill="CCEEFF"/>
            <w:vAlign w:val="bottom"/>
            <w:hideMark/>
          </w:tcPr>
          <w:p w14:paraId="372B1679" w14:textId="77777777" w:rsidR="00000000" w:rsidRDefault="00527094">
            <w:pPr>
              <w:pStyle w:val="a3"/>
              <w:spacing w:before="0" w:beforeAutospacing="0" w:after="0" w:afterAutospacing="0"/>
              <w:rPr>
                <w:sz w:val="16"/>
                <w:szCs w:val="16"/>
              </w:rPr>
            </w:pPr>
            <w:r>
              <w:rPr>
                <w:sz w:val="16"/>
                <w:szCs w:val="16"/>
              </w:rPr>
              <w:t>Surrender of restricted stock</w:t>
            </w:r>
          </w:p>
        </w:tc>
        <w:tc>
          <w:tcPr>
            <w:tcW w:w="50" w:type="pct"/>
            <w:shd w:val="clear" w:color="auto" w:fill="CCEEFF"/>
            <w:vAlign w:val="bottom"/>
            <w:hideMark/>
          </w:tcPr>
          <w:p w14:paraId="0B0A042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4D86F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B3E5EF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2CDB89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2E6B2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D217F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AEDC27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E4AD68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14DDD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8EA6E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2A55E5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D21A79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283B1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6F509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A72D6D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2A9D6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9F230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101A7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0D3126F" w14:textId="77777777" w:rsidR="00000000" w:rsidRDefault="00527094">
            <w:pPr>
              <w:jc w:val="right"/>
              <w:rPr>
                <w:rFonts w:eastAsia="Times New Roman"/>
                <w:sz w:val="16"/>
                <w:szCs w:val="16"/>
              </w:rPr>
            </w:pPr>
            <w:r>
              <w:rPr>
                <w:rFonts w:eastAsia="Times New Roman"/>
                <w:sz w:val="16"/>
                <w:szCs w:val="16"/>
              </w:rPr>
              <w:t>(236</w:t>
            </w:r>
          </w:p>
        </w:tc>
        <w:tc>
          <w:tcPr>
            <w:tcW w:w="50" w:type="pct"/>
            <w:shd w:val="clear" w:color="auto" w:fill="CCEEFF"/>
            <w:vAlign w:val="bottom"/>
            <w:hideMark/>
          </w:tcPr>
          <w:p w14:paraId="3C76D456"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35BCC0E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42600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E6A9FCA" w14:textId="77777777" w:rsidR="00000000" w:rsidRDefault="00527094">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14:paraId="5B8111E0"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0197A43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8332F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146D991" w14:textId="77777777" w:rsidR="00000000" w:rsidRDefault="00527094">
            <w:pPr>
              <w:jc w:val="right"/>
              <w:rPr>
                <w:rFonts w:eastAsia="Times New Roman"/>
                <w:sz w:val="16"/>
                <w:szCs w:val="16"/>
              </w:rPr>
            </w:pPr>
            <w:r>
              <w:rPr>
                <w:rFonts w:eastAsia="Times New Roman"/>
                <w:sz w:val="16"/>
                <w:szCs w:val="16"/>
              </w:rPr>
              <w:t>(3,490</w:t>
            </w:r>
          </w:p>
        </w:tc>
        <w:tc>
          <w:tcPr>
            <w:tcW w:w="50" w:type="pct"/>
            <w:shd w:val="clear" w:color="auto" w:fill="CCEEFF"/>
            <w:vAlign w:val="bottom"/>
            <w:hideMark/>
          </w:tcPr>
          <w:p w14:paraId="6615589E"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5BF58B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00933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F1C3565" w14:textId="77777777" w:rsidR="00000000" w:rsidRDefault="00527094">
            <w:pPr>
              <w:jc w:val="right"/>
              <w:rPr>
                <w:rFonts w:eastAsia="Times New Roman"/>
                <w:sz w:val="16"/>
                <w:szCs w:val="16"/>
              </w:rPr>
            </w:pPr>
            <w:r>
              <w:rPr>
                <w:rFonts w:eastAsia="Times New Roman"/>
                <w:sz w:val="16"/>
                <w:szCs w:val="16"/>
              </w:rPr>
              <w:t>(3,492</w:t>
            </w:r>
          </w:p>
        </w:tc>
        <w:tc>
          <w:tcPr>
            <w:tcW w:w="50" w:type="pct"/>
            <w:shd w:val="clear" w:color="auto" w:fill="CCEEFF"/>
            <w:vAlign w:val="bottom"/>
            <w:hideMark/>
          </w:tcPr>
          <w:p w14:paraId="48390EC6"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4FF8ACC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0928E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47230B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BC44C7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4B6B64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7C2A2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669B18D" w14:textId="77777777" w:rsidR="00000000" w:rsidRDefault="00527094">
            <w:pPr>
              <w:jc w:val="right"/>
              <w:rPr>
                <w:rFonts w:eastAsia="Times New Roman"/>
                <w:sz w:val="16"/>
                <w:szCs w:val="16"/>
              </w:rPr>
            </w:pPr>
            <w:r>
              <w:rPr>
                <w:rFonts w:eastAsia="Times New Roman"/>
                <w:sz w:val="16"/>
                <w:szCs w:val="16"/>
              </w:rPr>
              <w:t>(3,492</w:t>
            </w:r>
          </w:p>
        </w:tc>
        <w:tc>
          <w:tcPr>
            <w:tcW w:w="50" w:type="pct"/>
            <w:shd w:val="clear" w:color="auto" w:fill="CCEEFF"/>
            <w:vAlign w:val="bottom"/>
            <w:hideMark/>
          </w:tcPr>
          <w:p w14:paraId="1FCD151D" w14:textId="77777777" w:rsidR="00000000" w:rsidRDefault="00527094">
            <w:pPr>
              <w:rPr>
                <w:rFonts w:eastAsia="Times New Roman"/>
                <w:sz w:val="16"/>
                <w:szCs w:val="16"/>
              </w:rPr>
            </w:pPr>
            <w:r>
              <w:rPr>
                <w:rFonts w:eastAsia="Times New Roman"/>
                <w:sz w:val="16"/>
                <w:szCs w:val="16"/>
              </w:rPr>
              <w:t>)</w:t>
            </w:r>
          </w:p>
        </w:tc>
      </w:tr>
      <w:tr w:rsidR="00527094" w14:paraId="39999888" w14:textId="77777777">
        <w:trPr>
          <w:divId w:val="1502234384"/>
          <w:tblCellSpacing w:w="0" w:type="dxa"/>
        </w:trPr>
        <w:tc>
          <w:tcPr>
            <w:tcW w:w="750" w:type="pct"/>
            <w:shd w:val="clear" w:color="auto" w:fill="FFFFFF"/>
            <w:vAlign w:val="bottom"/>
            <w:hideMark/>
          </w:tcPr>
          <w:p w14:paraId="051CABCA" w14:textId="77777777" w:rsidR="00000000" w:rsidRDefault="00527094">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14:paraId="37F71A0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AE80D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A91B37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29DA8C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60B3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C02FF6"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CFCE13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C589D3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E946DE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49C4E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C12FD4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F8A505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3946D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5F7E2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2773BB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339BE8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4E467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F1F06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EA0DA4A" w14:textId="77777777" w:rsidR="00000000" w:rsidRDefault="00527094">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14:paraId="5BE3235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CEE3D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07B44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99AF2D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862D1A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2130D9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FD9D6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F8CEEDC" w14:textId="77777777" w:rsidR="00000000" w:rsidRDefault="00527094">
            <w:pPr>
              <w:jc w:val="right"/>
              <w:rPr>
                <w:rFonts w:eastAsia="Times New Roman"/>
                <w:sz w:val="16"/>
                <w:szCs w:val="16"/>
              </w:rPr>
            </w:pPr>
            <w:r>
              <w:rPr>
                <w:rFonts w:eastAsia="Times New Roman"/>
                <w:sz w:val="16"/>
                <w:szCs w:val="16"/>
              </w:rPr>
              <w:t>30</w:t>
            </w:r>
          </w:p>
        </w:tc>
        <w:tc>
          <w:tcPr>
            <w:tcW w:w="50" w:type="pct"/>
            <w:shd w:val="clear" w:color="auto" w:fill="FFFFFF"/>
            <w:vAlign w:val="bottom"/>
            <w:hideMark/>
          </w:tcPr>
          <w:p w14:paraId="1CB4316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D93C0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E1988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0A69DFC" w14:textId="77777777" w:rsidR="00000000" w:rsidRDefault="00527094">
            <w:pPr>
              <w:jc w:val="right"/>
              <w:rPr>
                <w:rFonts w:eastAsia="Times New Roman"/>
                <w:sz w:val="16"/>
                <w:szCs w:val="16"/>
              </w:rPr>
            </w:pPr>
            <w:r>
              <w:rPr>
                <w:rFonts w:eastAsia="Times New Roman"/>
                <w:sz w:val="16"/>
                <w:szCs w:val="16"/>
              </w:rPr>
              <w:t>30</w:t>
            </w:r>
          </w:p>
        </w:tc>
        <w:tc>
          <w:tcPr>
            <w:tcW w:w="50" w:type="pct"/>
            <w:shd w:val="clear" w:color="auto" w:fill="FFFFFF"/>
            <w:vAlign w:val="bottom"/>
            <w:hideMark/>
          </w:tcPr>
          <w:p w14:paraId="0307A61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7B762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70A00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9B8A9B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C54155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C3A37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62E58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90CF31E" w14:textId="77777777" w:rsidR="00000000" w:rsidRDefault="00527094">
            <w:pPr>
              <w:jc w:val="right"/>
              <w:rPr>
                <w:rFonts w:eastAsia="Times New Roman"/>
                <w:sz w:val="16"/>
                <w:szCs w:val="16"/>
              </w:rPr>
            </w:pPr>
            <w:r>
              <w:rPr>
                <w:rFonts w:eastAsia="Times New Roman"/>
                <w:sz w:val="16"/>
                <w:szCs w:val="16"/>
              </w:rPr>
              <w:t>30</w:t>
            </w:r>
          </w:p>
        </w:tc>
        <w:tc>
          <w:tcPr>
            <w:tcW w:w="50" w:type="pct"/>
            <w:shd w:val="clear" w:color="auto" w:fill="FFFFFF"/>
            <w:vAlign w:val="bottom"/>
            <w:hideMark/>
          </w:tcPr>
          <w:p w14:paraId="10D795C6" w14:textId="77777777" w:rsidR="00000000" w:rsidRDefault="00527094">
            <w:pPr>
              <w:rPr>
                <w:rFonts w:eastAsia="Times New Roman"/>
                <w:sz w:val="16"/>
                <w:szCs w:val="16"/>
              </w:rPr>
            </w:pPr>
            <w:r>
              <w:rPr>
                <w:rFonts w:eastAsia="Times New Roman"/>
                <w:sz w:val="16"/>
                <w:szCs w:val="16"/>
              </w:rPr>
              <w:t> </w:t>
            </w:r>
          </w:p>
        </w:tc>
      </w:tr>
      <w:tr w:rsidR="00527094" w14:paraId="0C803860" w14:textId="77777777">
        <w:trPr>
          <w:divId w:val="1502234384"/>
          <w:tblCellSpacing w:w="0" w:type="dxa"/>
        </w:trPr>
        <w:tc>
          <w:tcPr>
            <w:tcW w:w="750" w:type="pct"/>
            <w:shd w:val="clear" w:color="auto" w:fill="CCEEFF"/>
            <w:vAlign w:val="bottom"/>
            <w:hideMark/>
          </w:tcPr>
          <w:p w14:paraId="547D7DCF" w14:textId="77777777" w:rsidR="00000000" w:rsidRDefault="00527094">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14:paraId="6D50575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32DEE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09EE09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A1A1CE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D397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77EF9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A2EFF7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80B7E5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FB21C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4BBC6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0870DC9"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1828C07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6C9D5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DE474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561AC7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F21144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13247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6984D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B1A6076"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7DF361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EB061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55DAB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BB3FB5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2BE0B2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BF9DC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14D2B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AE517F0" w14:textId="77777777" w:rsidR="00000000" w:rsidRDefault="00527094">
            <w:pPr>
              <w:jc w:val="right"/>
              <w:rPr>
                <w:rFonts w:eastAsia="Times New Roman"/>
                <w:sz w:val="16"/>
                <w:szCs w:val="16"/>
              </w:rPr>
            </w:pPr>
            <w:r>
              <w:rPr>
                <w:rFonts w:eastAsia="Times New Roman"/>
                <w:sz w:val="16"/>
                <w:szCs w:val="16"/>
              </w:rPr>
              <w:t>9,329</w:t>
            </w:r>
          </w:p>
        </w:tc>
        <w:tc>
          <w:tcPr>
            <w:tcW w:w="50" w:type="pct"/>
            <w:shd w:val="clear" w:color="auto" w:fill="CCEEFF"/>
            <w:vAlign w:val="bottom"/>
            <w:hideMark/>
          </w:tcPr>
          <w:p w14:paraId="51D4416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DD155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892C3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B71D986" w14:textId="77777777" w:rsidR="00000000" w:rsidRDefault="00527094">
            <w:pPr>
              <w:jc w:val="right"/>
              <w:rPr>
                <w:rFonts w:eastAsia="Times New Roman"/>
                <w:sz w:val="16"/>
                <w:szCs w:val="16"/>
              </w:rPr>
            </w:pPr>
            <w:r>
              <w:rPr>
                <w:rFonts w:eastAsia="Times New Roman"/>
                <w:sz w:val="16"/>
                <w:szCs w:val="16"/>
              </w:rPr>
              <w:t>9,329</w:t>
            </w:r>
          </w:p>
        </w:tc>
        <w:tc>
          <w:tcPr>
            <w:tcW w:w="50" w:type="pct"/>
            <w:shd w:val="clear" w:color="auto" w:fill="CCEEFF"/>
            <w:vAlign w:val="bottom"/>
            <w:hideMark/>
          </w:tcPr>
          <w:p w14:paraId="59B2D5A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BB37C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573AB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E74302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A6858D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2599B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87826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2A2CA10" w14:textId="77777777" w:rsidR="00000000" w:rsidRDefault="00527094">
            <w:pPr>
              <w:jc w:val="right"/>
              <w:rPr>
                <w:rFonts w:eastAsia="Times New Roman"/>
                <w:sz w:val="16"/>
                <w:szCs w:val="16"/>
              </w:rPr>
            </w:pPr>
            <w:r>
              <w:rPr>
                <w:rFonts w:eastAsia="Times New Roman"/>
                <w:sz w:val="16"/>
                <w:szCs w:val="16"/>
              </w:rPr>
              <w:t>9,329</w:t>
            </w:r>
          </w:p>
        </w:tc>
        <w:tc>
          <w:tcPr>
            <w:tcW w:w="50" w:type="pct"/>
            <w:shd w:val="clear" w:color="auto" w:fill="CCEEFF"/>
            <w:vAlign w:val="bottom"/>
            <w:hideMark/>
          </w:tcPr>
          <w:p w14:paraId="1A2EB270" w14:textId="77777777" w:rsidR="00000000" w:rsidRDefault="00527094">
            <w:pPr>
              <w:rPr>
                <w:rFonts w:eastAsia="Times New Roman"/>
                <w:sz w:val="16"/>
                <w:szCs w:val="16"/>
              </w:rPr>
            </w:pPr>
            <w:r>
              <w:rPr>
                <w:rFonts w:eastAsia="Times New Roman"/>
                <w:sz w:val="16"/>
                <w:szCs w:val="16"/>
              </w:rPr>
              <w:t> </w:t>
            </w:r>
          </w:p>
        </w:tc>
      </w:tr>
      <w:tr w:rsidR="00527094" w14:paraId="2F4F042E" w14:textId="77777777">
        <w:trPr>
          <w:divId w:val="1502234384"/>
          <w:tblCellSpacing w:w="0" w:type="dxa"/>
        </w:trPr>
        <w:tc>
          <w:tcPr>
            <w:tcW w:w="750" w:type="pct"/>
            <w:shd w:val="clear" w:color="auto" w:fill="FFFFFF"/>
            <w:vAlign w:val="bottom"/>
            <w:hideMark/>
          </w:tcPr>
          <w:p w14:paraId="2DFF6B81" w14:textId="77777777" w:rsidR="00000000" w:rsidRDefault="00527094">
            <w:pPr>
              <w:pStyle w:val="a3"/>
              <w:spacing w:before="0" w:beforeAutospacing="0" w:after="0" w:afterAutospacing="0"/>
              <w:rPr>
                <w:sz w:val="16"/>
                <w:szCs w:val="16"/>
              </w:rPr>
            </w:pPr>
            <w:r>
              <w:rPr>
                <w:sz w:val="16"/>
                <w:szCs w:val="16"/>
              </w:rPr>
              <w:t>Issuance of preferred stock</w:t>
            </w:r>
          </w:p>
        </w:tc>
        <w:tc>
          <w:tcPr>
            <w:tcW w:w="50" w:type="pct"/>
            <w:shd w:val="clear" w:color="auto" w:fill="FFFFFF"/>
            <w:vAlign w:val="bottom"/>
            <w:hideMark/>
          </w:tcPr>
          <w:p w14:paraId="3ACC094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8CEBB1"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93ACBA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FA3A42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DD47F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1E490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3E4BF9A"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9974EF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BE03C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A4725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FC252A8" w14:textId="77777777" w:rsidR="00000000" w:rsidRDefault="00527094">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14:paraId="0CE9F0F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CD156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BB180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F9608A1" w14:textId="77777777" w:rsidR="00000000" w:rsidRDefault="00527094">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14:paraId="49D5EFE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60CAC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50230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05CFBF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A3A271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F97AD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4EA3E7B"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96BCD4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7ADDE8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3F99F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01A0C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48186D2" w14:textId="77777777" w:rsidR="00000000" w:rsidRDefault="00527094">
            <w:pPr>
              <w:jc w:val="right"/>
              <w:rPr>
                <w:rFonts w:eastAsia="Times New Roman"/>
                <w:sz w:val="16"/>
                <w:szCs w:val="16"/>
              </w:rPr>
            </w:pPr>
            <w:r>
              <w:rPr>
                <w:rFonts w:eastAsia="Times New Roman"/>
                <w:sz w:val="16"/>
                <w:szCs w:val="16"/>
              </w:rPr>
              <w:t>33,112</w:t>
            </w:r>
          </w:p>
        </w:tc>
        <w:tc>
          <w:tcPr>
            <w:tcW w:w="50" w:type="pct"/>
            <w:shd w:val="clear" w:color="auto" w:fill="FFFFFF"/>
            <w:vAlign w:val="bottom"/>
            <w:hideMark/>
          </w:tcPr>
          <w:p w14:paraId="281E1DA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6450C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7BDC93"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7C9DE07" w14:textId="77777777" w:rsidR="00000000" w:rsidRDefault="00527094">
            <w:pPr>
              <w:jc w:val="right"/>
              <w:rPr>
                <w:rFonts w:eastAsia="Times New Roman"/>
                <w:sz w:val="16"/>
                <w:szCs w:val="16"/>
              </w:rPr>
            </w:pPr>
            <w:r>
              <w:rPr>
                <w:rFonts w:eastAsia="Times New Roman"/>
                <w:sz w:val="16"/>
                <w:szCs w:val="16"/>
              </w:rPr>
              <w:t>33,114</w:t>
            </w:r>
          </w:p>
        </w:tc>
        <w:tc>
          <w:tcPr>
            <w:tcW w:w="50" w:type="pct"/>
            <w:shd w:val="clear" w:color="auto" w:fill="FFFFFF"/>
            <w:vAlign w:val="bottom"/>
            <w:hideMark/>
          </w:tcPr>
          <w:p w14:paraId="5657784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AEFFE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9D451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471933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42AC1C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58229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32EE8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BF50FA0" w14:textId="77777777" w:rsidR="00000000" w:rsidRDefault="00527094">
            <w:pPr>
              <w:jc w:val="right"/>
              <w:rPr>
                <w:rFonts w:eastAsia="Times New Roman"/>
                <w:sz w:val="16"/>
                <w:szCs w:val="16"/>
              </w:rPr>
            </w:pPr>
            <w:r>
              <w:rPr>
                <w:rFonts w:eastAsia="Times New Roman"/>
                <w:sz w:val="16"/>
                <w:szCs w:val="16"/>
              </w:rPr>
              <w:t>33,114</w:t>
            </w:r>
          </w:p>
        </w:tc>
        <w:tc>
          <w:tcPr>
            <w:tcW w:w="50" w:type="pct"/>
            <w:shd w:val="clear" w:color="auto" w:fill="FFFFFF"/>
            <w:vAlign w:val="bottom"/>
            <w:hideMark/>
          </w:tcPr>
          <w:p w14:paraId="13654684" w14:textId="77777777" w:rsidR="00000000" w:rsidRDefault="00527094">
            <w:pPr>
              <w:rPr>
                <w:rFonts w:eastAsia="Times New Roman"/>
                <w:sz w:val="16"/>
                <w:szCs w:val="16"/>
              </w:rPr>
            </w:pPr>
            <w:r>
              <w:rPr>
                <w:rFonts w:eastAsia="Times New Roman"/>
                <w:sz w:val="16"/>
                <w:szCs w:val="16"/>
              </w:rPr>
              <w:t> </w:t>
            </w:r>
          </w:p>
        </w:tc>
      </w:tr>
      <w:tr w:rsidR="00527094" w14:paraId="44592A80" w14:textId="77777777">
        <w:trPr>
          <w:divId w:val="1502234384"/>
          <w:tblCellSpacing w:w="0" w:type="dxa"/>
        </w:trPr>
        <w:tc>
          <w:tcPr>
            <w:tcW w:w="750" w:type="pct"/>
            <w:shd w:val="clear" w:color="auto" w:fill="CCEEFF"/>
            <w:vAlign w:val="bottom"/>
            <w:hideMark/>
          </w:tcPr>
          <w:p w14:paraId="05602478" w14:textId="77777777" w:rsidR="00000000" w:rsidRDefault="00527094">
            <w:pPr>
              <w:pStyle w:val="a3"/>
              <w:spacing w:before="0" w:beforeAutospacing="0" w:after="0" w:afterAutospacing="0"/>
              <w:rPr>
                <w:sz w:val="16"/>
                <w:szCs w:val="16"/>
              </w:rPr>
            </w:pPr>
            <w:r>
              <w:rPr>
                <w:sz w:val="16"/>
                <w:szCs w:val="16"/>
              </w:rPr>
              <w:t>Acquisition/deconsolidation of noncontrolling interests</w:t>
            </w:r>
          </w:p>
        </w:tc>
        <w:tc>
          <w:tcPr>
            <w:tcW w:w="50" w:type="pct"/>
            <w:shd w:val="clear" w:color="auto" w:fill="CCEEFF"/>
            <w:tcMar>
              <w:top w:w="0" w:type="dxa"/>
              <w:left w:w="0" w:type="dxa"/>
              <w:bottom w:w="15" w:type="dxa"/>
              <w:right w:w="0" w:type="dxa"/>
            </w:tcMar>
            <w:vAlign w:val="bottom"/>
            <w:hideMark/>
          </w:tcPr>
          <w:p w14:paraId="5463B53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02B9324"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72B87A3B"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2A362571"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A472B33"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7514ADA"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24B14279"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3F4FD50E"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4AD3D4B"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51563D4"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10A37FFB"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6B7169FE"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8FC1CBF"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AE7C5BE"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899FBB1"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36597DE8"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240077F"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D6C614A"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11DD18AC"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6A082838"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5FBCCDA"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7EE9F3D"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585FAB0B"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931B490"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2E8E3E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B7C3531"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57116095" w14:textId="77777777" w:rsidR="00000000" w:rsidRDefault="00527094">
            <w:pPr>
              <w:jc w:val="right"/>
              <w:rPr>
                <w:rFonts w:eastAsia="Times New Roman"/>
                <w:sz w:val="16"/>
                <w:szCs w:val="16"/>
              </w:rPr>
            </w:pPr>
            <w:r>
              <w:rPr>
                <w:rFonts w:eastAsia="Times New Roman"/>
                <w:sz w:val="16"/>
                <w:szCs w:val="16"/>
              </w:rPr>
              <w:t>1,203</w:t>
            </w:r>
          </w:p>
        </w:tc>
        <w:tc>
          <w:tcPr>
            <w:tcW w:w="50" w:type="pct"/>
            <w:tcBorders>
              <w:bottom w:val="single" w:sz="6" w:space="0" w:color="000000"/>
            </w:tcBorders>
            <w:shd w:val="clear" w:color="auto" w:fill="CCEEFF"/>
            <w:vAlign w:val="bottom"/>
            <w:hideMark/>
          </w:tcPr>
          <w:p w14:paraId="50B30E6B"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03CF3FE"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D6917F0"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03C822AA" w14:textId="77777777" w:rsidR="00000000" w:rsidRDefault="00527094">
            <w:pPr>
              <w:jc w:val="right"/>
              <w:rPr>
                <w:rFonts w:eastAsia="Times New Roman"/>
                <w:sz w:val="16"/>
                <w:szCs w:val="16"/>
              </w:rPr>
            </w:pPr>
            <w:r>
              <w:rPr>
                <w:rFonts w:eastAsia="Times New Roman"/>
                <w:sz w:val="16"/>
                <w:szCs w:val="16"/>
              </w:rPr>
              <w:t>1,203</w:t>
            </w:r>
          </w:p>
        </w:tc>
        <w:tc>
          <w:tcPr>
            <w:tcW w:w="50" w:type="pct"/>
            <w:tcBorders>
              <w:bottom w:val="single" w:sz="6" w:space="0" w:color="000000"/>
            </w:tcBorders>
            <w:shd w:val="clear" w:color="auto" w:fill="CCEEFF"/>
            <w:vAlign w:val="bottom"/>
            <w:hideMark/>
          </w:tcPr>
          <w:p w14:paraId="2FE698C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C7F7C3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1CCD167"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298A0F39" w14:textId="77777777" w:rsidR="00000000" w:rsidRDefault="00527094">
            <w:pPr>
              <w:jc w:val="right"/>
              <w:rPr>
                <w:rFonts w:eastAsia="Times New Roman"/>
                <w:sz w:val="16"/>
                <w:szCs w:val="16"/>
              </w:rPr>
            </w:pPr>
            <w:r>
              <w:rPr>
                <w:rFonts w:eastAsia="Times New Roman"/>
                <w:sz w:val="16"/>
                <w:szCs w:val="16"/>
              </w:rPr>
              <w:t>(48,395</w:t>
            </w:r>
          </w:p>
        </w:tc>
        <w:tc>
          <w:tcPr>
            <w:tcW w:w="50" w:type="pct"/>
            <w:tcBorders>
              <w:bottom w:val="single" w:sz="6" w:space="0" w:color="000000"/>
            </w:tcBorders>
            <w:shd w:val="clear" w:color="auto" w:fill="CCEEFF"/>
            <w:vAlign w:val="bottom"/>
            <w:hideMark/>
          </w:tcPr>
          <w:p w14:paraId="3076B708" w14:textId="77777777" w:rsidR="00000000" w:rsidRDefault="0052709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55876A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DCD198C"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0059D5C6" w14:textId="77777777" w:rsidR="00000000" w:rsidRDefault="00527094">
            <w:pPr>
              <w:jc w:val="right"/>
              <w:rPr>
                <w:rFonts w:eastAsia="Times New Roman"/>
                <w:sz w:val="16"/>
                <w:szCs w:val="16"/>
              </w:rPr>
            </w:pPr>
            <w:r>
              <w:rPr>
                <w:rFonts w:eastAsia="Times New Roman"/>
                <w:sz w:val="16"/>
                <w:szCs w:val="16"/>
              </w:rPr>
              <w:t>(47,192</w:t>
            </w:r>
          </w:p>
        </w:tc>
        <w:tc>
          <w:tcPr>
            <w:tcW w:w="50" w:type="pct"/>
            <w:shd w:val="clear" w:color="auto" w:fill="CCEEFF"/>
            <w:tcMar>
              <w:top w:w="0" w:type="dxa"/>
              <w:left w:w="0" w:type="dxa"/>
              <w:bottom w:w="15" w:type="dxa"/>
              <w:right w:w="0" w:type="dxa"/>
            </w:tcMar>
            <w:vAlign w:val="bottom"/>
            <w:hideMark/>
          </w:tcPr>
          <w:p w14:paraId="116AAC1A" w14:textId="77777777" w:rsidR="00000000" w:rsidRDefault="00527094">
            <w:pPr>
              <w:rPr>
                <w:rFonts w:eastAsia="Times New Roman"/>
                <w:sz w:val="16"/>
                <w:szCs w:val="16"/>
              </w:rPr>
            </w:pPr>
            <w:r>
              <w:rPr>
                <w:rFonts w:eastAsia="Times New Roman"/>
                <w:sz w:val="16"/>
                <w:szCs w:val="16"/>
              </w:rPr>
              <w:t>)</w:t>
            </w:r>
          </w:p>
        </w:tc>
      </w:tr>
      <w:tr w:rsidR="00527094" w14:paraId="58E58FDD" w14:textId="77777777">
        <w:trPr>
          <w:divId w:val="1502234384"/>
          <w:tblCellSpacing w:w="0" w:type="dxa"/>
        </w:trPr>
        <w:tc>
          <w:tcPr>
            <w:tcW w:w="750" w:type="pct"/>
            <w:shd w:val="clear" w:color="auto" w:fill="FFFFFF"/>
            <w:vAlign w:val="bottom"/>
            <w:hideMark/>
          </w:tcPr>
          <w:p w14:paraId="2BC05C88" w14:textId="77777777" w:rsidR="00000000" w:rsidRDefault="00527094">
            <w:pPr>
              <w:pStyle w:val="a3"/>
              <w:spacing w:before="0" w:beforeAutospacing="0" w:after="0" w:afterAutospacing="0"/>
              <w:rPr>
                <w:sz w:val="16"/>
                <w:szCs w:val="16"/>
              </w:rPr>
            </w:pPr>
            <w:r>
              <w:rPr>
                <w:sz w:val="16"/>
                <w:szCs w:val="16"/>
              </w:rPr>
              <w:t>Balance at June 30, 2018</w:t>
            </w:r>
          </w:p>
        </w:tc>
        <w:tc>
          <w:tcPr>
            <w:tcW w:w="50" w:type="pct"/>
            <w:shd w:val="clear" w:color="auto" w:fill="FFFFFF"/>
            <w:vAlign w:val="bottom"/>
            <w:hideMark/>
          </w:tcPr>
          <w:p w14:paraId="0DAA85E8"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1DFC71B"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60E64EFE" w14:textId="77777777" w:rsidR="00000000" w:rsidRDefault="00527094">
            <w:pPr>
              <w:jc w:val="right"/>
              <w:rPr>
                <w:rFonts w:eastAsia="Times New Roman"/>
                <w:sz w:val="16"/>
                <w:szCs w:val="16"/>
              </w:rPr>
            </w:pPr>
            <w:r>
              <w:rPr>
                <w:rFonts w:eastAsia="Times New Roman"/>
                <w:sz w:val="16"/>
                <w:szCs w:val="16"/>
              </w:rPr>
              <w:t>(710,981</w:t>
            </w:r>
          </w:p>
        </w:tc>
        <w:tc>
          <w:tcPr>
            <w:tcW w:w="50" w:type="pct"/>
            <w:tcBorders>
              <w:bottom w:val="double" w:sz="6" w:space="0" w:color="000000"/>
            </w:tcBorders>
            <w:shd w:val="clear" w:color="auto" w:fill="FFFFFF"/>
            <w:vAlign w:val="bottom"/>
            <w:hideMark/>
          </w:tcPr>
          <w:p w14:paraId="7E714D99" w14:textId="77777777" w:rsidR="00000000" w:rsidRDefault="0052709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5BBAD2ED"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93AC11D"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4E0F4868" w14:textId="77777777" w:rsidR="00000000" w:rsidRDefault="00527094">
            <w:pPr>
              <w:jc w:val="right"/>
              <w:rPr>
                <w:rFonts w:eastAsia="Times New Roman"/>
                <w:sz w:val="16"/>
                <w:szCs w:val="16"/>
              </w:rPr>
            </w:pPr>
            <w:r>
              <w:rPr>
                <w:rFonts w:eastAsia="Times New Roman"/>
                <w:sz w:val="16"/>
                <w:szCs w:val="16"/>
              </w:rPr>
              <w:t>72</w:t>
            </w:r>
          </w:p>
        </w:tc>
        <w:tc>
          <w:tcPr>
            <w:tcW w:w="50" w:type="pct"/>
            <w:tcBorders>
              <w:bottom w:val="double" w:sz="6" w:space="0" w:color="000000"/>
            </w:tcBorders>
            <w:shd w:val="clear" w:color="auto" w:fill="FFFFFF"/>
            <w:vAlign w:val="bottom"/>
            <w:hideMark/>
          </w:tcPr>
          <w:p w14:paraId="3B599393"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67F476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BE3A59F"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37557ED5"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65EF8273"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06C6426"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94ACEA2"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55E60BF8"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7566113E"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7B063CB"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4F14EB7"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6865B8DD" w14:textId="77777777" w:rsidR="00000000" w:rsidRDefault="00527094">
            <w:pPr>
              <w:jc w:val="right"/>
              <w:rPr>
                <w:rFonts w:eastAsia="Times New Roman"/>
                <w:sz w:val="16"/>
                <w:szCs w:val="16"/>
              </w:rPr>
            </w:pPr>
            <w:r>
              <w:rPr>
                <w:rFonts w:eastAsia="Times New Roman"/>
                <w:sz w:val="16"/>
                <w:szCs w:val="16"/>
              </w:rPr>
              <w:t>421,388</w:t>
            </w:r>
          </w:p>
        </w:tc>
        <w:tc>
          <w:tcPr>
            <w:tcW w:w="50" w:type="pct"/>
            <w:tcBorders>
              <w:bottom w:val="double" w:sz="6" w:space="0" w:color="000000"/>
            </w:tcBorders>
            <w:shd w:val="clear" w:color="auto" w:fill="FFFFFF"/>
            <w:vAlign w:val="bottom"/>
            <w:hideMark/>
          </w:tcPr>
          <w:p w14:paraId="2171F631"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BFE6B9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A72B674"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7DCE733A" w14:textId="77777777" w:rsidR="00000000" w:rsidRDefault="00527094">
            <w:pPr>
              <w:jc w:val="right"/>
              <w:rPr>
                <w:rFonts w:eastAsia="Times New Roman"/>
                <w:sz w:val="16"/>
                <w:szCs w:val="16"/>
              </w:rPr>
            </w:pPr>
            <w:r>
              <w:rPr>
                <w:rFonts w:eastAsia="Times New Roman"/>
                <w:sz w:val="16"/>
                <w:szCs w:val="16"/>
              </w:rPr>
              <w:t>4,214</w:t>
            </w:r>
          </w:p>
        </w:tc>
        <w:tc>
          <w:tcPr>
            <w:tcW w:w="50" w:type="pct"/>
            <w:tcBorders>
              <w:bottom w:val="double" w:sz="6" w:space="0" w:color="000000"/>
            </w:tcBorders>
            <w:shd w:val="clear" w:color="auto" w:fill="FFFFFF"/>
            <w:vAlign w:val="bottom"/>
            <w:hideMark/>
          </w:tcPr>
          <w:p w14:paraId="74277845"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93DE72E"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6DA89C8"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48E48EBA" w14:textId="77777777" w:rsidR="00000000" w:rsidRDefault="00527094">
            <w:pPr>
              <w:jc w:val="right"/>
              <w:rPr>
                <w:rFonts w:eastAsia="Times New Roman"/>
                <w:sz w:val="16"/>
                <w:szCs w:val="16"/>
              </w:rPr>
            </w:pPr>
            <w:r>
              <w:rPr>
                <w:rFonts w:eastAsia="Times New Roman"/>
                <w:sz w:val="16"/>
                <w:szCs w:val="16"/>
              </w:rPr>
              <w:t>6,117,862</w:t>
            </w:r>
          </w:p>
        </w:tc>
        <w:tc>
          <w:tcPr>
            <w:tcW w:w="50" w:type="pct"/>
            <w:tcBorders>
              <w:bottom w:val="double" w:sz="6" w:space="0" w:color="000000"/>
            </w:tcBorders>
            <w:shd w:val="clear" w:color="auto" w:fill="FFFFFF"/>
            <w:vAlign w:val="bottom"/>
            <w:hideMark/>
          </w:tcPr>
          <w:p w14:paraId="034463F2"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1BADD61"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8CBC15C"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2BC5BF37" w14:textId="77777777" w:rsidR="00000000" w:rsidRDefault="00527094">
            <w:pPr>
              <w:jc w:val="right"/>
              <w:rPr>
                <w:rFonts w:eastAsia="Times New Roman"/>
                <w:sz w:val="16"/>
                <w:szCs w:val="16"/>
              </w:rPr>
            </w:pPr>
            <w:r>
              <w:rPr>
                <w:rFonts w:eastAsia="Times New Roman"/>
                <w:sz w:val="16"/>
                <w:szCs w:val="16"/>
              </w:rPr>
              <w:t>5,411,210</w:t>
            </w:r>
          </w:p>
        </w:tc>
        <w:tc>
          <w:tcPr>
            <w:tcW w:w="50" w:type="pct"/>
            <w:tcBorders>
              <w:bottom w:val="double" w:sz="6" w:space="0" w:color="000000"/>
            </w:tcBorders>
            <w:shd w:val="clear" w:color="auto" w:fill="FFFFFF"/>
            <w:vAlign w:val="bottom"/>
            <w:hideMark/>
          </w:tcPr>
          <w:p w14:paraId="5C455DD2"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C2D2E02"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C4AF213"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02357363" w14:textId="77777777" w:rsidR="00000000" w:rsidRDefault="00527094">
            <w:pPr>
              <w:jc w:val="right"/>
              <w:rPr>
                <w:rFonts w:eastAsia="Times New Roman"/>
                <w:sz w:val="16"/>
                <w:szCs w:val="16"/>
              </w:rPr>
            </w:pPr>
            <w:r>
              <w:rPr>
                <w:rFonts w:eastAsia="Times New Roman"/>
                <w:sz w:val="16"/>
                <w:szCs w:val="16"/>
              </w:rPr>
              <w:t>77,768</w:t>
            </w:r>
          </w:p>
        </w:tc>
        <w:tc>
          <w:tcPr>
            <w:tcW w:w="50" w:type="pct"/>
            <w:tcBorders>
              <w:bottom w:val="double" w:sz="6" w:space="0" w:color="000000"/>
            </w:tcBorders>
            <w:shd w:val="clear" w:color="auto" w:fill="FFFFFF"/>
            <w:vAlign w:val="bottom"/>
            <w:hideMark/>
          </w:tcPr>
          <w:p w14:paraId="57983E15"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692906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FBAE263"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7F8BCC6C" w14:textId="77777777" w:rsidR="00000000" w:rsidRDefault="00527094">
            <w:pPr>
              <w:jc w:val="right"/>
              <w:rPr>
                <w:rFonts w:eastAsia="Times New Roman"/>
                <w:sz w:val="16"/>
                <w:szCs w:val="16"/>
              </w:rPr>
            </w:pPr>
            <w:r>
              <w:rPr>
                <w:rFonts w:eastAsia="Times New Roman"/>
                <w:sz w:val="16"/>
                <w:szCs w:val="16"/>
              </w:rPr>
              <w:t>5,488,978</w:t>
            </w:r>
          </w:p>
        </w:tc>
        <w:tc>
          <w:tcPr>
            <w:tcW w:w="50" w:type="pct"/>
            <w:shd w:val="clear" w:color="auto" w:fill="FFFFFF"/>
            <w:tcMar>
              <w:top w:w="0" w:type="dxa"/>
              <w:left w:w="0" w:type="dxa"/>
              <w:bottom w:w="45" w:type="dxa"/>
              <w:right w:w="0" w:type="dxa"/>
            </w:tcMar>
            <w:vAlign w:val="bottom"/>
            <w:hideMark/>
          </w:tcPr>
          <w:p w14:paraId="312E50FC" w14:textId="77777777" w:rsidR="00000000" w:rsidRDefault="00527094">
            <w:pPr>
              <w:rPr>
                <w:rFonts w:eastAsia="Times New Roman"/>
                <w:sz w:val="16"/>
                <w:szCs w:val="16"/>
              </w:rPr>
            </w:pPr>
            <w:r>
              <w:rPr>
                <w:rFonts w:eastAsia="Times New Roman"/>
                <w:sz w:val="16"/>
                <w:szCs w:val="16"/>
              </w:rPr>
              <w:t> </w:t>
            </w:r>
          </w:p>
        </w:tc>
      </w:tr>
      <w:tr w:rsidR="00527094" w14:paraId="546878E1" w14:textId="77777777">
        <w:trPr>
          <w:divId w:val="1502234384"/>
          <w:tblCellSpacing w:w="0" w:type="dxa"/>
        </w:trPr>
        <w:tc>
          <w:tcPr>
            <w:tcW w:w="750" w:type="pct"/>
            <w:shd w:val="clear" w:color="auto" w:fill="CCEEFF"/>
            <w:vAlign w:val="bottom"/>
            <w:hideMark/>
          </w:tcPr>
          <w:p w14:paraId="79CCF39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A9CDA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4486B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EF11A0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7F9E8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F2BA0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D67AF9"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5388EA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C5819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0997C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0FCAC4"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4E27A2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74DF7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ACD19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F131AC"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90B669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6B267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AF6FE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6403F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2F93D6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B5590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246B3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32979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DEF526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3A0B1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C970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FD93E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71EF48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97DE7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3F86D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25356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07FADC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3B807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BB494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F683D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92D2D5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31591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32C1A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3D2E9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D32274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19E4BA" w14:textId="77777777" w:rsidR="00000000" w:rsidRDefault="00527094">
            <w:pPr>
              <w:rPr>
                <w:rFonts w:eastAsia="Times New Roman"/>
                <w:sz w:val="16"/>
                <w:szCs w:val="16"/>
              </w:rPr>
            </w:pPr>
            <w:r>
              <w:rPr>
                <w:rFonts w:eastAsia="Times New Roman"/>
                <w:sz w:val="16"/>
                <w:szCs w:val="16"/>
              </w:rPr>
              <w:t> </w:t>
            </w:r>
          </w:p>
        </w:tc>
      </w:tr>
      <w:tr w:rsidR="00527094" w14:paraId="1AD72926" w14:textId="77777777">
        <w:trPr>
          <w:divId w:val="1502234384"/>
          <w:tblCellSpacing w:w="0" w:type="dxa"/>
        </w:trPr>
        <w:tc>
          <w:tcPr>
            <w:tcW w:w="750" w:type="pct"/>
            <w:shd w:val="clear" w:color="auto" w:fill="FFFFFF"/>
            <w:vAlign w:val="bottom"/>
            <w:hideMark/>
          </w:tcPr>
          <w:p w14:paraId="46F22A40" w14:textId="77777777" w:rsidR="00000000" w:rsidRDefault="00527094">
            <w:pPr>
              <w:pStyle w:val="a3"/>
              <w:spacing w:before="0" w:beforeAutospacing="0" w:after="0" w:afterAutospacing="0"/>
              <w:rPr>
                <w:sz w:val="16"/>
                <w:szCs w:val="16"/>
              </w:rPr>
            </w:pPr>
            <w:r>
              <w:rPr>
                <w:sz w:val="16"/>
                <w:szCs w:val="16"/>
              </w:rPr>
              <w:t>Balance at January 1, 2019</w:t>
            </w:r>
          </w:p>
        </w:tc>
        <w:tc>
          <w:tcPr>
            <w:tcW w:w="50" w:type="pct"/>
            <w:shd w:val="clear" w:color="auto" w:fill="FFFFFF"/>
            <w:vAlign w:val="bottom"/>
            <w:hideMark/>
          </w:tcPr>
          <w:p w14:paraId="534BC34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8F2F18"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3C0E7D51" w14:textId="77777777" w:rsidR="00000000" w:rsidRDefault="00527094">
            <w:pPr>
              <w:jc w:val="right"/>
              <w:rPr>
                <w:rFonts w:eastAsia="Times New Roman"/>
                <w:sz w:val="16"/>
                <w:szCs w:val="16"/>
              </w:rPr>
            </w:pPr>
            <w:r>
              <w:rPr>
                <w:rFonts w:eastAsia="Times New Roman"/>
                <w:sz w:val="16"/>
                <w:szCs w:val="16"/>
              </w:rPr>
              <w:t>(787,707</w:t>
            </w:r>
          </w:p>
        </w:tc>
        <w:tc>
          <w:tcPr>
            <w:tcW w:w="50" w:type="pct"/>
            <w:shd w:val="clear" w:color="auto" w:fill="FFFFFF"/>
            <w:vAlign w:val="bottom"/>
            <w:hideMark/>
          </w:tcPr>
          <w:p w14:paraId="12EA5EDA"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44457D2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E01917"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082F56D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B23DEA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A22B23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1BF59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BA9AD99" w14:textId="77777777" w:rsidR="00000000" w:rsidRDefault="00527094">
            <w:pPr>
              <w:jc w:val="right"/>
              <w:rPr>
                <w:rFonts w:eastAsia="Times New Roman"/>
                <w:sz w:val="16"/>
                <w:szCs w:val="16"/>
              </w:rPr>
            </w:pPr>
            <w:r>
              <w:rPr>
                <w:rFonts w:eastAsia="Times New Roman"/>
                <w:sz w:val="16"/>
                <w:szCs w:val="16"/>
              </w:rPr>
              <w:t>43</w:t>
            </w:r>
          </w:p>
        </w:tc>
        <w:tc>
          <w:tcPr>
            <w:tcW w:w="50" w:type="pct"/>
            <w:shd w:val="clear" w:color="auto" w:fill="FFFFFF"/>
            <w:vAlign w:val="bottom"/>
            <w:hideMark/>
          </w:tcPr>
          <w:p w14:paraId="7775973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3690C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95E5D32" w14:textId="77777777" w:rsidR="00000000" w:rsidRDefault="00527094">
            <w:pPr>
              <w:rPr>
                <w:rFonts w:eastAsia="Times New Roman"/>
                <w:sz w:val="16"/>
                <w:szCs w:val="16"/>
              </w:rPr>
            </w:pPr>
            <w:r>
              <w:rPr>
                <w:rFonts w:eastAsia="Times New Roman"/>
                <w:sz w:val="16"/>
                <w:szCs w:val="16"/>
              </w:rPr>
              <w:t>$</w:t>
            </w:r>
          </w:p>
        </w:tc>
        <w:tc>
          <w:tcPr>
            <w:tcW w:w="250" w:type="pct"/>
            <w:shd w:val="clear" w:color="auto" w:fill="FFFFFF"/>
            <w:vAlign w:val="bottom"/>
            <w:hideMark/>
          </w:tcPr>
          <w:p w14:paraId="442A14B7" w14:textId="77777777" w:rsidR="00000000" w:rsidRDefault="00527094">
            <w:pPr>
              <w:jc w:val="right"/>
              <w:rPr>
                <w:rFonts w:eastAsia="Times New Roman"/>
                <w:sz w:val="16"/>
                <w:szCs w:val="16"/>
              </w:rPr>
            </w:pPr>
            <w:r>
              <w:rPr>
                <w:rFonts w:eastAsia="Times New Roman"/>
                <w:sz w:val="16"/>
                <w:szCs w:val="16"/>
              </w:rPr>
              <w:t>43</w:t>
            </w:r>
          </w:p>
        </w:tc>
        <w:tc>
          <w:tcPr>
            <w:tcW w:w="50" w:type="pct"/>
            <w:shd w:val="clear" w:color="auto" w:fill="FFFFFF"/>
            <w:vAlign w:val="bottom"/>
            <w:hideMark/>
          </w:tcPr>
          <w:p w14:paraId="1D698A3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E95D9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B8475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396AF00" w14:textId="77777777" w:rsidR="00000000" w:rsidRDefault="00527094">
            <w:pPr>
              <w:jc w:val="right"/>
              <w:rPr>
                <w:rFonts w:eastAsia="Times New Roman"/>
                <w:sz w:val="16"/>
                <w:szCs w:val="16"/>
              </w:rPr>
            </w:pPr>
            <w:r>
              <w:rPr>
                <w:rFonts w:eastAsia="Times New Roman"/>
                <w:sz w:val="16"/>
                <w:szCs w:val="16"/>
              </w:rPr>
              <w:t>421,389</w:t>
            </w:r>
          </w:p>
        </w:tc>
        <w:tc>
          <w:tcPr>
            <w:tcW w:w="50" w:type="pct"/>
            <w:shd w:val="clear" w:color="auto" w:fill="FFFFFF"/>
            <w:vAlign w:val="bottom"/>
            <w:hideMark/>
          </w:tcPr>
          <w:p w14:paraId="36C4624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FAF80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096A1A" w14:textId="77777777" w:rsidR="00000000" w:rsidRDefault="00527094">
            <w:pPr>
              <w:rPr>
                <w:rFonts w:eastAsia="Times New Roman"/>
                <w:sz w:val="16"/>
                <w:szCs w:val="16"/>
              </w:rPr>
            </w:pPr>
            <w:r>
              <w:rPr>
                <w:rFonts w:eastAsia="Times New Roman"/>
                <w:sz w:val="16"/>
                <w:szCs w:val="16"/>
              </w:rPr>
              <w:t>$</w:t>
            </w:r>
          </w:p>
        </w:tc>
        <w:tc>
          <w:tcPr>
            <w:tcW w:w="250" w:type="pct"/>
            <w:shd w:val="clear" w:color="auto" w:fill="FFFFFF"/>
            <w:vAlign w:val="bottom"/>
            <w:hideMark/>
          </w:tcPr>
          <w:p w14:paraId="55382735" w14:textId="77777777" w:rsidR="00000000" w:rsidRDefault="00527094">
            <w:pPr>
              <w:jc w:val="right"/>
              <w:rPr>
                <w:rFonts w:eastAsia="Times New Roman"/>
                <w:sz w:val="16"/>
                <w:szCs w:val="16"/>
              </w:rPr>
            </w:pPr>
            <w:r>
              <w:rPr>
                <w:rFonts w:eastAsia="Times New Roman"/>
                <w:sz w:val="16"/>
                <w:szCs w:val="16"/>
              </w:rPr>
              <w:t>4,214</w:t>
            </w:r>
          </w:p>
        </w:tc>
        <w:tc>
          <w:tcPr>
            <w:tcW w:w="50" w:type="pct"/>
            <w:shd w:val="clear" w:color="auto" w:fill="FFFFFF"/>
            <w:vAlign w:val="bottom"/>
            <w:hideMark/>
          </w:tcPr>
          <w:p w14:paraId="66450C3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F1C23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B58377"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788135E2" w14:textId="77777777" w:rsidR="00000000" w:rsidRDefault="00527094">
            <w:pPr>
              <w:jc w:val="right"/>
              <w:rPr>
                <w:rFonts w:eastAsia="Times New Roman"/>
                <w:sz w:val="16"/>
                <w:szCs w:val="16"/>
              </w:rPr>
            </w:pPr>
            <w:r>
              <w:rPr>
                <w:rFonts w:eastAsia="Times New Roman"/>
                <w:sz w:val="16"/>
                <w:szCs w:val="16"/>
              </w:rPr>
              <w:t>6,117,254</w:t>
            </w:r>
          </w:p>
        </w:tc>
        <w:tc>
          <w:tcPr>
            <w:tcW w:w="50" w:type="pct"/>
            <w:shd w:val="clear" w:color="auto" w:fill="FFFFFF"/>
            <w:vAlign w:val="bottom"/>
            <w:hideMark/>
          </w:tcPr>
          <w:p w14:paraId="0FFD252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86FAF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57DA75"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4B64A1D4" w14:textId="77777777" w:rsidR="00000000" w:rsidRDefault="00527094">
            <w:pPr>
              <w:jc w:val="right"/>
              <w:rPr>
                <w:rFonts w:eastAsia="Times New Roman"/>
                <w:sz w:val="16"/>
                <w:szCs w:val="16"/>
              </w:rPr>
            </w:pPr>
            <w:r>
              <w:rPr>
                <w:rFonts w:eastAsia="Times New Roman"/>
                <w:sz w:val="16"/>
                <w:szCs w:val="16"/>
              </w:rPr>
              <w:t>5,333,804</w:t>
            </w:r>
          </w:p>
        </w:tc>
        <w:tc>
          <w:tcPr>
            <w:tcW w:w="50" w:type="pct"/>
            <w:shd w:val="clear" w:color="auto" w:fill="FFFFFF"/>
            <w:vAlign w:val="bottom"/>
            <w:hideMark/>
          </w:tcPr>
          <w:p w14:paraId="6EA12E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7C724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3945E5" w14:textId="77777777" w:rsidR="00000000" w:rsidRDefault="00527094">
            <w:pPr>
              <w:rPr>
                <w:rFonts w:eastAsia="Times New Roman"/>
                <w:sz w:val="16"/>
                <w:szCs w:val="16"/>
              </w:rPr>
            </w:pPr>
            <w:r>
              <w:rPr>
                <w:rFonts w:eastAsia="Times New Roman"/>
                <w:sz w:val="16"/>
                <w:szCs w:val="16"/>
              </w:rPr>
              <w:t>$</w:t>
            </w:r>
          </w:p>
        </w:tc>
        <w:tc>
          <w:tcPr>
            <w:tcW w:w="300" w:type="pct"/>
            <w:shd w:val="clear" w:color="auto" w:fill="FFFFFF"/>
            <w:vAlign w:val="bottom"/>
            <w:hideMark/>
          </w:tcPr>
          <w:p w14:paraId="453B20D5" w14:textId="77777777" w:rsidR="00000000" w:rsidRDefault="00527094">
            <w:pPr>
              <w:jc w:val="right"/>
              <w:rPr>
                <w:rFonts w:eastAsia="Times New Roman"/>
                <w:sz w:val="16"/>
                <w:szCs w:val="16"/>
              </w:rPr>
            </w:pPr>
            <w:r>
              <w:rPr>
                <w:rFonts w:eastAsia="Times New Roman"/>
                <w:sz w:val="16"/>
                <w:szCs w:val="16"/>
              </w:rPr>
              <w:t>77,249</w:t>
            </w:r>
          </w:p>
        </w:tc>
        <w:tc>
          <w:tcPr>
            <w:tcW w:w="50" w:type="pct"/>
            <w:shd w:val="clear" w:color="auto" w:fill="FFFFFF"/>
            <w:vAlign w:val="bottom"/>
            <w:hideMark/>
          </w:tcPr>
          <w:p w14:paraId="08675F8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C870D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9DEE27" w14:textId="77777777" w:rsidR="00000000" w:rsidRDefault="00527094">
            <w:pPr>
              <w:rPr>
                <w:rFonts w:eastAsia="Times New Roman"/>
                <w:sz w:val="16"/>
                <w:szCs w:val="16"/>
              </w:rPr>
            </w:pPr>
            <w:r>
              <w:rPr>
                <w:rFonts w:eastAsia="Times New Roman"/>
                <w:sz w:val="16"/>
                <w:szCs w:val="16"/>
              </w:rPr>
              <w:t>$</w:t>
            </w:r>
          </w:p>
        </w:tc>
        <w:tc>
          <w:tcPr>
            <w:tcW w:w="250" w:type="pct"/>
            <w:shd w:val="clear" w:color="auto" w:fill="FFFFFF"/>
            <w:vAlign w:val="bottom"/>
            <w:hideMark/>
          </w:tcPr>
          <w:p w14:paraId="59C62649" w14:textId="77777777" w:rsidR="00000000" w:rsidRDefault="00527094">
            <w:pPr>
              <w:jc w:val="right"/>
              <w:rPr>
                <w:rFonts w:eastAsia="Times New Roman"/>
                <w:sz w:val="16"/>
                <w:szCs w:val="16"/>
              </w:rPr>
            </w:pPr>
            <w:r>
              <w:rPr>
                <w:rFonts w:eastAsia="Times New Roman"/>
                <w:sz w:val="16"/>
                <w:szCs w:val="16"/>
              </w:rPr>
              <w:t>5,411,053</w:t>
            </w:r>
          </w:p>
        </w:tc>
        <w:tc>
          <w:tcPr>
            <w:tcW w:w="50" w:type="pct"/>
            <w:shd w:val="clear" w:color="auto" w:fill="FFFFFF"/>
            <w:vAlign w:val="bottom"/>
            <w:hideMark/>
          </w:tcPr>
          <w:p w14:paraId="21B794E0" w14:textId="77777777" w:rsidR="00000000" w:rsidRDefault="00527094">
            <w:pPr>
              <w:rPr>
                <w:rFonts w:eastAsia="Times New Roman"/>
                <w:sz w:val="16"/>
                <w:szCs w:val="16"/>
              </w:rPr>
            </w:pPr>
            <w:r>
              <w:rPr>
                <w:rFonts w:eastAsia="Times New Roman"/>
                <w:sz w:val="16"/>
                <w:szCs w:val="16"/>
              </w:rPr>
              <w:t> </w:t>
            </w:r>
          </w:p>
        </w:tc>
      </w:tr>
      <w:tr w:rsidR="00527094" w14:paraId="49623F66" w14:textId="77777777">
        <w:trPr>
          <w:divId w:val="1502234384"/>
          <w:tblCellSpacing w:w="0" w:type="dxa"/>
        </w:trPr>
        <w:tc>
          <w:tcPr>
            <w:tcW w:w="750" w:type="pct"/>
            <w:shd w:val="clear" w:color="auto" w:fill="CCEEFF"/>
            <w:vAlign w:val="bottom"/>
            <w:hideMark/>
          </w:tcPr>
          <w:p w14:paraId="4B524D21" w14:textId="77777777" w:rsidR="00000000" w:rsidRDefault="00527094">
            <w:pPr>
              <w:pStyle w:val="a3"/>
              <w:spacing w:before="0" w:beforeAutospacing="0" w:after="0" w:afterAutospacing="0"/>
              <w:rPr>
                <w:sz w:val="16"/>
                <w:szCs w:val="16"/>
              </w:rPr>
            </w:pPr>
            <w:r>
              <w:rPr>
                <w:sz w:val="16"/>
                <w:szCs w:val="16"/>
              </w:rPr>
              <w:t>Net income</w:t>
            </w:r>
          </w:p>
        </w:tc>
        <w:tc>
          <w:tcPr>
            <w:tcW w:w="50" w:type="pct"/>
            <w:shd w:val="clear" w:color="auto" w:fill="CCEEFF"/>
            <w:vAlign w:val="bottom"/>
            <w:hideMark/>
          </w:tcPr>
          <w:p w14:paraId="2F65B8E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73BF3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F7CD6B6" w14:textId="77777777" w:rsidR="00000000" w:rsidRDefault="00527094">
            <w:pPr>
              <w:jc w:val="right"/>
              <w:rPr>
                <w:rFonts w:eastAsia="Times New Roman"/>
                <w:sz w:val="16"/>
                <w:szCs w:val="16"/>
              </w:rPr>
            </w:pPr>
            <w:r>
              <w:rPr>
                <w:rFonts w:eastAsia="Times New Roman"/>
                <w:sz w:val="16"/>
                <w:szCs w:val="16"/>
              </w:rPr>
              <w:t>217,196</w:t>
            </w:r>
          </w:p>
        </w:tc>
        <w:tc>
          <w:tcPr>
            <w:tcW w:w="50" w:type="pct"/>
            <w:shd w:val="clear" w:color="auto" w:fill="CCEEFF"/>
            <w:vAlign w:val="bottom"/>
            <w:hideMark/>
          </w:tcPr>
          <w:p w14:paraId="6345E3A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3B47D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4022E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388C8C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18C06C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EC39B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6ED11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E571367"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3D901FE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2581D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F2FE8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F1B70B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ABEDC2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10378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2E355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BC03C04"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48CB4C4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393B8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AE2CD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4FB432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64BB2C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115D84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16014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D3C5F4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01F311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AABED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67C0C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35C66FD" w14:textId="77777777" w:rsidR="00000000" w:rsidRDefault="00527094">
            <w:pPr>
              <w:jc w:val="right"/>
              <w:rPr>
                <w:rFonts w:eastAsia="Times New Roman"/>
                <w:sz w:val="16"/>
                <w:szCs w:val="16"/>
              </w:rPr>
            </w:pPr>
            <w:r>
              <w:rPr>
                <w:rFonts w:eastAsia="Times New Roman"/>
                <w:sz w:val="16"/>
                <w:szCs w:val="16"/>
              </w:rPr>
              <w:t>217,196</w:t>
            </w:r>
          </w:p>
        </w:tc>
        <w:tc>
          <w:tcPr>
            <w:tcW w:w="50" w:type="pct"/>
            <w:shd w:val="clear" w:color="auto" w:fill="CCEEFF"/>
            <w:vAlign w:val="bottom"/>
            <w:hideMark/>
          </w:tcPr>
          <w:p w14:paraId="3AE7F50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B067A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858ED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7C6B7C8" w14:textId="77777777" w:rsidR="00000000" w:rsidRDefault="00527094">
            <w:pPr>
              <w:jc w:val="right"/>
              <w:rPr>
                <w:rFonts w:eastAsia="Times New Roman"/>
                <w:sz w:val="16"/>
                <w:szCs w:val="16"/>
              </w:rPr>
            </w:pPr>
            <w:r>
              <w:rPr>
                <w:rFonts w:eastAsia="Times New Roman"/>
                <w:sz w:val="16"/>
                <w:szCs w:val="16"/>
              </w:rPr>
              <w:t>869</w:t>
            </w:r>
          </w:p>
        </w:tc>
        <w:tc>
          <w:tcPr>
            <w:tcW w:w="50" w:type="pct"/>
            <w:shd w:val="clear" w:color="auto" w:fill="CCEEFF"/>
            <w:vAlign w:val="bottom"/>
            <w:hideMark/>
          </w:tcPr>
          <w:p w14:paraId="4D856B6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75BF3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3532F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5F0F7FB" w14:textId="77777777" w:rsidR="00000000" w:rsidRDefault="00527094">
            <w:pPr>
              <w:jc w:val="right"/>
              <w:rPr>
                <w:rFonts w:eastAsia="Times New Roman"/>
                <w:sz w:val="16"/>
                <w:szCs w:val="16"/>
              </w:rPr>
            </w:pPr>
            <w:r>
              <w:rPr>
                <w:rFonts w:eastAsia="Times New Roman"/>
                <w:sz w:val="16"/>
                <w:szCs w:val="16"/>
              </w:rPr>
              <w:t>218,065</w:t>
            </w:r>
          </w:p>
        </w:tc>
        <w:tc>
          <w:tcPr>
            <w:tcW w:w="50" w:type="pct"/>
            <w:shd w:val="clear" w:color="auto" w:fill="CCEEFF"/>
            <w:vAlign w:val="bottom"/>
            <w:hideMark/>
          </w:tcPr>
          <w:p w14:paraId="3866589D" w14:textId="77777777" w:rsidR="00000000" w:rsidRDefault="00527094">
            <w:pPr>
              <w:rPr>
                <w:rFonts w:eastAsia="Times New Roman"/>
                <w:sz w:val="16"/>
                <w:szCs w:val="16"/>
              </w:rPr>
            </w:pPr>
            <w:r>
              <w:rPr>
                <w:rFonts w:eastAsia="Times New Roman"/>
                <w:sz w:val="16"/>
                <w:szCs w:val="16"/>
              </w:rPr>
              <w:t> </w:t>
            </w:r>
          </w:p>
        </w:tc>
      </w:tr>
      <w:tr w:rsidR="00527094" w14:paraId="647B9895" w14:textId="77777777">
        <w:trPr>
          <w:divId w:val="1502234384"/>
          <w:tblCellSpacing w:w="0" w:type="dxa"/>
        </w:trPr>
        <w:tc>
          <w:tcPr>
            <w:tcW w:w="750" w:type="pct"/>
            <w:shd w:val="clear" w:color="auto" w:fill="FFFFFF"/>
            <w:vAlign w:val="bottom"/>
            <w:hideMark/>
          </w:tcPr>
          <w:p w14:paraId="59270704" w14:textId="77777777" w:rsidR="00000000" w:rsidRDefault="00527094">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14:paraId="494511E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CD730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9C2F41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71BE04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77617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E357D1"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DACC65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840DFA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D0D56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985C3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116647F"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31A571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8C106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5E33B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4F2940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924976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D0DDE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DDA31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FC65770"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3715325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39E8F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ABE52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083390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52F80E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721DE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F2E36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F0B3CF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D2D9E7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2484C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05DE4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A2DB89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70F4E6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406FB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0A50D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6CD0D85" w14:textId="77777777" w:rsidR="00000000" w:rsidRDefault="00527094">
            <w:pPr>
              <w:jc w:val="right"/>
              <w:rPr>
                <w:rFonts w:eastAsia="Times New Roman"/>
                <w:sz w:val="16"/>
                <w:szCs w:val="16"/>
              </w:rPr>
            </w:pPr>
            <w:r>
              <w:rPr>
                <w:rFonts w:eastAsia="Times New Roman"/>
                <w:sz w:val="16"/>
                <w:szCs w:val="16"/>
              </w:rPr>
              <w:t>(185</w:t>
            </w:r>
          </w:p>
        </w:tc>
        <w:tc>
          <w:tcPr>
            <w:tcW w:w="50" w:type="pct"/>
            <w:shd w:val="clear" w:color="auto" w:fill="FFFFFF"/>
            <w:vAlign w:val="bottom"/>
            <w:hideMark/>
          </w:tcPr>
          <w:p w14:paraId="738C7BFC"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6F7D562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5DF2E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D3C4356" w14:textId="77777777" w:rsidR="00000000" w:rsidRDefault="00527094">
            <w:pPr>
              <w:jc w:val="right"/>
              <w:rPr>
                <w:rFonts w:eastAsia="Times New Roman"/>
                <w:sz w:val="16"/>
                <w:szCs w:val="16"/>
              </w:rPr>
            </w:pPr>
            <w:r>
              <w:rPr>
                <w:rFonts w:eastAsia="Times New Roman"/>
                <w:sz w:val="16"/>
                <w:szCs w:val="16"/>
              </w:rPr>
              <w:t>(185</w:t>
            </w:r>
          </w:p>
        </w:tc>
        <w:tc>
          <w:tcPr>
            <w:tcW w:w="50" w:type="pct"/>
            <w:shd w:val="clear" w:color="auto" w:fill="FFFFFF"/>
            <w:vAlign w:val="bottom"/>
            <w:hideMark/>
          </w:tcPr>
          <w:p w14:paraId="1BF015A8" w14:textId="77777777" w:rsidR="00000000" w:rsidRDefault="00527094">
            <w:pPr>
              <w:rPr>
                <w:rFonts w:eastAsia="Times New Roman"/>
                <w:sz w:val="16"/>
                <w:szCs w:val="16"/>
              </w:rPr>
            </w:pPr>
            <w:r>
              <w:rPr>
                <w:rFonts w:eastAsia="Times New Roman"/>
                <w:sz w:val="16"/>
                <w:szCs w:val="16"/>
              </w:rPr>
              <w:t>)</w:t>
            </w:r>
          </w:p>
        </w:tc>
      </w:tr>
      <w:tr w:rsidR="00527094" w14:paraId="5F669691" w14:textId="77777777">
        <w:trPr>
          <w:divId w:val="1502234384"/>
          <w:tblCellSpacing w:w="0" w:type="dxa"/>
        </w:trPr>
        <w:tc>
          <w:tcPr>
            <w:tcW w:w="750" w:type="pct"/>
            <w:shd w:val="clear" w:color="auto" w:fill="CCEEFF"/>
            <w:vAlign w:val="bottom"/>
            <w:hideMark/>
          </w:tcPr>
          <w:p w14:paraId="74998210" w14:textId="77777777" w:rsidR="00000000" w:rsidRDefault="00527094">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14:paraId="401F9C4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BAD1AB"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50A5559" w14:textId="77777777" w:rsidR="00000000" w:rsidRDefault="00527094">
            <w:pPr>
              <w:jc w:val="right"/>
              <w:rPr>
                <w:rFonts w:eastAsia="Times New Roman"/>
                <w:sz w:val="16"/>
                <w:szCs w:val="16"/>
              </w:rPr>
            </w:pPr>
            <w:r>
              <w:rPr>
                <w:rFonts w:eastAsia="Times New Roman"/>
                <w:sz w:val="16"/>
                <w:szCs w:val="16"/>
              </w:rPr>
              <w:t>(265,423</w:t>
            </w:r>
          </w:p>
        </w:tc>
        <w:tc>
          <w:tcPr>
            <w:tcW w:w="50" w:type="pct"/>
            <w:shd w:val="clear" w:color="auto" w:fill="CCEEFF"/>
            <w:vAlign w:val="bottom"/>
            <w:hideMark/>
          </w:tcPr>
          <w:p w14:paraId="28793B6F"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4DE9CDC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88AEA1"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FA00DB6"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A3AD3E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E1695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B930F8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3C8E2CE"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4CB1A41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F018F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FA67B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F69A2DB"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299A19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D83B2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62FEB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4D2BCBA"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14:paraId="439EE3E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9A78A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126C30"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3CD540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71CEA7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5C400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115A89"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DCAF54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E2FED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BF98B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527B6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B54C681" w14:textId="77777777" w:rsidR="00000000" w:rsidRDefault="00527094">
            <w:pPr>
              <w:jc w:val="right"/>
              <w:rPr>
                <w:rFonts w:eastAsia="Times New Roman"/>
                <w:sz w:val="16"/>
                <w:szCs w:val="16"/>
              </w:rPr>
            </w:pPr>
            <w:r>
              <w:rPr>
                <w:rFonts w:eastAsia="Times New Roman"/>
                <w:sz w:val="16"/>
                <w:szCs w:val="16"/>
              </w:rPr>
              <w:t>(265,423</w:t>
            </w:r>
          </w:p>
        </w:tc>
        <w:tc>
          <w:tcPr>
            <w:tcW w:w="50" w:type="pct"/>
            <w:shd w:val="clear" w:color="auto" w:fill="CCEEFF"/>
            <w:vAlign w:val="bottom"/>
            <w:hideMark/>
          </w:tcPr>
          <w:p w14:paraId="0E502386"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336F8B4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3F9E40"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8A6ED90"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6F4B83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4C804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E2239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87D5FF4" w14:textId="77777777" w:rsidR="00000000" w:rsidRDefault="00527094">
            <w:pPr>
              <w:jc w:val="right"/>
              <w:rPr>
                <w:rFonts w:eastAsia="Times New Roman"/>
                <w:sz w:val="16"/>
                <w:szCs w:val="16"/>
              </w:rPr>
            </w:pPr>
            <w:r>
              <w:rPr>
                <w:rFonts w:eastAsia="Times New Roman"/>
                <w:sz w:val="16"/>
                <w:szCs w:val="16"/>
              </w:rPr>
              <w:t>(265,423</w:t>
            </w:r>
          </w:p>
        </w:tc>
        <w:tc>
          <w:tcPr>
            <w:tcW w:w="50" w:type="pct"/>
            <w:shd w:val="clear" w:color="auto" w:fill="CCEEFF"/>
            <w:vAlign w:val="bottom"/>
            <w:hideMark/>
          </w:tcPr>
          <w:p w14:paraId="7CD701A2" w14:textId="77777777" w:rsidR="00000000" w:rsidRDefault="00527094">
            <w:pPr>
              <w:rPr>
                <w:rFonts w:eastAsia="Times New Roman"/>
                <w:sz w:val="16"/>
                <w:szCs w:val="16"/>
              </w:rPr>
            </w:pPr>
            <w:r>
              <w:rPr>
                <w:rFonts w:eastAsia="Times New Roman"/>
                <w:sz w:val="16"/>
                <w:szCs w:val="16"/>
              </w:rPr>
              <w:t>)</w:t>
            </w:r>
          </w:p>
        </w:tc>
      </w:tr>
      <w:tr w:rsidR="00527094" w14:paraId="3CCC131B" w14:textId="77777777">
        <w:trPr>
          <w:divId w:val="1502234384"/>
          <w:tblCellSpacing w:w="0" w:type="dxa"/>
        </w:trPr>
        <w:tc>
          <w:tcPr>
            <w:tcW w:w="750" w:type="pct"/>
            <w:shd w:val="clear" w:color="auto" w:fill="FFFFFF"/>
            <w:vAlign w:val="bottom"/>
            <w:hideMark/>
          </w:tcPr>
          <w:p w14:paraId="7DAB161C" w14:textId="77777777" w:rsidR="00000000" w:rsidRDefault="00527094">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14:paraId="277C1D6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81656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21C81A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AA6BDF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D235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4CE44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0DED8A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02A5C7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2A9E0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FDFCA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7D248FE"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4947063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C5A8C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E86A07"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8386DEE"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7DDFFC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AA579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EF6E6A"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36B8636"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F08BE2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74A82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63B7E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F93341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D425D7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07F1B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D1241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762770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77DE86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4926C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61BA6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1398D2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7E851A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90662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AAE0C2"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27D4FB0" w14:textId="77777777" w:rsidR="00000000" w:rsidRDefault="00527094">
            <w:pPr>
              <w:jc w:val="right"/>
              <w:rPr>
                <w:rFonts w:eastAsia="Times New Roman"/>
                <w:sz w:val="16"/>
                <w:szCs w:val="16"/>
              </w:rPr>
            </w:pPr>
            <w:r>
              <w:rPr>
                <w:rFonts w:eastAsia="Times New Roman"/>
                <w:sz w:val="16"/>
                <w:szCs w:val="16"/>
              </w:rPr>
              <w:t>(1,159</w:t>
            </w:r>
          </w:p>
        </w:tc>
        <w:tc>
          <w:tcPr>
            <w:tcW w:w="50" w:type="pct"/>
            <w:shd w:val="clear" w:color="auto" w:fill="FFFFFF"/>
            <w:vAlign w:val="bottom"/>
            <w:hideMark/>
          </w:tcPr>
          <w:p w14:paraId="0C66EB48"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635CE28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6C1A4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73A0F6F" w14:textId="77777777" w:rsidR="00000000" w:rsidRDefault="00527094">
            <w:pPr>
              <w:jc w:val="right"/>
              <w:rPr>
                <w:rFonts w:eastAsia="Times New Roman"/>
                <w:sz w:val="16"/>
                <w:szCs w:val="16"/>
              </w:rPr>
            </w:pPr>
            <w:r>
              <w:rPr>
                <w:rFonts w:eastAsia="Times New Roman"/>
                <w:sz w:val="16"/>
                <w:szCs w:val="16"/>
              </w:rPr>
              <w:t>(1,159</w:t>
            </w:r>
          </w:p>
        </w:tc>
        <w:tc>
          <w:tcPr>
            <w:tcW w:w="50" w:type="pct"/>
            <w:shd w:val="clear" w:color="auto" w:fill="FFFFFF"/>
            <w:vAlign w:val="bottom"/>
            <w:hideMark/>
          </w:tcPr>
          <w:p w14:paraId="496EDAC8" w14:textId="77777777" w:rsidR="00000000" w:rsidRDefault="00527094">
            <w:pPr>
              <w:rPr>
                <w:rFonts w:eastAsia="Times New Roman"/>
                <w:sz w:val="16"/>
                <w:szCs w:val="16"/>
              </w:rPr>
            </w:pPr>
            <w:r>
              <w:rPr>
                <w:rFonts w:eastAsia="Times New Roman"/>
                <w:sz w:val="16"/>
                <w:szCs w:val="16"/>
              </w:rPr>
              <w:t>)</w:t>
            </w:r>
          </w:p>
        </w:tc>
      </w:tr>
      <w:tr w:rsidR="00527094" w14:paraId="6EF3DB35" w14:textId="77777777">
        <w:trPr>
          <w:divId w:val="1502234384"/>
          <w:tblCellSpacing w:w="0" w:type="dxa"/>
        </w:trPr>
        <w:tc>
          <w:tcPr>
            <w:tcW w:w="750" w:type="pct"/>
            <w:shd w:val="clear" w:color="auto" w:fill="CCEEFF"/>
            <w:vAlign w:val="bottom"/>
            <w:hideMark/>
          </w:tcPr>
          <w:p w14:paraId="7C05D496" w14:textId="77777777" w:rsidR="00000000" w:rsidRDefault="00527094">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14:paraId="06B98046"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7AA19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C97205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C0595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3006C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8074D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E0ECAD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889AF6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1A7C2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418A79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0E184F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6B724B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09502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55052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BB3249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28FD85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6BB55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195AE6"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5C0E055" w14:textId="77777777" w:rsidR="00000000" w:rsidRDefault="00527094">
            <w:pPr>
              <w:jc w:val="right"/>
              <w:rPr>
                <w:rFonts w:eastAsia="Times New Roman"/>
                <w:sz w:val="16"/>
                <w:szCs w:val="16"/>
              </w:rPr>
            </w:pPr>
            <w:r>
              <w:rPr>
                <w:rFonts w:eastAsia="Times New Roman"/>
                <w:sz w:val="16"/>
                <w:szCs w:val="16"/>
              </w:rPr>
              <w:t>786</w:t>
            </w:r>
          </w:p>
        </w:tc>
        <w:tc>
          <w:tcPr>
            <w:tcW w:w="50" w:type="pct"/>
            <w:shd w:val="clear" w:color="auto" w:fill="CCEEFF"/>
            <w:vAlign w:val="bottom"/>
            <w:hideMark/>
          </w:tcPr>
          <w:p w14:paraId="236AC7E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83335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5595A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45BFE78" w14:textId="77777777" w:rsidR="00000000" w:rsidRDefault="00527094">
            <w:pPr>
              <w:jc w:val="right"/>
              <w:rPr>
                <w:rFonts w:eastAsia="Times New Roman"/>
                <w:sz w:val="16"/>
                <w:szCs w:val="16"/>
              </w:rPr>
            </w:pPr>
            <w:r>
              <w:rPr>
                <w:rFonts w:eastAsia="Times New Roman"/>
                <w:sz w:val="16"/>
                <w:szCs w:val="16"/>
              </w:rPr>
              <w:t>8</w:t>
            </w:r>
          </w:p>
        </w:tc>
        <w:tc>
          <w:tcPr>
            <w:tcW w:w="50" w:type="pct"/>
            <w:shd w:val="clear" w:color="auto" w:fill="CCEEFF"/>
            <w:vAlign w:val="bottom"/>
            <w:hideMark/>
          </w:tcPr>
          <w:p w14:paraId="583DF54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F824D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A97FA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694058F" w14:textId="77777777" w:rsidR="00000000" w:rsidRDefault="00527094">
            <w:pPr>
              <w:jc w:val="right"/>
              <w:rPr>
                <w:rFonts w:eastAsia="Times New Roman"/>
                <w:sz w:val="16"/>
                <w:szCs w:val="16"/>
              </w:rPr>
            </w:pPr>
            <w:r>
              <w:rPr>
                <w:rFonts w:eastAsia="Times New Roman"/>
                <w:sz w:val="16"/>
                <w:szCs w:val="16"/>
              </w:rPr>
              <w:t>(8</w:t>
            </w:r>
          </w:p>
        </w:tc>
        <w:tc>
          <w:tcPr>
            <w:tcW w:w="50" w:type="pct"/>
            <w:shd w:val="clear" w:color="auto" w:fill="CCEEFF"/>
            <w:vAlign w:val="bottom"/>
            <w:hideMark/>
          </w:tcPr>
          <w:p w14:paraId="07A62681" w14:textId="77777777" w:rsidR="00000000" w:rsidRDefault="00527094">
            <w:pPr>
              <w:rPr>
                <w:rFonts w:eastAsia="Times New Roman"/>
                <w:sz w:val="16"/>
                <w:szCs w:val="16"/>
              </w:rPr>
            </w:pPr>
            <w:r>
              <w:rPr>
                <w:rFonts w:eastAsia="Times New Roman"/>
                <w:sz w:val="16"/>
                <w:szCs w:val="16"/>
              </w:rPr>
              <w:t>)</w:t>
            </w:r>
          </w:p>
        </w:tc>
        <w:tc>
          <w:tcPr>
            <w:tcW w:w="50" w:type="pct"/>
            <w:shd w:val="clear" w:color="auto" w:fill="CCEEFF"/>
            <w:vAlign w:val="bottom"/>
            <w:hideMark/>
          </w:tcPr>
          <w:p w14:paraId="0C1FD76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96D778"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1D4DCA8"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E21C62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BB13E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F7073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6DDA134"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F7E0CE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C1B88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D21A1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A3FE3E1"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01634CA" w14:textId="77777777" w:rsidR="00000000" w:rsidRDefault="00527094">
            <w:pPr>
              <w:rPr>
                <w:rFonts w:eastAsia="Times New Roman"/>
                <w:sz w:val="16"/>
                <w:szCs w:val="16"/>
              </w:rPr>
            </w:pPr>
            <w:r>
              <w:rPr>
                <w:rFonts w:eastAsia="Times New Roman"/>
                <w:sz w:val="16"/>
                <w:szCs w:val="16"/>
              </w:rPr>
              <w:t> </w:t>
            </w:r>
          </w:p>
        </w:tc>
      </w:tr>
      <w:tr w:rsidR="00527094" w14:paraId="3487C58F" w14:textId="77777777">
        <w:trPr>
          <w:divId w:val="1502234384"/>
          <w:tblCellSpacing w:w="0" w:type="dxa"/>
        </w:trPr>
        <w:tc>
          <w:tcPr>
            <w:tcW w:w="750" w:type="pct"/>
            <w:shd w:val="clear" w:color="auto" w:fill="FFFFFF"/>
            <w:vAlign w:val="bottom"/>
            <w:hideMark/>
          </w:tcPr>
          <w:p w14:paraId="1C2D7871" w14:textId="77777777" w:rsidR="00000000" w:rsidRDefault="00527094">
            <w:pPr>
              <w:pStyle w:val="a3"/>
              <w:spacing w:before="0" w:beforeAutospacing="0" w:after="0" w:afterAutospacing="0"/>
              <w:rPr>
                <w:sz w:val="16"/>
                <w:szCs w:val="16"/>
              </w:rPr>
            </w:pPr>
            <w:r>
              <w:rPr>
                <w:sz w:val="16"/>
                <w:szCs w:val="16"/>
              </w:rPr>
              <w:t>Surrender of restricted common stock</w:t>
            </w:r>
          </w:p>
        </w:tc>
        <w:tc>
          <w:tcPr>
            <w:tcW w:w="50" w:type="pct"/>
            <w:shd w:val="clear" w:color="auto" w:fill="FFFFFF"/>
            <w:vAlign w:val="bottom"/>
            <w:hideMark/>
          </w:tcPr>
          <w:p w14:paraId="177255C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526FA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D91BC13"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AE8E20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34A23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4069ED"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32CA7A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328839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4C199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7F3788"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9824FA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73654B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5CE04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14B79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DD3233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7FB0A9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D2F8C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9E0E81"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69F5782" w14:textId="77777777" w:rsidR="00000000" w:rsidRDefault="00527094">
            <w:pPr>
              <w:jc w:val="right"/>
              <w:rPr>
                <w:rFonts w:eastAsia="Times New Roman"/>
                <w:sz w:val="16"/>
                <w:szCs w:val="16"/>
              </w:rPr>
            </w:pPr>
            <w:r>
              <w:rPr>
                <w:rFonts w:eastAsia="Times New Roman"/>
                <w:sz w:val="16"/>
                <w:szCs w:val="16"/>
              </w:rPr>
              <w:t>(223</w:t>
            </w:r>
          </w:p>
        </w:tc>
        <w:tc>
          <w:tcPr>
            <w:tcW w:w="50" w:type="pct"/>
            <w:shd w:val="clear" w:color="auto" w:fill="FFFFFF"/>
            <w:vAlign w:val="bottom"/>
            <w:hideMark/>
          </w:tcPr>
          <w:p w14:paraId="09ECFE9B"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63F034C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24D60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D32FB45" w14:textId="77777777" w:rsidR="00000000" w:rsidRDefault="00527094">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14:paraId="37DE592A"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680F6497"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92E7D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BD628E1" w14:textId="77777777" w:rsidR="00000000" w:rsidRDefault="00527094">
            <w:pPr>
              <w:jc w:val="right"/>
              <w:rPr>
                <w:rFonts w:eastAsia="Times New Roman"/>
                <w:sz w:val="16"/>
                <w:szCs w:val="16"/>
              </w:rPr>
            </w:pPr>
            <w:r>
              <w:rPr>
                <w:rFonts w:eastAsia="Times New Roman"/>
                <w:sz w:val="16"/>
                <w:szCs w:val="16"/>
              </w:rPr>
              <w:t>(3,687</w:t>
            </w:r>
          </w:p>
        </w:tc>
        <w:tc>
          <w:tcPr>
            <w:tcW w:w="50" w:type="pct"/>
            <w:shd w:val="clear" w:color="auto" w:fill="FFFFFF"/>
            <w:vAlign w:val="bottom"/>
            <w:hideMark/>
          </w:tcPr>
          <w:p w14:paraId="11EB3BE6"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0865994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B637DF"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58A4240" w14:textId="77777777" w:rsidR="00000000" w:rsidRDefault="00527094">
            <w:pPr>
              <w:jc w:val="right"/>
              <w:rPr>
                <w:rFonts w:eastAsia="Times New Roman"/>
                <w:sz w:val="16"/>
                <w:szCs w:val="16"/>
              </w:rPr>
            </w:pPr>
            <w:r>
              <w:rPr>
                <w:rFonts w:eastAsia="Times New Roman"/>
                <w:sz w:val="16"/>
                <w:szCs w:val="16"/>
              </w:rPr>
              <w:t>(3,689</w:t>
            </w:r>
          </w:p>
        </w:tc>
        <w:tc>
          <w:tcPr>
            <w:tcW w:w="50" w:type="pct"/>
            <w:shd w:val="clear" w:color="auto" w:fill="FFFFFF"/>
            <w:vAlign w:val="bottom"/>
            <w:hideMark/>
          </w:tcPr>
          <w:p w14:paraId="141C5BBB" w14:textId="77777777" w:rsidR="00000000" w:rsidRDefault="00527094">
            <w:pPr>
              <w:rPr>
                <w:rFonts w:eastAsia="Times New Roman"/>
                <w:sz w:val="16"/>
                <w:szCs w:val="16"/>
              </w:rPr>
            </w:pPr>
            <w:r>
              <w:rPr>
                <w:rFonts w:eastAsia="Times New Roman"/>
                <w:sz w:val="16"/>
                <w:szCs w:val="16"/>
              </w:rPr>
              <w:t>)</w:t>
            </w:r>
          </w:p>
        </w:tc>
        <w:tc>
          <w:tcPr>
            <w:tcW w:w="50" w:type="pct"/>
            <w:shd w:val="clear" w:color="auto" w:fill="FFFFFF"/>
            <w:vAlign w:val="bottom"/>
            <w:hideMark/>
          </w:tcPr>
          <w:p w14:paraId="1EF7DD8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FAD159"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23E117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23186D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0E697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F14DD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443960E" w14:textId="77777777" w:rsidR="00000000" w:rsidRDefault="00527094">
            <w:pPr>
              <w:jc w:val="right"/>
              <w:rPr>
                <w:rFonts w:eastAsia="Times New Roman"/>
                <w:sz w:val="16"/>
                <w:szCs w:val="16"/>
              </w:rPr>
            </w:pPr>
            <w:r>
              <w:rPr>
                <w:rFonts w:eastAsia="Times New Roman"/>
                <w:sz w:val="16"/>
                <w:szCs w:val="16"/>
              </w:rPr>
              <w:t>(3,689</w:t>
            </w:r>
          </w:p>
        </w:tc>
        <w:tc>
          <w:tcPr>
            <w:tcW w:w="50" w:type="pct"/>
            <w:shd w:val="clear" w:color="auto" w:fill="FFFFFF"/>
            <w:vAlign w:val="bottom"/>
            <w:hideMark/>
          </w:tcPr>
          <w:p w14:paraId="0FE08CD7" w14:textId="77777777" w:rsidR="00000000" w:rsidRDefault="00527094">
            <w:pPr>
              <w:rPr>
                <w:rFonts w:eastAsia="Times New Roman"/>
                <w:sz w:val="16"/>
                <w:szCs w:val="16"/>
              </w:rPr>
            </w:pPr>
            <w:r>
              <w:rPr>
                <w:rFonts w:eastAsia="Times New Roman"/>
                <w:sz w:val="16"/>
                <w:szCs w:val="16"/>
              </w:rPr>
              <w:t>)</w:t>
            </w:r>
          </w:p>
        </w:tc>
      </w:tr>
      <w:tr w:rsidR="00527094" w14:paraId="0987EFDD" w14:textId="77777777">
        <w:trPr>
          <w:divId w:val="1502234384"/>
          <w:tblCellSpacing w:w="0" w:type="dxa"/>
        </w:trPr>
        <w:tc>
          <w:tcPr>
            <w:tcW w:w="750" w:type="pct"/>
            <w:shd w:val="clear" w:color="auto" w:fill="CCEEFF"/>
            <w:vAlign w:val="bottom"/>
            <w:hideMark/>
          </w:tcPr>
          <w:p w14:paraId="57B2D44B" w14:textId="77777777" w:rsidR="00000000" w:rsidRDefault="00527094">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14:paraId="028716D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83140A"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6A47B6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F1E2E7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E9C9E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F44724"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859F2D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DC5F5E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766F0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8F86B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D30D6E7"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5B1386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CCC09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06765E"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EF7CF7D"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3DFB1F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BC575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6F2D99"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73518A2" w14:textId="77777777" w:rsidR="00000000" w:rsidRDefault="00527094">
            <w:pPr>
              <w:jc w:val="right"/>
              <w:rPr>
                <w:rFonts w:eastAsia="Times New Roman"/>
                <w:sz w:val="16"/>
                <w:szCs w:val="16"/>
              </w:rPr>
            </w:pPr>
            <w:r>
              <w:rPr>
                <w:rFonts w:eastAsia="Times New Roman"/>
                <w:sz w:val="16"/>
                <w:szCs w:val="16"/>
              </w:rPr>
              <w:t>142</w:t>
            </w:r>
          </w:p>
        </w:tc>
        <w:tc>
          <w:tcPr>
            <w:tcW w:w="50" w:type="pct"/>
            <w:shd w:val="clear" w:color="auto" w:fill="CCEEFF"/>
            <w:vAlign w:val="bottom"/>
            <w:hideMark/>
          </w:tcPr>
          <w:p w14:paraId="1AFEAE5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73B90B"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8EA89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4E7BC7F" w14:textId="77777777" w:rsidR="00000000" w:rsidRDefault="00527094">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14:paraId="19371ACC"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0BC29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35542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0EA3DA6" w14:textId="77777777" w:rsidR="00000000" w:rsidRDefault="00527094">
            <w:pPr>
              <w:jc w:val="right"/>
              <w:rPr>
                <w:rFonts w:eastAsia="Times New Roman"/>
                <w:sz w:val="16"/>
                <w:szCs w:val="16"/>
              </w:rPr>
            </w:pPr>
            <w:r>
              <w:rPr>
                <w:rFonts w:eastAsia="Times New Roman"/>
                <w:sz w:val="16"/>
                <w:szCs w:val="16"/>
              </w:rPr>
              <w:t>1,810</w:t>
            </w:r>
          </w:p>
        </w:tc>
        <w:tc>
          <w:tcPr>
            <w:tcW w:w="50" w:type="pct"/>
            <w:shd w:val="clear" w:color="auto" w:fill="CCEEFF"/>
            <w:vAlign w:val="bottom"/>
            <w:hideMark/>
          </w:tcPr>
          <w:p w14:paraId="754BEF3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249F4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FFCE67"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09DE3E9" w14:textId="77777777" w:rsidR="00000000" w:rsidRDefault="00527094">
            <w:pPr>
              <w:jc w:val="right"/>
              <w:rPr>
                <w:rFonts w:eastAsia="Times New Roman"/>
                <w:sz w:val="16"/>
                <w:szCs w:val="16"/>
              </w:rPr>
            </w:pPr>
            <w:r>
              <w:rPr>
                <w:rFonts w:eastAsia="Times New Roman"/>
                <w:sz w:val="16"/>
                <w:szCs w:val="16"/>
              </w:rPr>
              <w:t>1,811</w:t>
            </w:r>
          </w:p>
        </w:tc>
        <w:tc>
          <w:tcPr>
            <w:tcW w:w="50" w:type="pct"/>
            <w:shd w:val="clear" w:color="auto" w:fill="CCEEFF"/>
            <w:vAlign w:val="bottom"/>
            <w:hideMark/>
          </w:tcPr>
          <w:p w14:paraId="743D5F1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7543D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B7F37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E03A872"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D61E832"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158448" w14:textId="77777777" w:rsidR="00000000" w:rsidRDefault="0052709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8087E2"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1E9DF1E" w14:textId="77777777" w:rsidR="00000000" w:rsidRDefault="00527094">
            <w:pPr>
              <w:jc w:val="right"/>
              <w:rPr>
                <w:rFonts w:eastAsia="Times New Roman"/>
                <w:sz w:val="16"/>
                <w:szCs w:val="16"/>
              </w:rPr>
            </w:pPr>
            <w:r>
              <w:rPr>
                <w:rFonts w:eastAsia="Times New Roman"/>
                <w:sz w:val="16"/>
                <w:szCs w:val="16"/>
              </w:rPr>
              <w:t>1,811</w:t>
            </w:r>
          </w:p>
        </w:tc>
        <w:tc>
          <w:tcPr>
            <w:tcW w:w="50" w:type="pct"/>
            <w:shd w:val="clear" w:color="auto" w:fill="CCEEFF"/>
            <w:vAlign w:val="bottom"/>
            <w:hideMark/>
          </w:tcPr>
          <w:p w14:paraId="042138AD" w14:textId="77777777" w:rsidR="00000000" w:rsidRDefault="00527094">
            <w:pPr>
              <w:rPr>
                <w:rFonts w:eastAsia="Times New Roman"/>
                <w:sz w:val="16"/>
                <w:szCs w:val="16"/>
              </w:rPr>
            </w:pPr>
            <w:r>
              <w:rPr>
                <w:rFonts w:eastAsia="Times New Roman"/>
                <w:sz w:val="16"/>
                <w:szCs w:val="16"/>
              </w:rPr>
              <w:t> </w:t>
            </w:r>
          </w:p>
        </w:tc>
      </w:tr>
      <w:tr w:rsidR="00527094" w14:paraId="35913C62" w14:textId="77777777">
        <w:trPr>
          <w:divId w:val="1502234384"/>
          <w:tblCellSpacing w:w="0" w:type="dxa"/>
        </w:trPr>
        <w:tc>
          <w:tcPr>
            <w:tcW w:w="750" w:type="pct"/>
            <w:shd w:val="clear" w:color="auto" w:fill="FFFFFF"/>
            <w:vAlign w:val="bottom"/>
            <w:hideMark/>
          </w:tcPr>
          <w:p w14:paraId="3F099F6F" w14:textId="77777777" w:rsidR="00000000" w:rsidRDefault="00527094">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14:paraId="6F362BB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37B585"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03B5F0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0BA1DE3"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F194EB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EE176E"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10592FC"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DE46D9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F4E165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BC325F"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BE5186A"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0EE6734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E224D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AB499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D32A2EF"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AA18171"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EFA4F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996F0D"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D462A34"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14:paraId="27CDD69F"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AF616A"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938D635"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47E79A9"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30E0A09"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CA3B33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201F4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E5D956D" w14:textId="77777777" w:rsidR="00000000" w:rsidRDefault="00527094">
            <w:pPr>
              <w:jc w:val="right"/>
              <w:rPr>
                <w:rFonts w:eastAsia="Times New Roman"/>
                <w:sz w:val="16"/>
                <w:szCs w:val="16"/>
              </w:rPr>
            </w:pPr>
            <w:r>
              <w:rPr>
                <w:rFonts w:eastAsia="Times New Roman"/>
                <w:sz w:val="16"/>
                <w:szCs w:val="16"/>
              </w:rPr>
              <w:t>9,714</w:t>
            </w:r>
          </w:p>
        </w:tc>
        <w:tc>
          <w:tcPr>
            <w:tcW w:w="50" w:type="pct"/>
            <w:shd w:val="clear" w:color="auto" w:fill="FFFFFF"/>
            <w:vAlign w:val="bottom"/>
            <w:hideMark/>
          </w:tcPr>
          <w:p w14:paraId="173A693E"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E41FB4"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A10E5C"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5B0D4B0" w14:textId="77777777" w:rsidR="00000000" w:rsidRDefault="00527094">
            <w:pPr>
              <w:jc w:val="right"/>
              <w:rPr>
                <w:rFonts w:eastAsia="Times New Roman"/>
                <w:sz w:val="16"/>
                <w:szCs w:val="16"/>
              </w:rPr>
            </w:pPr>
            <w:r>
              <w:rPr>
                <w:rFonts w:eastAsia="Times New Roman"/>
                <w:sz w:val="16"/>
                <w:szCs w:val="16"/>
              </w:rPr>
              <w:t>9,714</w:t>
            </w:r>
          </w:p>
        </w:tc>
        <w:tc>
          <w:tcPr>
            <w:tcW w:w="50" w:type="pct"/>
            <w:shd w:val="clear" w:color="auto" w:fill="FFFFFF"/>
            <w:vAlign w:val="bottom"/>
            <w:hideMark/>
          </w:tcPr>
          <w:p w14:paraId="6BDC21A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04DD75"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B0DC33" w14:textId="77777777" w:rsidR="00000000" w:rsidRDefault="0052709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BFC4C65" w14:textId="77777777" w:rsidR="00000000" w:rsidRDefault="0052709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90B9D8D"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A80290" w14:textId="77777777" w:rsidR="00000000" w:rsidRDefault="0052709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772E13" w14:textId="77777777" w:rsidR="00000000" w:rsidRDefault="0052709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42F47A0" w14:textId="77777777" w:rsidR="00000000" w:rsidRDefault="00527094">
            <w:pPr>
              <w:jc w:val="right"/>
              <w:rPr>
                <w:rFonts w:eastAsia="Times New Roman"/>
                <w:sz w:val="16"/>
                <w:szCs w:val="16"/>
              </w:rPr>
            </w:pPr>
            <w:r>
              <w:rPr>
                <w:rFonts w:eastAsia="Times New Roman"/>
                <w:sz w:val="16"/>
                <w:szCs w:val="16"/>
              </w:rPr>
              <w:t>9,714</w:t>
            </w:r>
          </w:p>
        </w:tc>
        <w:tc>
          <w:tcPr>
            <w:tcW w:w="50" w:type="pct"/>
            <w:shd w:val="clear" w:color="auto" w:fill="FFFFFF"/>
            <w:vAlign w:val="bottom"/>
            <w:hideMark/>
          </w:tcPr>
          <w:p w14:paraId="44DB8BDB" w14:textId="77777777" w:rsidR="00000000" w:rsidRDefault="00527094">
            <w:pPr>
              <w:rPr>
                <w:rFonts w:eastAsia="Times New Roman"/>
                <w:sz w:val="16"/>
                <w:szCs w:val="16"/>
              </w:rPr>
            </w:pPr>
            <w:r>
              <w:rPr>
                <w:rFonts w:eastAsia="Times New Roman"/>
                <w:sz w:val="16"/>
                <w:szCs w:val="16"/>
              </w:rPr>
              <w:t> </w:t>
            </w:r>
          </w:p>
        </w:tc>
      </w:tr>
      <w:tr w:rsidR="00527094" w14:paraId="41609CFC" w14:textId="77777777">
        <w:trPr>
          <w:divId w:val="1502234384"/>
          <w:tblCellSpacing w:w="0" w:type="dxa"/>
        </w:trPr>
        <w:tc>
          <w:tcPr>
            <w:tcW w:w="750" w:type="pct"/>
            <w:shd w:val="clear" w:color="auto" w:fill="CCEEFF"/>
            <w:vAlign w:val="bottom"/>
            <w:hideMark/>
          </w:tcPr>
          <w:p w14:paraId="1FC63DB1" w14:textId="77777777" w:rsidR="00000000" w:rsidRDefault="00527094">
            <w:pPr>
              <w:pStyle w:val="a3"/>
              <w:spacing w:before="0" w:beforeAutospacing="0" w:after="0" w:afterAutospacing="0"/>
              <w:rPr>
                <w:sz w:val="16"/>
                <w:szCs w:val="16"/>
              </w:rPr>
            </w:pPr>
            <w:r>
              <w:rPr>
                <w:sz w:val="16"/>
                <w:szCs w:val="16"/>
              </w:rPr>
              <w:t>Acquisition of noncontrolling interests</w:t>
            </w:r>
          </w:p>
        </w:tc>
        <w:tc>
          <w:tcPr>
            <w:tcW w:w="50" w:type="pct"/>
            <w:shd w:val="clear" w:color="auto" w:fill="CCEEFF"/>
            <w:tcMar>
              <w:top w:w="0" w:type="dxa"/>
              <w:left w:w="0" w:type="dxa"/>
              <w:bottom w:w="15" w:type="dxa"/>
              <w:right w:w="0" w:type="dxa"/>
            </w:tcMar>
            <w:vAlign w:val="bottom"/>
            <w:hideMark/>
          </w:tcPr>
          <w:p w14:paraId="13396AB9"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CBFF042"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0A70DE89"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2715D6FB"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BE53148"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2A03F51"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08A9EE0E"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7A1E4AA7"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722D204"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DDFCC48"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5DAC9E20"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423B25C4"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224988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0FB97EF"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4F006418"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5D0CD65E"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088BDCC"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8E6194C"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1E653873" w14:textId="77777777" w:rsidR="00000000" w:rsidRDefault="00527094">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14:paraId="2C336454"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A9CA81B"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6E9F97C"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0914F68C"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04430CF0"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B540FE2"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2F20987"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1A642AE8" w14:textId="77777777" w:rsidR="00000000" w:rsidRDefault="0052709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CCEEFF"/>
            <w:vAlign w:val="bottom"/>
            <w:hideMark/>
          </w:tcPr>
          <w:p w14:paraId="0FCEB5DE"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823B6E1"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D2B962D"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6C2D1E47" w14:textId="77777777" w:rsidR="00000000" w:rsidRDefault="0052709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CCEEFF"/>
            <w:vAlign w:val="bottom"/>
            <w:hideMark/>
          </w:tcPr>
          <w:p w14:paraId="19EF7325"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22114E8"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A2BC02E" w14:textId="77777777" w:rsidR="00000000" w:rsidRDefault="0052709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1B786B85" w14:textId="77777777" w:rsidR="00000000" w:rsidRDefault="00527094">
            <w:pPr>
              <w:jc w:val="right"/>
              <w:rPr>
                <w:rFonts w:eastAsia="Times New Roman"/>
                <w:sz w:val="16"/>
                <w:szCs w:val="16"/>
              </w:rPr>
            </w:pPr>
            <w:r>
              <w:rPr>
                <w:rFonts w:eastAsia="Times New Roman"/>
                <w:sz w:val="16"/>
                <w:szCs w:val="16"/>
              </w:rPr>
              <w:t>(3,215</w:t>
            </w:r>
          </w:p>
        </w:tc>
        <w:tc>
          <w:tcPr>
            <w:tcW w:w="50" w:type="pct"/>
            <w:tcBorders>
              <w:bottom w:val="single" w:sz="6" w:space="0" w:color="000000"/>
            </w:tcBorders>
            <w:shd w:val="clear" w:color="auto" w:fill="CCEEFF"/>
            <w:vAlign w:val="bottom"/>
            <w:hideMark/>
          </w:tcPr>
          <w:p w14:paraId="75C199BE" w14:textId="77777777" w:rsidR="00000000" w:rsidRDefault="0052709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1F33F25B" w14:textId="77777777" w:rsidR="00000000" w:rsidRDefault="0052709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6E548EE" w14:textId="77777777" w:rsidR="00000000" w:rsidRDefault="0052709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452B8AF5" w14:textId="77777777" w:rsidR="00000000" w:rsidRDefault="00527094">
            <w:pPr>
              <w:jc w:val="right"/>
              <w:rPr>
                <w:rFonts w:eastAsia="Times New Roman"/>
                <w:sz w:val="16"/>
                <w:szCs w:val="16"/>
              </w:rPr>
            </w:pPr>
            <w:r>
              <w:rPr>
                <w:rFonts w:eastAsia="Times New Roman"/>
                <w:sz w:val="16"/>
                <w:szCs w:val="16"/>
              </w:rPr>
              <w:t>(2,726</w:t>
            </w:r>
          </w:p>
        </w:tc>
        <w:tc>
          <w:tcPr>
            <w:tcW w:w="50" w:type="pct"/>
            <w:shd w:val="clear" w:color="auto" w:fill="CCEEFF"/>
            <w:tcMar>
              <w:top w:w="0" w:type="dxa"/>
              <w:left w:w="0" w:type="dxa"/>
              <w:bottom w:w="15" w:type="dxa"/>
              <w:right w:w="0" w:type="dxa"/>
            </w:tcMar>
            <w:vAlign w:val="bottom"/>
            <w:hideMark/>
          </w:tcPr>
          <w:p w14:paraId="327EB132" w14:textId="77777777" w:rsidR="00000000" w:rsidRDefault="00527094">
            <w:pPr>
              <w:rPr>
                <w:rFonts w:eastAsia="Times New Roman"/>
                <w:sz w:val="16"/>
                <w:szCs w:val="16"/>
              </w:rPr>
            </w:pPr>
            <w:r>
              <w:rPr>
                <w:rFonts w:eastAsia="Times New Roman"/>
                <w:sz w:val="16"/>
                <w:szCs w:val="16"/>
              </w:rPr>
              <w:t>)</w:t>
            </w:r>
          </w:p>
        </w:tc>
      </w:tr>
      <w:tr w:rsidR="00527094" w14:paraId="5583AE6A" w14:textId="77777777">
        <w:trPr>
          <w:divId w:val="1502234384"/>
          <w:tblCellSpacing w:w="0" w:type="dxa"/>
        </w:trPr>
        <w:tc>
          <w:tcPr>
            <w:tcW w:w="750" w:type="pct"/>
            <w:shd w:val="clear" w:color="auto" w:fill="FFFFFF"/>
            <w:vAlign w:val="bottom"/>
            <w:hideMark/>
          </w:tcPr>
          <w:p w14:paraId="327356E0" w14:textId="77777777" w:rsidR="00000000" w:rsidRDefault="00527094">
            <w:pPr>
              <w:pStyle w:val="a3"/>
              <w:spacing w:before="0" w:beforeAutospacing="0" w:after="0" w:afterAutospacing="0"/>
              <w:rPr>
                <w:sz w:val="16"/>
                <w:szCs w:val="16"/>
              </w:rPr>
            </w:pPr>
            <w:r>
              <w:rPr>
                <w:sz w:val="16"/>
                <w:szCs w:val="16"/>
              </w:rPr>
              <w:t>Balance at June 30, 2019</w:t>
            </w:r>
          </w:p>
        </w:tc>
        <w:tc>
          <w:tcPr>
            <w:tcW w:w="50" w:type="pct"/>
            <w:shd w:val="clear" w:color="auto" w:fill="FFFFFF"/>
            <w:vAlign w:val="bottom"/>
            <w:hideMark/>
          </w:tcPr>
          <w:p w14:paraId="0DD8955D"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8E6B6EC"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56046708" w14:textId="77777777" w:rsidR="00000000" w:rsidRDefault="00527094">
            <w:pPr>
              <w:jc w:val="right"/>
              <w:rPr>
                <w:rFonts w:eastAsia="Times New Roman"/>
                <w:sz w:val="16"/>
                <w:szCs w:val="16"/>
              </w:rPr>
            </w:pPr>
            <w:r>
              <w:rPr>
                <w:rFonts w:eastAsia="Times New Roman"/>
                <w:sz w:val="16"/>
                <w:szCs w:val="16"/>
              </w:rPr>
              <w:t>(835,934</w:t>
            </w:r>
          </w:p>
        </w:tc>
        <w:tc>
          <w:tcPr>
            <w:tcW w:w="50" w:type="pct"/>
            <w:tcBorders>
              <w:bottom w:val="double" w:sz="6" w:space="0" w:color="000000"/>
            </w:tcBorders>
            <w:shd w:val="clear" w:color="auto" w:fill="FFFFFF"/>
            <w:vAlign w:val="bottom"/>
            <w:hideMark/>
          </w:tcPr>
          <w:p w14:paraId="01F17BF2" w14:textId="77777777" w:rsidR="00000000" w:rsidRDefault="0052709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282CA4D1"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3BBBEB8"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64906CB0" w14:textId="77777777" w:rsidR="00000000" w:rsidRDefault="00527094">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13A67F98"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579B405"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8FC20CC"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5B830B0C"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4D4BBC80"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D8B5EF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6C78CEA"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0075BCA9" w14:textId="77777777" w:rsidR="00000000" w:rsidRDefault="0052709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14:paraId="3FD35618"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99AA120"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C2415BA" w14:textId="77777777" w:rsidR="00000000" w:rsidRDefault="0052709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7F6256E2" w14:textId="77777777" w:rsidR="00000000" w:rsidRDefault="00527094">
            <w:pPr>
              <w:jc w:val="right"/>
              <w:rPr>
                <w:rFonts w:eastAsia="Times New Roman"/>
                <w:sz w:val="16"/>
                <w:szCs w:val="16"/>
              </w:rPr>
            </w:pPr>
            <w:r>
              <w:rPr>
                <w:rFonts w:eastAsia="Times New Roman"/>
                <w:sz w:val="16"/>
                <w:szCs w:val="16"/>
              </w:rPr>
              <w:t>422,094</w:t>
            </w:r>
          </w:p>
        </w:tc>
        <w:tc>
          <w:tcPr>
            <w:tcW w:w="50" w:type="pct"/>
            <w:tcBorders>
              <w:bottom w:val="double" w:sz="6" w:space="0" w:color="000000"/>
            </w:tcBorders>
            <w:shd w:val="clear" w:color="auto" w:fill="FFFFFF"/>
            <w:vAlign w:val="bottom"/>
            <w:hideMark/>
          </w:tcPr>
          <w:p w14:paraId="7AAC25E4"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9369D88"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F462E10"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42621CD7" w14:textId="77777777" w:rsidR="00000000" w:rsidRDefault="00527094">
            <w:pPr>
              <w:jc w:val="right"/>
              <w:rPr>
                <w:rFonts w:eastAsia="Times New Roman"/>
                <w:sz w:val="16"/>
                <w:szCs w:val="16"/>
              </w:rPr>
            </w:pPr>
            <w:r>
              <w:rPr>
                <w:rFonts w:eastAsia="Times New Roman"/>
                <w:sz w:val="16"/>
                <w:szCs w:val="16"/>
              </w:rPr>
              <w:t>4,221</w:t>
            </w:r>
          </w:p>
        </w:tc>
        <w:tc>
          <w:tcPr>
            <w:tcW w:w="50" w:type="pct"/>
            <w:tcBorders>
              <w:bottom w:val="double" w:sz="6" w:space="0" w:color="000000"/>
            </w:tcBorders>
            <w:shd w:val="clear" w:color="auto" w:fill="FFFFFF"/>
            <w:vAlign w:val="bottom"/>
            <w:hideMark/>
          </w:tcPr>
          <w:p w14:paraId="48F935DA"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B93CC8E"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01B2DB1"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7DB4AB6D" w14:textId="77777777" w:rsidR="00000000" w:rsidRDefault="00527094">
            <w:pPr>
              <w:jc w:val="right"/>
              <w:rPr>
                <w:rFonts w:eastAsia="Times New Roman"/>
                <w:sz w:val="16"/>
                <w:szCs w:val="16"/>
              </w:rPr>
            </w:pPr>
            <w:r>
              <w:rPr>
                <w:rFonts w:eastAsia="Times New Roman"/>
                <w:sz w:val="16"/>
                <w:szCs w:val="16"/>
              </w:rPr>
              <w:t>6,125,572</w:t>
            </w:r>
          </w:p>
        </w:tc>
        <w:tc>
          <w:tcPr>
            <w:tcW w:w="50" w:type="pct"/>
            <w:tcBorders>
              <w:bottom w:val="double" w:sz="6" w:space="0" w:color="000000"/>
            </w:tcBorders>
            <w:shd w:val="clear" w:color="auto" w:fill="FFFFFF"/>
            <w:vAlign w:val="bottom"/>
            <w:hideMark/>
          </w:tcPr>
          <w:p w14:paraId="1721636B"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6EFCC38"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87A8411"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3F29669A" w14:textId="77777777" w:rsidR="00000000" w:rsidRDefault="00527094">
            <w:pPr>
              <w:jc w:val="right"/>
              <w:rPr>
                <w:rFonts w:eastAsia="Times New Roman"/>
                <w:sz w:val="16"/>
                <w:szCs w:val="16"/>
              </w:rPr>
            </w:pPr>
            <w:r>
              <w:rPr>
                <w:rFonts w:eastAsia="Times New Roman"/>
                <w:sz w:val="16"/>
                <w:szCs w:val="16"/>
              </w:rPr>
              <w:t>5,293,902</w:t>
            </w:r>
          </w:p>
        </w:tc>
        <w:tc>
          <w:tcPr>
            <w:tcW w:w="50" w:type="pct"/>
            <w:tcBorders>
              <w:bottom w:val="double" w:sz="6" w:space="0" w:color="000000"/>
            </w:tcBorders>
            <w:shd w:val="clear" w:color="auto" w:fill="FFFFFF"/>
            <w:vAlign w:val="bottom"/>
            <w:hideMark/>
          </w:tcPr>
          <w:p w14:paraId="32520766"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FF2ABA6"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BAFBFBE" w14:textId="77777777" w:rsidR="00000000" w:rsidRDefault="0052709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505BBDF4" w14:textId="77777777" w:rsidR="00000000" w:rsidRDefault="00527094">
            <w:pPr>
              <w:jc w:val="right"/>
              <w:rPr>
                <w:rFonts w:eastAsia="Times New Roman"/>
                <w:sz w:val="16"/>
                <w:szCs w:val="16"/>
              </w:rPr>
            </w:pPr>
            <w:r>
              <w:rPr>
                <w:rFonts w:eastAsia="Times New Roman"/>
                <w:sz w:val="16"/>
                <w:szCs w:val="16"/>
              </w:rPr>
              <w:t>73,559</w:t>
            </w:r>
          </w:p>
        </w:tc>
        <w:tc>
          <w:tcPr>
            <w:tcW w:w="50" w:type="pct"/>
            <w:tcBorders>
              <w:bottom w:val="double" w:sz="6" w:space="0" w:color="000000"/>
            </w:tcBorders>
            <w:shd w:val="clear" w:color="auto" w:fill="FFFFFF"/>
            <w:vAlign w:val="bottom"/>
            <w:hideMark/>
          </w:tcPr>
          <w:p w14:paraId="6A932310"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9B50C75" w14:textId="77777777" w:rsidR="00000000" w:rsidRDefault="0052709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1ABB0B5" w14:textId="77777777" w:rsidR="00000000" w:rsidRDefault="0052709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52A6DF2D" w14:textId="77777777" w:rsidR="00000000" w:rsidRDefault="00527094">
            <w:pPr>
              <w:jc w:val="right"/>
              <w:rPr>
                <w:rFonts w:eastAsia="Times New Roman"/>
                <w:sz w:val="16"/>
                <w:szCs w:val="16"/>
              </w:rPr>
            </w:pPr>
            <w:r>
              <w:rPr>
                <w:rFonts w:eastAsia="Times New Roman"/>
                <w:sz w:val="16"/>
                <w:szCs w:val="16"/>
              </w:rPr>
              <w:t>5,367,461</w:t>
            </w:r>
          </w:p>
        </w:tc>
        <w:tc>
          <w:tcPr>
            <w:tcW w:w="50" w:type="pct"/>
            <w:shd w:val="clear" w:color="auto" w:fill="FFFFFF"/>
            <w:tcMar>
              <w:top w:w="0" w:type="dxa"/>
              <w:left w:w="0" w:type="dxa"/>
              <w:bottom w:w="45" w:type="dxa"/>
              <w:right w:w="0" w:type="dxa"/>
            </w:tcMar>
            <w:vAlign w:val="bottom"/>
            <w:hideMark/>
          </w:tcPr>
          <w:p w14:paraId="66CCAFDD" w14:textId="77777777" w:rsidR="00000000" w:rsidRDefault="00527094">
            <w:pPr>
              <w:rPr>
                <w:rFonts w:eastAsia="Times New Roman"/>
                <w:sz w:val="16"/>
                <w:szCs w:val="16"/>
              </w:rPr>
            </w:pPr>
            <w:r>
              <w:rPr>
                <w:rFonts w:eastAsia="Times New Roman"/>
                <w:sz w:val="16"/>
                <w:szCs w:val="16"/>
              </w:rPr>
              <w:t> </w:t>
            </w:r>
          </w:p>
        </w:tc>
      </w:tr>
    </w:tbl>
    <w:p w14:paraId="37C6FF63" w14:textId="77777777" w:rsidR="00000000" w:rsidRDefault="00527094">
      <w:pPr>
        <w:pStyle w:val="a3"/>
        <w:spacing w:before="0" w:beforeAutospacing="0" w:after="0" w:afterAutospacing="0"/>
        <w:rPr>
          <w:sz w:val="20"/>
          <w:szCs w:val="20"/>
        </w:rPr>
      </w:pPr>
      <w:r>
        <w:rPr>
          <w:sz w:val="20"/>
          <w:szCs w:val="20"/>
        </w:rPr>
        <w:t> </w:t>
      </w:r>
    </w:p>
    <w:p w14:paraId="68403B80" w14:textId="77777777" w:rsidR="00000000" w:rsidRDefault="00527094">
      <w:pPr>
        <w:pStyle w:val="a3"/>
        <w:spacing w:before="0" w:beforeAutospacing="0" w:after="0" w:afterAutospacing="0"/>
        <w:rPr>
          <w:sz w:val="20"/>
          <w:szCs w:val="20"/>
        </w:rPr>
      </w:pPr>
      <w:r>
        <w:rPr>
          <w:sz w:val="20"/>
          <w:szCs w:val="20"/>
        </w:rPr>
        <w:t> </w:t>
      </w:r>
    </w:p>
    <w:p w14:paraId="033782BB" w14:textId="77777777" w:rsidR="00000000" w:rsidRDefault="0052709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039F02A0" w14:textId="77777777" w:rsidR="00000000" w:rsidRDefault="00527094">
      <w:pPr>
        <w:pStyle w:val="a3"/>
        <w:spacing w:before="0" w:beforeAutospacing="0" w:after="0" w:afterAutospacing="0"/>
        <w:rPr>
          <w:sz w:val="20"/>
          <w:szCs w:val="20"/>
        </w:rPr>
      </w:pPr>
      <w:r>
        <w:rPr>
          <w:sz w:val="20"/>
          <w:szCs w:val="20"/>
        </w:rPr>
        <w:t> </w:t>
      </w:r>
    </w:p>
    <w:p w14:paraId="06345A92" w14:textId="77777777" w:rsidR="00000000" w:rsidRDefault="00527094">
      <w:pPr>
        <w:jc w:val="center"/>
        <w:divId w:val="1619751358"/>
        <w:rPr>
          <w:rFonts w:eastAsia="Times New Roman"/>
          <w:sz w:val="20"/>
          <w:szCs w:val="20"/>
        </w:rPr>
      </w:pPr>
      <w:r>
        <w:rPr>
          <w:rFonts w:eastAsia="Times New Roman"/>
          <w:sz w:val="20"/>
          <w:szCs w:val="20"/>
        </w:rPr>
        <w:t xml:space="preserve">7 </w:t>
      </w:r>
    </w:p>
    <w:p w14:paraId="21833E1E" w14:textId="77777777" w:rsidR="00000000" w:rsidRDefault="00527094">
      <w:pPr>
        <w:divId w:val="1619751358"/>
        <w:rPr>
          <w:rFonts w:eastAsia="Times New Roman"/>
          <w:sz w:val="20"/>
          <w:szCs w:val="20"/>
        </w:rPr>
      </w:pPr>
      <w:r>
        <w:rPr>
          <w:rFonts w:eastAsia="Times New Roman"/>
          <w:sz w:val="20"/>
          <w:szCs w:val="20"/>
        </w:rPr>
        <w:pict w14:anchorId="3B14B26C">
          <v:rect id="_x0000_i1035" style="width:0;height:1.5pt" o:hralign="center" o:hrstd="t" o:hr="t" fillcolor="#a0a0a0" stroked="f"/>
        </w:pict>
      </w:r>
    </w:p>
    <w:p w14:paraId="42F2BA20" w14:textId="77777777" w:rsidR="00000000" w:rsidRDefault="00527094">
      <w:pPr>
        <w:divId w:val="16197513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4DB3D88" w14:textId="77777777" w:rsidR="00000000" w:rsidRDefault="00527094">
      <w:pPr>
        <w:pStyle w:val="a3"/>
        <w:spacing w:before="0" w:beforeAutospacing="0" w:after="0" w:afterAutospacing="0"/>
        <w:rPr>
          <w:sz w:val="20"/>
          <w:szCs w:val="20"/>
        </w:rPr>
      </w:pPr>
      <w:r>
        <w:rPr>
          <w:sz w:val="20"/>
          <w:szCs w:val="20"/>
        </w:rPr>
        <w:t> </w:t>
      </w:r>
    </w:p>
    <w:p w14:paraId="19D4776E" w14:textId="77777777" w:rsidR="00000000" w:rsidRDefault="00527094">
      <w:pPr>
        <w:divId w:val="574318400"/>
        <w:rPr>
          <w:rFonts w:eastAsia="Times New Roman"/>
          <w:sz w:val="20"/>
          <w:szCs w:val="20"/>
        </w:rPr>
      </w:pPr>
      <w:r>
        <w:rPr>
          <w:rFonts w:eastAsia="Times New Roman"/>
          <w:sz w:val="20"/>
          <w:szCs w:val="20"/>
        </w:rPr>
        <w:t xml:space="preserve">  </w:t>
      </w:r>
    </w:p>
    <w:p w14:paraId="06F67588" w14:textId="77777777" w:rsidR="00000000" w:rsidRDefault="00527094">
      <w:pPr>
        <w:pStyle w:val="a3"/>
        <w:spacing w:before="0" w:beforeAutospacing="0" w:after="0" w:afterAutospacing="0"/>
        <w:jc w:val="center"/>
        <w:rPr>
          <w:sz w:val="20"/>
          <w:szCs w:val="20"/>
        </w:rPr>
      </w:pPr>
      <w:r>
        <w:rPr>
          <w:sz w:val="20"/>
          <w:szCs w:val="20"/>
        </w:rPr>
        <w:t>KIMCO REALTY CORPORATION AND SUBS</w:t>
      </w:r>
      <w:r>
        <w:rPr>
          <w:sz w:val="20"/>
          <w:szCs w:val="20"/>
        </w:rPr>
        <w:t>IDIARIES</w:t>
      </w:r>
    </w:p>
    <w:p w14:paraId="38078938" w14:textId="77777777" w:rsidR="00000000" w:rsidRDefault="00527094">
      <w:pPr>
        <w:pStyle w:val="a3"/>
        <w:spacing w:before="0" w:beforeAutospacing="0" w:after="0" w:afterAutospacing="0"/>
        <w:jc w:val="center"/>
        <w:rPr>
          <w:sz w:val="20"/>
          <w:szCs w:val="20"/>
        </w:rPr>
      </w:pPr>
      <w:r>
        <w:rPr>
          <w:sz w:val="20"/>
          <w:szCs w:val="20"/>
        </w:rPr>
        <w:t>CONDENSED CONSOLIDATED STATEMENTS OF CASH FLOWS</w:t>
      </w:r>
    </w:p>
    <w:p w14:paraId="142806A2" w14:textId="77777777" w:rsidR="00000000" w:rsidRDefault="00527094">
      <w:pPr>
        <w:pStyle w:val="a3"/>
        <w:spacing w:before="0" w:beforeAutospacing="0" w:after="0" w:afterAutospacing="0"/>
        <w:jc w:val="center"/>
        <w:rPr>
          <w:sz w:val="20"/>
          <w:szCs w:val="20"/>
        </w:rPr>
      </w:pPr>
      <w:r>
        <w:rPr>
          <w:sz w:val="20"/>
          <w:szCs w:val="20"/>
        </w:rPr>
        <w:t>(Unaudited)</w:t>
      </w:r>
    </w:p>
    <w:p w14:paraId="5E932DCC" w14:textId="77777777" w:rsidR="00000000" w:rsidRDefault="00527094">
      <w:pPr>
        <w:pStyle w:val="a3"/>
        <w:spacing w:before="0" w:beforeAutospacing="0" w:after="0" w:afterAutospacing="0"/>
        <w:jc w:val="center"/>
        <w:rPr>
          <w:sz w:val="20"/>
          <w:szCs w:val="20"/>
        </w:rPr>
      </w:pPr>
      <w:r>
        <w:rPr>
          <w:sz w:val="20"/>
          <w:szCs w:val="20"/>
        </w:rPr>
        <w:t>(in thousands)</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5F770EF0" w14:textId="77777777">
        <w:trPr>
          <w:divId w:val="550390147"/>
          <w:tblCellSpacing w:w="0" w:type="dxa"/>
        </w:trPr>
        <w:tc>
          <w:tcPr>
            <w:tcW w:w="0" w:type="auto"/>
            <w:vAlign w:val="bottom"/>
            <w:hideMark/>
          </w:tcPr>
          <w:p w14:paraId="4F50C6B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8E56CD8" w14:textId="77777777" w:rsidR="00000000" w:rsidRDefault="00527094">
            <w:pPr>
              <w:rPr>
                <w:rFonts w:eastAsia="Times New Roman"/>
                <w:sz w:val="20"/>
                <w:szCs w:val="20"/>
              </w:rPr>
            </w:pPr>
            <w:r>
              <w:rPr>
                <w:rFonts w:eastAsia="Times New Roman"/>
                <w:sz w:val="20"/>
                <w:szCs w:val="20"/>
              </w:rPr>
              <w:t> </w:t>
            </w:r>
          </w:p>
        </w:tc>
        <w:tc>
          <w:tcPr>
            <w:tcW w:w="0" w:type="auto"/>
            <w:gridSpan w:val="6"/>
            <w:vAlign w:val="bottom"/>
            <w:hideMark/>
          </w:tcPr>
          <w:p w14:paraId="448D840B" w14:textId="77777777" w:rsidR="00000000" w:rsidRDefault="00527094">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14:paraId="040F7137" w14:textId="77777777" w:rsidR="00000000" w:rsidRDefault="00527094">
            <w:pPr>
              <w:rPr>
                <w:rFonts w:eastAsia="Times New Roman"/>
                <w:sz w:val="20"/>
                <w:szCs w:val="20"/>
              </w:rPr>
            </w:pPr>
            <w:r>
              <w:rPr>
                <w:rFonts w:eastAsia="Times New Roman"/>
                <w:sz w:val="20"/>
                <w:szCs w:val="20"/>
              </w:rPr>
              <w:t> </w:t>
            </w:r>
          </w:p>
        </w:tc>
      </w:tr>
      <w:tr w:rsidR="00000000" w14:paraId="3882022D" w14:textId="77777777">
        <w:trPr>
          <w:divId w:val="550390147"/>
          <w:tblCellSpacing w:w="0" w:type="dxa"/>
        </w:trPr>
        <w:tc>
          <w:tcPr>
            <w:tcW w:w="0" w:type="auto"/>
            <w:vAlign w:val="bottom"/>
            <w:hideMark/>
          </w:tcPr>
          <w:p w14:paraId="758503B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AECB7B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64F8892"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437144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0115CA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51B63DA"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6D29A9A" w14:textId="77777777" w:rsidR="00000000" w:rsidRDefault="00527094">
            <w:pPr>
              <w:rPr>
                <w:rFonts w:eastAsia="Times New Roman"/>
                <w:sz w:val="20"/>
                <w:szCs w:val="20"/>
              </w:rPr>
            </w:pPr>
            <w:r>
              <w:rPr>
                <w:rFonts w:eastAsia="Times New Roman"/>
                <w:sz w:val="20"/>
                <w:szCs w:val="20"/>
              </w:rPr>
              <w:t> </w:t>
            </w:r>
          </w:p>
        </w:tc>
      </w:tr>
      <w:tr w:rsidR="00000000" w14:paraId="10D1BE5F" w14:textId="77777777">
        <w:trPr>
          <w:divId w:val="550390147"/>
          <w:tblCellSpacing w:w="0" w:type="dxa"/>
        </w:trPr>
        <w:tc>
          <w:tcPr>
            <w:tcW w:w="0" w:type="auto"/>
            <w:vAlign w:val="bottom"/>
            <w:hideMark/>
          </w:tcPr>
          <w:p w14:paraId="6E9A585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23B828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00A6F9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B68072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0E7B42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3F6B9C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B419B9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EFB2A8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49A5C3F" w14:textId="77777777" w:rsidR="00000000" w:rsidRDefault="00527094">
            <w:pPr>
              <w:rPr>
                <w:rFonts w:eastAsia="Times New Roman"/>
                <w:sz w:val="20"/>
                <w:szCs w:val="20"/>
              </w:rPr>
            </w:pPr>
            <w:r>
              <w:rPr>
                <w:rFonts w:eastAsia="Times New Roman"/>
                <w:sz w:val="20"/>
                <w:szCs w:val="20"/>
              </w:rPr>
              <w:t> </w:t>
            </w:r>
          </w:p>
        </w:tc>
      </w:tr>
      <w:tr w:rsidR="00000000" w14:paraId="65FF58C1" w14:textId="77777777">
        <w:trPr>
          <w:divId w:val="550390147"/>
          <w:tblCellSpacing w:w="0" w:type="dxa"/>
        </w:trPr>
        <w:tc>
          <w:tcPr>
            <w:tcW w:w="3500" w:type="pct"/>
            <w:shd w:val="clear" w:color="auto" w:fill="CCEEFF"/>
            <w:vAlign w:val="bottom"/>
            <w:hideMark/>
          </w:tcPr>
          <w:p w14:paraId="5981020D" w14:textId="77777777" w:rsidR="00000000" w:rsidRDefault="00527094">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14:paraId="453887C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D11E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65223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D5FA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B902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C676D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92EC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1475FF" w14:textId="77777777" w:rsidR="00000000" w:rsidRDefault="00527094">
            <w:pPr>
              <w:rPr>
                <w:rFonts w:eastAsia="Times New Roman"/>
                <w:sz w:val="20"/>
                <w:szCs w:val="20"/>
              </w:rPr>
            </w:pPr>
            <w:r>
              <w:rPr>
                <w:rFonts w:eastAsia="Times New Roman"/>
                <w:sz w:val="20"/>
                <w:szCs w:val="20"/>
              </w:rPr>
              <w:t> </w:t>
            </w:r>
          </w:p>
        </w:tc>
      </w:tr>
      <w:tr w:rsidR="00000000" w14:paraId="22B7A679" w14:textId="77777777">
        <w:trPr>
          <w:divId w:val="550390147"/>
          <w:tblCellSpacing w:w="0" w:type="dxa"/>
        </w:trPr>
        <w:tc>
          <w:tcPr>
            <w:tcW w:w="0" w:type="auto"/>
            <w:shd w:val="clear" w:color="auto" w:fill="FFFFFF"/>
            <w:vAlign w:val="bottom"/>
            <w:hideMark/>
          </w:tcPr>
          <w:p w14:paraId="0FFCC8E6" w14:textId="77777777" w:rsidR="00000000" w:rsidRDefault="00527094">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14:paraId="6FB3CF6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9B1C9" w14:textId="77777777" w:rsidR="00000000" w:rsidRDefault="00527094">
            <w:pPr>
              <w:rPr>
                <w:rFonts w:eastAsia="Times New Roman"/>
                <w:sz w:val="20"/>
                <w:szCs w:val="20"/>
              </w:rPr>
            </w:pPr>
            <w:r>
              <w:rPr>
                <w:rFonts w:eastAsia="Times New Roman"/>
                <w:sz w:val="20"/>
                <w:szCs w:val="20"/>
              </w:rPr>
              <w:t>$</w:t>
            </w:r>
          </w:p>
        </w:tc>
        <w:tc>
          <w:tcPr>
            <w:tcW w:w="600" w:type="pct"/>
            <w:shd w:val="clear" w:color="auto" w:fill="FFFFFF"/>
            <w:vAlign w:val="bottom"/>
            <w:hideMark/>
          </w:tcPr>
          <w:p w14:paraId="3A964B8E" w14:textId="77777777" w:rsidR="00000000" w:rsidRDefault="00527094">
            <w:pPr>
              <w:jc w:val="right"/>
              <w:rPr>
                <w:rFonts w:eastAsia="Times New Roman"/>
                <w:sz w:val="20"/>
                <w:szCs w:val="20"/>
              </w:rPr>
            </w:pPr>
            <w:r>
              <w:rPr>
                <w:rFonts w:eastAsia="Times New Roman"/>
                <w:sz w:val="20"/>
                <w:szCs w:val="20"/>
              </w:rPr>
              <w:t>218,065</w:t>
            </w:r>
          </w:p>
        </w:tc>
        <w:tc>
          <w:tcPr>
            <w:tcW w:w="50" w:type="pct"/>
            <w:shd w:val="clear" w:color="auto" w:fill="FFFFFF"/>
            <w:vAlign w:val="bottom"/>
            <w:hideMark/>
          </w:tcPr>
          <w:p w14:paraId="32DD50C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7042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AC484F" w14:textId="77777777" w:rsidR="00000000" w:rsidRDefault="00527094">
            <w:pPr>
              <w:rPr>
                <w:rFonts w:eastAsia="Times New Roman"/>
                <w:sz w:val="20"/>
                <w:szCs w:val="20"/>
              </w:rPr>
            </w:pPr>
            <w:r>
              <w:rPr>
                <w:rFonts w:eastAsia="Times New Roman"/>
                <w:sz w:val="20"/>
                <w:szCs w:val="20"/>
              </w:rPr>
              <w:t>$</w:t>
            </w:r>
          </w:p>
        </w:tc>
        <w:tc>
          <w:tcPr>
            <w:tcW w:w="600" w:type="pct"/>
            <w:shd w:val="clear" w:color="auto" w:fill="FFFFFF"/>
            <w:vAlign w:val="bottom"/>
            <w:hideMark/>
          </w:tcPr>
          <w:p w14:paraId="2C5ECB5A" w14:textId="77777777" w:rsidR="00000000" w:rsidRDefault="00527094">
            <w:pPr>
              <w:jc w:val="right"/>
              <w:rPr>
                <w:rFonts w:eastAsia="Times New Roman"/>
                <w:sz w:val="20"/>
                <w:szCs w:val="20"/>
              </w:rPr>
            </w:pPr>
            <w:r>
              <w:rPr>
                <w:rFonts w:eastAsia="Times New Roman"/>
                <w:sz w:val="20"/>
                <w:szCs w:val="20"/>
              </w:rPr>
              <w:t>309,791</w:t>
            </w:r>
          </w:p>
        </w:tc>
        <w:tc>
          <w:tcPr>
            <w:tcW w:w="50" w:type="pct"/>
            <w:shd w:val="clear" w:color="auto" w:fill="FFFFFF"/>
            <w:vAlign w:val="bottom"/>
            <w:hideMark/>
          </w:tcPr>
          <w:p w14:paraId="4BAC0E91" w14:textId="77777777" w:rsidR="00000000" w:rsidRDefault="00527094">
            <w:pPr>
              <w:rPr>
                <w:rFonts w:eastAsia="Times New Roman"/>
                <w:sz w:val="20"/>
                <w:szCs w:val="20"/>
              </w:rPr>
            </w:pPr>
            <w:r>
              <w:rPr>
                <w:rFonts w:eastAsia="Times New Roman"/>
                <w:sz w:val="20"/>
                <w:szCs w:val="20"/>
              </w:rPr>
              <w:t> </w:t>
            </w:r>
          </w:p>
        </w:tc>
      </w:tr>
      <w:tr w:rsidR="00000000" w14:paraId="11742D50" w14:textId="77777777">
        <w:trPr>
          <w:divId w:val="550390147"/>
          <w:tblCellSpacing w:w="0" w:type="dxa"/>
        </w:trPr>
        <w:tc>
          <w:tcPr>
            <w:tcW w:w="0" w:type="auto"/>
            <w:shd w:val="clear" w:color="auto" w:fill="CCEEFF"/>
            <w:vAlign w:val="bottom"/>
            <w:hideMark/>
          </w:tcPr>
          <w:p w14:paraId="7A7A229B" w14:textId="77777777" w:rsidR="00000000" w:rsidRDefault="00527094">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14:paraId="3A8E8C6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ADC54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7126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0A0E2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CDB70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243C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1E2B4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E95C3" w14:textId="77777777" w:rsidR="00000000" w:rsidRDefault="00527094">
            <w:pPr>
              <w:rPr>
                <w:rFonts w:eastAsia="Times New Roman"/>
                <w:sz w:val="20"/>
                <w:szCs w:val="20"/>
              </w:rPr>
            </w:pPr>
            <w:r>
              <w:rPr>
                <w:rFonts w:eastAsia="Times New Roman"/>
                <w:sz w:val="20"/>
                <w:szCs w:val="20"/>
              </w:rPr>
              <w:t> </w:t>
            </w:r>
          </w:p>
        </w:tc>
      </w:tr>
      <w:tr w:rsidR="00000000" w14:paraId="4DE76371" w14:textId="77777777">
        <w:trPr>
          <w:divId w:val="550390147"/>
          <w:tblCellSpacing w:w="0" w:type="dxa"/>
        </w:trPr>
        <w:tc>
          <w:tcPr>
            <w:tcW w:w="0" w:type="auto"/>
            <w:shd w:val="clear" w:color="auto" w:fill="FFFFFF"/>
            <w:vAlign w:val="bottom"/>
            <w:hideMark/>
          </w:tcPr>
          <w:p w14:paraId="30FB16E0" w14:textId="77777777" w:rsidR="00000000" w:rsidRDefault="00527094">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2BA96DC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E58CC4"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A55FF64" w14:textId="77777777" w:rsidR="00000000" w:rsidRDefault="00527094">
            <w:pPr>
              <w:jc w:val="right"/>
              <w:rPr>
                <w:rFonts w:eastAsia="Times New Roman"/>
                <w:sz w:val="20"/>
                <w:szCs w:val="20"/>
              </w:rPr>
            </w:pPr>
            <w:r>
              <w:rPr>
                <w:rFonts w:eastAsia="Times New Roman"/>
                <w:sz w:val="20"/>
                <w:szCs w:val="20"/>
              </w:rPr>
              <w:t>140,566</w:t>
            </w:r>
          </w:p>
        </w:tc>
        <w:tc>
          <w:tcPr>
            <w:tcW w:w="50" w:type="pct"/>
            <w:shd w:val="clear" w:color="auto" w:fill="FFFFFF"/>
            <w:vAlign w:val="bottom"/>
            <w:hideMark/>
          </w:tcPr>
          <w:p w14:paraId="20335E0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ABA7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36B23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65FC81D" w14:textId="77777777" w:rsidR="00000000" w:rsidRDefault="00527094">
            <w:pPr>
              <w:jc w:val="right"/>
              <w:rPr>
                <w:rFonts w:eastAsia="Times New Roman"/>
                <w:sz w:val="20"/>
                <w:szCs w:val="20"/>
              </w:rPr>
            </w:pPr>
            <w:r>
              <w:rPr>
                <w:rFonts w:eastAsia="Times New Roman"/>
                <w:sz w:val="20"/>
                <w:szCs w:val="20"/>
              </w:rPr>
              <w:t>161,142</w:t>
            </w:r>
          </w:p>
        </w:tc>
        <w:tc>
          <w:tcPr>
            <w:tcW w:w="50" w:type="pct"/>
            <w:shd w:val="clear" w:color="auto" w:fill="FFFFFF"/>
            <w:vAlign w:val="bottom"/>
            <w:hideMark/>
          </w:tcPr>
          <w:p w14:paraId="038CDC2D" w14:textId="77777777" w:rsidR="00000000" w:rsidRDefault="00527094">
            <w:pPr>
              <w:rPr>
                <w:rFonts w:eastAsia="Times New Roman"/>
                <w:sz w:val="20"/>
                <w:szCs w:val="20"/>
              </w:rPr>
            </w:pPr>
            <w:r>
              <w:rPr>
                <w:rFonts w:eastAsia="Times New Roman"/>
                <w:sz w:val="20"/>
                <w:szCs w:val="20"/>
              </w:rPr>
              <w:t> </w:t>
            </w:r>
          </w:p>
        </w:tc>
      </w:tr>
      <w:tr w:rsidR="00000000" w14:paraId="74EB22EA" w14:textId="77777777">
        <w:trPr>
          <w:divId w:val="550390147"/>
          <w:tblCellSpacing w:w="0" w:type="dxa"/>
        </w:trPr>
        <w:tc>
          <w:tcPr>
            <w:tcW w:w="0" w:type="auto"/>
            <w:shd w:val="clear" w:color="auto" w:fill="CCEEFF"/>
            <w:vAlign w:val="bottom"/>
            <w:hideMark/>
          </w:tcPr>
          <w:p w14:paraId="40DECFA0" w14:textId="77777777" w:rsidR="00000000" w:rsidRDefault="00527094">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3ED004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4367EE"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DF6E5A3" w14:textId="77777777" w:rsidR="00000000" w:rsidRDefault="00527094">
            <w:pPr>
              <w:jc w:val="right"/>
              <w:rPr>
                <w:rFonts w:eastAsia="Times New Roman"/>
                <w:sz w:val="20"/>
                <w:szCs w:val="20"/>
              </w:rPr>
            </w:pPr>
            <w:r>
              <w:rPr>
                <w:rFonts w:eastAsia="Times New Roman"/>
                <w:sz w:val="20"/>
                <w:szCs w:val="20"/>
              </w:rPr>
              <w:t>21,626</w:t>
            </w:r>
          </w:p>
        </w:tc>
        <w:tc>
          <w:tcPr>
            <w:tcW w:w="50" w:type="pct"/>
            <w:shd w:val="clear" w:color="auto" w:fill="CCEEFF"/>
            <w:vAlign w:val="bottom"/>
            <w:hideMark/>
          </w:tcPr>
          <w:p w14:paraId="73D45F5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59ED7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F6A5F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24920F5" w14:textId="77777777" w:rsidR="00000000" w:rsidRDefault="00527094">
            <w:pPr>
              <w:jc w:val="right"/>
              <w:rPr>
                <w:rFonts w:eastAsia="Times New Roman"/>
                <w:sz w:val="20"/>
                <w:szCs w:val="20"/>
              </w:rPr>
            </w:pPr>
            <w:r>
              <w:rPr>
                <w:rFonts w:eastAsia="Times New Roman"/>
                <w:sz w:val="20"/>
                <w:szCs w:val="20"/>
              </w:rPr>
              <w:t>30,519</w:t>
            </w:r>
          </w:p>
        </w:tc>
        <w:tc>
          <w:tcPr>
            <w:tcW w:w="50" w:type="pct"/>
            <w:shd w:val="clear" w:color="auto" w:fill="CCEEFF"/>
            <w:vAlign w:val="bottom"/>
            <w:hideMark/>
          </w:tcPr>
          <w:p w14:paraId="7A82545B" w14:textId="77777777" w:rsidR="00000000" w:rsidRDefault="00527094">
            <w:pPr>
              <w:rPr>
                <w:rFonts w:eastAsia="Times New Roman"/>
                <w:sz w:val="20"/>
                <w:szCs w:val="20"/>
              </w:rPr>
            </w:pPr>
            <w:r>
              <w:rPr>
                <w:rFonts w:eastAsia="Times New Roman"/>
                <w:sz w:val="20"/>
                <w:szCs w:val="20"/>
              </w:rPr>
              <w:t> </w:t>
            </w:r>
          </w:p>
        </w:tc>
      </w:tr>
      <w:tr w:rsidR="00000000" w14:paraId="686A0A86" w14:textId="77777777">
        <w:trPr>
          <w:divId w:val="550390147"/>
          <w:tblCellSpacing w:w="0" w:type="dxa"/>
        </w:trPr>
        <w:tc>
          <w:tcPr>
            <w:tcW w:w="0" w:type="auto"/>
            <w:shd w:val="clear" w:color="auto" w:fill="FFFFFF"/>
            <w:vAlign w:val="bottom"/>
            <w:hideMark/>
          </w:tcPr>
          <w:p w14:paraId="7BA74E96" w14:textId="77777777" w:rsidR="00000000" w:rsidRDefault="00527094">
            <w:pPr>
              <w:pStyle w:val="a3"/>
              <w:spacing w:before="0" w:beforeAutospacing="0" w:after="0" w:afterAutospacing="0"/>
              <w:ind w:left="360"/>
              <w:rPr>
                <w:sz w:val="20"/>
                <w:szCs w:val="20"/>
              </w:rPr>
            </w:pPr>
            <w:r>
              <w:rPr>
                <w:sz w:val="20"/>
                <w:szCs w:val="20"/>
              </w:rPr>
              <w:t>Equity award expense</w:t>
            </w:r>
          </w:p>
        </w:tc>
        <w:tc>
          <w:tcPr>
            <w:tcW w:w="50" w:type="pct"/>
            <w:shd w:val="clear" w:color="auto" w:fill="FFFFFF"/>
            <w:vAlign w:val="bottom"/>
            <w:hideMark/>
          </w:tcPr>
          <w:p w14:paraId="5C7EB9C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A975FD"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4201FF5" w14:textId="77777777" w:rsidR="00000000" w:rsidRDefault="00527094">
            <w:pPr>
              <w:jc w:val="right"/>
              <w:rPr>
                <w:rFonts w:eastAsia="Times New Roman"/>
                <w:sz w:val="20"/>
                <w:szCs w:val="20"/>
              </w:rPr>
            </w:pPr>
            <w:r>
              <w:rPr>
                <w:rFonts w:eastAsia="Times New Roman"/>
                <w:sz w:val="20"/>
                <w:szCs w:val="20"/>
              </w:rPr>
              <w:t>10,284</w:t>
            </w:r>
          </w:p>
        </w:tc>
        <w:tc>
          <w:tcPr>
            <w:tcW w:w="50" w:type="pct"/>
            <w:shd w:val="clear" w:color="auto" w:fill="FFFFFF"/>
            <w:vAlign w:val="bottom"/>
            <w:hideMark/>
          </w:tcPr>
          <w:p w14:paraId="0F76EAE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1F2F6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699FA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A1F072A" w14:textId="77777777" w:rsidR="00000000" w:rsidRDefault="00527094">
            <w:pPr>
              <w:jc w:val="right"/>
              <w:rPr>
                <w:rFonts w:eastAsia="Times New Roman"/>
                <w:sz w:val="20"/>
                <w:szCs w:val="20"/>
              </w:rPr>
            </w:pPr>
            <w:r>
              <w:rPr>
                <w:rFonts w:eastAsia="Times New Roman"/>
                <w:sz w:val="20"/>
                <w:szCs w:val="20"/>
              </w:rPr>
              <w:t>10,423</w:t>
            </w:r>
          </w:p>
        </w:tc>
        <w:tc>
          <w:tcPr>
            <w:tcW w:w="50" w:type="pct"/>
            <w:shd w:val="clear" w:color="auto" w:fill="FFFFFF"/>
            <w:vAlign w:val="bottom"/>
            <w:hideMark/>
          </w:tcPr>
          <w:p w14:paraId="336297E5" w14:textId="77777777" w:rsidR="00000000" w:rsidRDefault="00527094">
            <w:pPr>
              <w:rPr>
                <w:rFonts w:eastAsia="Times New Roman"/>
                <w:sz w:val="20"/>
                <w:szCs w:val="20"/>
              </w:rPr>
            </w:pPr>
            <w:r>
              <w:rPr>
                <w:rFonts w:eastAsia="Times New Roman"/>
                <w:sz w:val="20"/>
                <w:szCs w:val="20"/>
              </w:rPr>
              <w:t> </w:t>
            </w:r>
          </w:p>
        </w:tc>
      </w:tr>
      <w:tr w:rsidR="00000000" w14:paraId="53EE88B0" w14:textId="77777777">
        <w:trPr>
          <w:divId w:val="550390147"/>
          <w:tblCellSpacing w:w="0" w:type="dxa"/>
        </w:trPr>
        <w:tc>
          <w:tcPr>
            <w:tcW w:w="0" w:type="auto"/>
            <w:shd w:val="clear" w:color="auto" w:fill="CCEEFF"/>
            <w:vAlign w:val="bottom"/>
            <w:hideMark/>
          </w:tcPr>
          <w:p w14:paraId="4722AAD2" w14:textId="77777777" w:rsidR="00000000" w:rsidRDefault="00527094">
            <w:pPr>
              <w:pStyle w:val="a3"/>
              <w:spacing w:before="0" w:beforeAutospacing="0" w:after="0" w:afterAutospacing="0"/>
              <w:ind w:left="360"/>
              <w:rPr>
                <w:sz w:val="20"/>
                <w:szCs w:val="20"/>
              </w:rPr>
            </w:pPr>
            <w:r>
              <w:rPr>
                <w:sz w:val="20"/>
                <w:szCs w:val="20"/>
              </w:rPr>
              <w:t>Gain on sale of properties/change in control of interests</w:t>
            </w:r>
          </w:p>
        </w:tc>
        <w:tc>
          <w:tcPr>
            <w:tcW w:w="50" w:type="pct"/>
            <w:shd w:val="clear" w:color="auto" w:fill="CCEEFF"/>
            <w:vAlign w:val="bottom"/>
            <w:hideMark/>
          </w:tcPr>
          <w:p w14:paraId="1800029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7065EC"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A02ED5F" w14:textId="77777777" w:rsidR="00000000" w:rsidRDefault="00527094">
            <w:pPr>
              <w:jc w:val="right"/>
              <w:rPr>
                <w:rFonts w:eastAsia="Times New Roman"/>
                <w:sz w:val="20"/>
                <w:szCs w:val="20"/>
              </w:rPr>
            </w:pPr>
            <w:r>
              <w:rPr>
                <w:rFonts w:eastAsia="Times New Roman"/>
                <w:sz w:val="20"/>
                <w:szCs w:val="20"/>
              </w:rPr>
              <w:t>(38,357</w:t>
            </w:r>
          </w:p>
        </w:tc>
        <w:tc>
          <w:tcPr>
            <w:tcW w:w="50" w:type="pct"/>
            <w:shd w:val="clear" w:color="auto" w:fill="CCEEFF"/>
            <w:vAlign w:val="bottom"/>
            <w:hideMark/>
          </w:tcPr>
          <w:p w14:paraId="7D5918C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E19284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2BAB8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4600B32" w14:textId="77777777" w:rsidR="00000000" w:rsidRDefault="00527094">
            <w:pPr>
              <w:jc w:val="right"/>
              <w:rPr>
                <w:rFonts w:eastAsia="Times New Roman"/>
                <w:sz w:val="20"/>
                <w:szCs w:val="20"/>
              </w:rPr>
            </w:pPr>
            <w:r>
              <w:rPr>
                <w:rFonts w:eastAsia="Times New Roman"/>
                <w:sz w:val="20"/>
                <w:szCs w:val="20"/>
              </w:rPr>
              <w:t>(152,211</w:t>
            </w:r>
          </w:p>
        </w:tc>
        <w:tc>
          <w:tcPr>
            <w:tcW w:w="50" w:type="pct"/>
            <w:shd w:val="clear" w:color="auto" w:fill="CCEEFF"/>
            <w:vAlign w:val="bottom"/>
            <w:hideMark/>
          </w:tcPr>
          <w:p w14:paraId="039A5D00" w14:textId="77777777" w:rsidR="00000000" w:rsidRDefault="00527094">
            <w:pPr>
              <w:rPr>
                <w:rFonts w:eastAsia="Times New Roman"/>
                <w:sz w:val="20"/>
                <w:szCs w:val="20"/>
              </w:rPr>
            </w:pPr>
            <w:r>
              <w:rPr>
                <w:rFonts w:eastAsia="Times New Roman"/>
                <w:sz w:val="20"/>
                <w:szCs w:val="20"/>
              </w:rPr>
              <w:t>)</w:t>
            </w:r>
          </w:p>
        </w:tc>
      </w:tr>
      <w:tr w:rsidR="00000000" w14:paraId="4D24AAA8" w14:textId="77777777">
        <w:trPr>
          <w:divId w:val="550390147"/>
          <w:tblCellSpacing w:w="0" w:type="dxa"/>
        </w:trPr>
        <w:tc>
          <w:tcPr>
            <w:tcW w:w="0" w:type="auto"/>
            <w:shd w:val="clear" w:color="auto" w:fill="FFFFFF"/>
            <w:vAlign w:val="bottom"/>
            <w:hideMark/>
          </w:tcPr>
          <w:p w14:paraId="00FEB0EB" w14:textId="77777777" w:rsidR="00000000" w:rsidRDefault="00527094">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14:paraId="45D5C6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3A0B0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EC630EA" w14:textId="77777777" w:rsidR="00000000" w:rsidRDefault="00527094">
            <w:pPr>
              <w:jc w:val="right"/>
              <w:rPr>
                <w:rFonts w:eastAsia="Times New Roman"/>
                <w:sz w:val="20"/>
                <w:szCs w:val="20"/>
              </w:rPr>
            </w:pPr>
            <w:r>
              <w:rPr>
                <w:rFonts w:eastAsia="Times New Roman"/>
                <w:sz w:val="20"/>
                <w:szCs w:val="20"/>
              </w:rPr>
              <w:t>(41,287</w:t>
            </w:r>
          </w:p>
        </w:tc>
        <w:tc>
          <w:tcPr>
            <w:tcW w:w="50" w:type="pct"/>
            <w:shd w:val="clear" w:color="auto" w:fill="FFFFFF"/>
            <w:vAlign w:val="bottom"/>
            <w:hideMark/>
          </w:tcPr>
          <w:p w14:paraId="644F2FE9"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CEDF29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8112E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5BF05A6" w14:textId="77777777" w:rsidR="00000000" w:rsidRDefault="00527094">
            <w:pPr>
              <w:jc w:val="right"/>
              <w:rPr>
                <w:rFonts w:eastAsia="Times New Roman"/>
                <w:sz w:val="20"/>
                <w:szCs w:val="20"/>
              </w:rPr>
            </w:pPr>
            <w:r>
              <w:rPr>
                <w:rFonts w:eastAsia="Times New Roman"/>
                <w:sz w:val="20"/>
                <w:szCs w:val="20"/>
              </w:rPr>
              <w:t>(35,953</w:t>
            </w:r>
          </w:p>
        </w:tc>
        <w:tc>
          <w:tcPr>
            <w:tcW w:w="50" w:type="pct"/>
            <w:shd w:val="clear" w:color="auto" w:fill="FFFFFF"/>
            <w:vAlign w:val="bottom"/>
            <w:hideMark/>
          </w:tcPr>
          <w:p w14:paraId="3C48BA6D" w14:textId="77777777" w:rsidR="00000000" w:rsidRDefault="00527094">
            <w:pPr>
              <w:rPr>
                <w:rFonts w:eastAsia="Times New Roman"/>
                <w:sz w:val="20"/>
                <w:szCs w:val="20"/>
              </w:rPr>
            </w:pPr>
            <w:r>
              <w:rPr>
                <w:rFonts w:eastAsia="Times New Roman"/>
                <w:sz w:val="20"/>
                <w:szCs w:val="20"/>
              </w:rPr>
              <w:t>)</w:t>
            </w:r>
          </w:p>
        </w:tc>
      </w:tr>
      <w:tr w:rsidR="00000000" w14:paraId="4F1BEEA5" w14:textId="77777777">
        <w:trPr>
          <w:divId w:val="550390147"/>
          <w:tblCellSpacing w:w="0" w:type="dxa"/>
        </w:trPr>
        <w:tc>
          <w:tcPr>
            <w:tcW w:w="0" w:type="auto"/>
            <w:shd w:val="clear" w:color="auto" w:fill="CCEEFF"/>
            <w:vAlign w:val="bottom"/>
            <w:hideMark/>
          </w:tcPr>
          <w:p w14:paraId="12B3DEAD" w14:textId="77777777" w:rsidR="00000000" w:rsidRDefault="00527094">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14:paraId="19725F0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B54525"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C2A8AF5" w14:textId="77777777" w:rsidR="00000000" w:rsidRDefault="00527094">
            <w:pPr>
              <w:jc w:val="right"/>
              <w:rPr>
                <w:rFonts w:eastAsia="Times New Roman"/>
                <w:sz w:val="20"/>
                <w:szCs w:val="20"/>
              </w:rPr>
            </w:pPr>
            <w:r>
              <w:rPr>
                <w:rFonts w:eastAsia="Times New Roman"/>
                <w:sz w:val="20"/>
                <w:szCs w:val="20"/>
              </w:rPr>
              <w:t>(19,493</w:t>
            </w:r>
          </w:p>
        </w:tc>
        <w:tc>
          <w:tcPr>
            <w:tcW w:w="50" w:type="pct"/>
            <w:shd w:val="clear" w:color="auto" w:fill="CCEEFF"/>
            <w:vAlign w:val="bottom"/>
            <w:hideMark/>
          </w:tcPr>
          <w:p w14:paraId="3721D623"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820BD6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0E02B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38ADD1B" w14:textId="77777777" w:rsidR="00000000" w:rsidRDefault="00527094">
            <w:pPr>
              <w:jc w:val="right"/>
              <w:rPr>
                <w:rFonts w:eastAsia="Times New Roman"/>
                <w:sz w:val="20"/>
                <w:szCs w:val="20"/>
              </w:rPr>
            </w:pPr>
            <w:r>
              <w:rPr>
                <w:rFonts w:eastAsia="Times New Roman"/>
                <w:sz w:val="20"/>
                <w:szCs w:val="20"/>
              </w:rPr>
              <w:t>(19,593</w:t>
            </w:r>
          </w:p>
        </w:tc>
        <w:tc>
          <w:tcPr>
            <w:tcW w:w="50" w:type="pct"/>
            <w:shd w:val="clear" w:color="auto" w:fill="CCEEFF"/>
            <w:vAlign w:val="bottom"/>
            <w:hideMark/>
          </w:tcPr>
          <w:p w14:paraId="7151183E" w14:textId="77777777" w:rsidR="00000000" w:rsidRDefault="00527094">
            <w:pPr>
              <w:rPr>
                <w:rFonts w:eastAsia="Times New Roman"/>
                <w:sz w:val="20"/>
                <w:szCs w:val="20"/>
              </w:rPr>
            </w:pPr>
            <w:r>
              <w:rPr>
                <w:rFonts w:eastAsia="Times New Roman"/>
                <w:sz w:val="20"/>
                <w:szCs w:val="20"/>
              </w:rPr>
              <w:t>)</w:t>
            </w:r>
          </w:p>
        </w:tc>
      </w:tr>
      <w:tr w:rsidR="00000000" w14:paraId="2A60EFCE" w14:textId="77777777">
        <w:trPr>
          <w:divId w:val="550390147"/>
          <w:tblCellSpacing w:w="0" w:type="dxa"/>
        </w:trPr>
        <w:tc>
          <w:tcPr>
            <w:tcW w:w="0" w:type="auto"/>
            <w:shd w:val="clear" w:color="auto" w:fill="FFFFFF"/>
            <w:vAlign w:val="bottom"/>
            <w:hideMark/>
          </w:tcPr>
          <w:p w14:paraId="7D9F0DF9" w14:textId="77777777" w:rsidR="00000000" w:rsidRDefault="00527094">
            <w:pPr>
              <w:pStyle w:val="a3"/>
              <w:spacing w:before="0" w:beforeAutospacing="0" w:after="0" w:afterAutospacing="0"/>
              <w:ind w:left="360"/>
              <w:rPr>
                <w:sz w:val="20"/>
                <w:szCs w:val="20"/>
              </w:rPr>
            </w:pPr>
            <w:r>
              <w:rPr>
                <w:sz w:val="20"/>
                <w:szCs w:val="20"/>
              </w:rPr>
              <w:t>Distributions from joint ventures and other real estate investments</w:t>
            </w:r>
          </w:p>
        </w:tc>
        <w:tc>
          <w:tcPr>
            <w:tcW w:w="50" w:type="pct"/>
            <w:shd w:val="clear" w:color="auto" w:fill="FFFFFF"/>
            <w:vAlign w:val="bottom"/>
            <w:hideMark/>
          </w:tcPr>
          <w:p w14:paraId="59E8081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8B0CEF"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27BF79B" w14:textId="77777777" w:rsidR="00000000" w:rsidRDefault="00527094">
            <w:pPr>
              <w:jc w:val="right"/>
              <w:rPr>
                <w:rFonts w:eastAsia="Times New Roman"/>
                <w:sz w:val="20"/>
                <w:szCs w:val="20"/>
              </w:rPr>
            </w:pPr>
            <w:r>
              <w:rPr>
                <w:rFonts w:eastAsia="Times New Roman"/>
                <w:sz w:val="20"/>
                <w:szCs w:val="20"/>
              </w:rPr>
              <w:t>60,858</w:t>
            </w:r>
          </w:p>
        </w:tc>
        <w:tc>
          <w:tcPr>
            <w:tcW w:w="50" w:type="pct"/>
            <w:shd w:val="clear" w:color="auto" w:fill="FFFFFF"/>
            <w:vAlign w:val="bottom"/>
            <w:hideMark/>
          </w:tcPr>
          <w:p w14:paraId="58D6B3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AE265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01342B"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43B0C52" w14:textId="77777777" w:rsidR="00000000" w:rsidRDefault="00527094">
            <w:pPr>
              <w:jc w:val="right"/>
              <w:rPr>
                <w:rFonts w:eastAsia="Times New Roman"/>
                <w:sz w:val="20"/>
                <w:szCs w:val="20"/>
              </w:rPr>
            </w:pPr>
            <w:r>
              <w:rPr>
                <w:rFonts w:eastAsia="Times New Roman"/>
                <w:sz w:val="20"/>
                <w:szCs w:val="20"/>
              </w:rPr>
              <w:t>67,005</w:t>
            </w:r>
          </w:p>
        </w:tc>
        <w:tc>
          <w:tcPr>
            <w:tcW w:w="50" w:type="pct"/>
            <w:shd w:val="clear" w:color="auto" w:fill="FFFFFF"/>
            <w:vAlign w:val="bottom"/>
            <w:hideMark/>
          </w:tcPr>
          <w:p w14:paraId="08547032" w14:textId="77777777" w:rsidR="00000000" w:rsidRDefault="00527094">
            <w:pPr>
              <w:rPr>
                <w:rFonts w:eastAsia="Times New Roman"/>
                <w:sz w:val="20"/>
                <w:szCs w:val="20"/>
              </w:rPr>
            </w:pPr>
            <w:r>
              <w:rPr>
                <w:rFonts w:eastAsia="Times New Roman"/>
                <w:sz w:val="20"/>
                <w:szCs w:val="20"/>
              </w:rPr>
              <w:t> </w:t>
            </w:r>
          </w:p>
        </w:tc>
      </w:tr>
      <w:tr w:rsidR="00000000" w14:paraId="617810A1" w14:textId="77777777">
        <w:trPr>
          <w:divId w:val="550390147"/>
          <w:tblCellSpacing w:w="0" w:type="dxa"/>
        </w:trPr>
        <w:tc>
          <w:tcPr>
            <w:tcW w:w="0" w:type="auto"/>
            <w:shd w:val="clear" w:color="auto" w:fill="CCEEFF"/>
            <w:vAlign w:val="bottom"/>
            <w:hideMark/>
          </w:tcPr>
          <w:p w14:paraId="63DC69CE" w14:textId="77777777" w:rsidR="00000000" w:rsidRDefault="00527094">
            <w:pPr>
              <w:pStyle w:val="a3"/>
              <w:spacing w:before="0" w:beforeAutospacing="0" w:after="0" w:afterAutospacing="0"/>
              <w:ind w:left="360"/>
              <w:rPr>
                <w:sz w:val="20"/>
                <w:szCs w:val="20"/>
              </w:rPr>
            </w:pPr>
            <w:r>
              <w:rPr>
                <w:sz w:val="20"/>
                <w:szCs w:val="20"/>
              </w:rPr>
              <w:t>Change in accounts and notes receivable</w:t>
            </w:r>
          </w:p>
        </w:tc>
        <w:tc>
          <w:tcPr>
            <w:tcW w:w="50" w:type="pct"/>
            <w:shd w:val="clear" w:color="auto" w:fill="CCEEFF"/>
            <w:vAlign w:val="bottom"/>
            <w:hideMark/>
          </w:tcPr>
          <w:p w14:paraId="19D3F7F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DCFA2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748253" w14:textId="77777777" w:rsidR="00000000" w:rsidRDefault="00527094">
            <w:pPr>
              <w:jc w:val="right"/>
              <w:rPr>
                <w:rFonts w:eastAsia="Times New Roman"/>
                <w:sz w:val="20"/>
                <w:szCs w:val="20"/>
              </w:rPr>
            </w:pPr>
            <w:r>
              <w:rPr>
                <w:rFonts w:eastAsia="Times New Roman"/>
                <w:sz w:val="20"/>
                <w:szCs w:val="20"/>
              </w:rPr>
              <w:t>2,159</w:t>
            </w:r>
          </w:p>
        </w:tc>
        <w:tc>
          <w:tcPr>
            <w:tcW w:w="50" w:type="pct"/>
            <w:shd w:val="clear" w:color="auto" w:fill="CCEEFF"/>
            <w:vAlign w:val="bottom"/>
            <w:hideMark/>
          </w:tcPr>
          <w:p w14:paraId="33B8AF2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242E8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19D63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C3B1E40" w14:textId="77777777" w:rsidR="00000000" w:rsidRDefault="00527094">
            <w:pPr>
              <w:jc w:val="right"/>
              <w:rPr>
                <w:rFonts w:eastAsia="Times New Roman"/>
                <w:sz w:val="20"/>
                <w:szCs w:val="20"/>
              </w:rPr>
            </w:pPr>
            <w:r>
              <w:rPr>
                <w:rFonts w:eastAsia="Times New Roman"/>
                <w:sz w:val="20"/>
                <w:szCs w:val="20"/>
              </w:rPr>
              <w:t>9,306</w:t>
            </w:r>
          </w:p>
        </w:tc>
        <w:tc>
          <w:tcPr>
            <w:tcW w:w="50" w:type="pct"/>
            <w:shd w:val="clear" w:color="auto" w:fill="CCEEFF"/>
            <w:vAlign w:val="bottom"/>
            <w:hideMark/>
          </w:tcPr>
          <w:p w14:paraId="530427CF" w14:textId="77777777" w:rsidR="00000000" w:rsidRDefault="00527094">
            <w:pPr>
              <w:rPr>
                <w:rFonts w:eastAsia="Times New Roman"/>
                <w:sz w:val="20"/>
                <w:szCs w:val="20"/>
              </w:rPr>
            </w:pPr>
            <w:r>
              <w:rPr>
                <w:rFonts w:eastAsia="Times New Roman"/>
                <w:sz w:val="20"/>
                <w:szCs w:val="20"/>
              </w:rPr>
              <w:t> </w:t>
            </w:r>
          </w:p>
        </w:tc>
      </w:tr>
      <w:tr w:rsidR="00000000" w14:paraId="53547790" w14:textId="77777777">
        <w:trPr>
          <w:divId w:val="550390147"/>
          <w:tblCellSpacing w:w="0" w:type="dxa"/>
        </w:trPr>
        <w:tc>
          <w:tcPr>
            <w:tcW w:w="0" w:type="auto"/>
            <w:shd w:val="clear" w:color="auto" w:fill="FFFFFF"/>
            <w:vAlign w:val="bottom"/>
            <w:hideMark/>
          </w:tcPr>
          <w:p w14:paraId="5622E7EC" w14:textId="77777777" w:rsidR="00000000" w:rsidRDefault="00527094">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FFFFFF"/>
            <w:vAlign w:val="bottom"/>
            <w:hideMark/>
          </w:tcPr>
          <w:p w14:paraId="142837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D6CFA3"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CE88F55" w14:textId="77777777" w:rsidR="00000000" w:rsidRDefault="00527094">
            <w:pPr>
              <w:jc w:val="right"/>
              <w:rPr>
                <w:rFonts w:eastAsia="Times New Roman"/>
                <w:sz w:val="20"/>
                <w:szCs w:val="20"/>
              </w:rPr>
            </w:pPr>
            <w:r>
              <w:rPr>
                <w:rFonts w:eastAsia="Times New Roman"/>
                <w:sz w:val="20"/>
                <w:szCs w:val="20"/>
              </w:rPr>
              <w:t>(8,382</w:t>
            </w:r>
          </w:p>
        </w:tc>
        <w:tc>
          <w:tcPr>
            <w:tcW w:w="50" w:type="pct"/>
            <w:shd w:val="clear" w:color="auto" w:fill="FFFFFF"/>
            <w:vAlign w:val="bottom"/>
            <w:hideMark/>
          </w:tcPr>
          <w:p w14:paraId="00CF9809"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70830F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4B4733"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2F7622A" w14:textId="77777777" w:rsidR="00000000" w:rsidRDefault="00527094">
            <w:pPr>
              <w:jc w:val="right"/>
              <w:rPr>
                <w:rFonts w:eastAsia="Times New Roman"/>
                <w:sz w:val="20"/>
                <w:szCs w:val="20"/>
              </w:rPr>
            </w:pPr>
            <w:r>
              <w:rPr>
                <w:rFonts w:eastAsia="Times New Roman"/>
                <w:sz w:val="20"/>
                <w:szCs w:val="20"/>
              </w:rPr>
              <w:t>(5,139</w:t>
            </w:r>
          </w:p>
        </w:tc>
        <w:tc>
          <w:tcPr>
            <w:tcW w:w="50" w:type="pct"/>
            <w:shd w:val="clear" w:color="auto" w:fill="FFFFFF"/>
            <w:vAlign w:val="bottom"/>
            <w:hideMark/>
          </w:tcPr>
          <w:p w14:paraId="177DE204" w14:textId="77777777" w:rsidR="00000000" w:rsidRDefault="00527094">
            <w:pPr>
              <w:rPr>
                <w:rFonts w:eastAsia="Times New Roman"/>
                <w:sz w:val="20"/>
                <w:szCs w:val="20"/>
              </w:rPr>
            </w:pPr>
            <w:r>
              <w:rPr>
                <w:rFonts w:eastAsia="Times New Roman"/>
                <w:sz w:val="20"/>
                <w:szCs w:val="20"/>
              </w:rPr>
              <w:t>)</w:t>
            </w:r>
          </w:p>
        </w:tc>
      </w:tr>
      <w:tr w:rsidR="00000000" w14:paraId="5A50CA11" w14:textId="77777777">
        <w:trPr>
          <w:divId w:val="550390147"/>
          <w:tblCellSpacing w:w="0" w:type="dxa"/>
        </w:trPr>
        <w:tc>
          <w:tcPr>
            <w:tcW w:w="0" w:type="auto"/>
            <w:shd w:val="clear" w:color="auto" w:fill="CCEEFF"/>
            <w:vAlign w:val="bottom"/>
            <w:hideMark/>
          </w:tcPr>
          <w:p w14:paraId="6A7BAD6C" w14:textId="77777777" w:rsidR="00000000" w:rsidRDefault="00527094">
            <w:pPr>
              <w:pStyle w:val="a3"/>
              <w:spacing w:before="0" w:beforeAutospacing="0" w:after="0" w:afterAutospacing="0"/>
              <w:ind w:left="360"/>
              <w:rPr>
                <w:sz w:val="20"/>
                <w:szCs w:val="20"/>
              </w:rPr>
            </w:pPr>
            <w:r>
              <w:rPr>
                <w:sz w:val="20"/>
                <w:szCs w:val="20"/>
              </w:rPr>
              <w:t>Change in other operating assets and liabilities</w:t>
            </w:r>
          </w:p>
        </w:tc>
        <w:tc>
          <w:tcPr>
            <w:tcW w:w="50" w:type="pct"/>
            <w:shd w:val="clear" w:color="auto" w:fill="CCEEFF"/>
            <w:tcMar>
              <w:top w:w="0" w:type="dxa"/>
              <w:left w:w="0" w:type="dxa"/>
              <w:bottom w:w="15" w:type="dxa"/>
              <w:right w:w="0" w:type="dxa"/>
            </w:tcMar>
            <w:vAlign w:val="bottom"/>
            <w:hideMark/>
          </w:tcPr>
          <w:p w14:paraId="25B8E77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194BB43"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1E0DCEC" w14:textId="77777777" w:rsidR="00000000" w:rsidRDefault="00527094">
            <w:pPr>
              <w:jc w:val="right"/>
              <w:rPr>
                <w:rFonts w:eastAsia="Times New Roman"/>
                <w:sz w:val="20"/>
                <w:szCs w:val="20"/>
              </w:rPr>
            </w:pPr>
            <w:r>
              <w:rPr>
                <w:rFonts w:eastAsia="Times New Roman"/>
                <w:sz w:val="20"/>
                <w:szCs w:val="20"/>
              </w:rPr>
              <w:t>(32,510</w:t>
            </w:r>
          </w:p>
        </w:tc>
        <w:tc>
          <w:tcPr>
            <w:tcW w:w="50" w:type="pct"/>
            <w:shd w:val="clear" w:color="auto" w:fill="CCEEFF"/>
            <w:tcMar>
              <w:top w:w="0" w:type="dxa"/>
              <w:left w:w="0" w:type="dxa"/>
              <w:bottom w:w="15" w:type="dxa"/>
              <w:right w:w="0" w:type="dxa"/>
            </w:tcMar>
            <w:vAlign w:val="bottom"/>
            <w:hideMark/>
          </w:tcPr>
          <w:p w14:paraId="2A880C9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05717C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381CDC"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BB80F85" w14:textId="77777777" w:rsidR="00000000" w:rsidRDefault="00527094">
            <w:pPr>
              <w:jc w:val="right"/>
              <w:rPr>
                <w:rFonts w:eastAsia="Times New Roman"/>
                <w:sz w:val="20"/>
                <w:szCs w:val="20"/>
              </w:rPr>
            </w:pPr>
            <w:r>
              <w:rPr>
                <w:rFonts w:eastAsia="Times New Roman"/>
                <w:sz w:val="20"/>
                <w:szCs w:val="20"/>
              </w:rPr>
              <w:t>(23,304</w:t>
            </w:r>
          </w:p>
        </w:tc>
        <w:tc>
          <w:tcPr>
            <w:tcW w:w="50" w:type="pct"/>
            <w:shd w:val="clear" w:color="auto" w:fill="CCEEFF"/>
            <w:tcMar>
              <w:top w:w="0" w:type="dxa"/>
              <w:left w:w="0" w:type="dxa"/>
              <w:bottom w:w="15" w:type="dxa"/>
              <w:right w:w="0" w:type="dxa"/>
            </w:tcMar>
            <w:vAlign w:val="bottom"/>
            <w:hideMark/>
          </w:tcPr>
          <w:p w14:paraId="6F3834DC" w14:textId="77777777" w:rsidR="00000000" w:rsidRDefault="00527094">
            <w:pPr>
              <w:rPr>
                <w:rFonts w:eastAsia="Times New Roman"/>
                <w:sz w:val="20"/>
                <w:szCs w:val="20"/>
              </w:rPr>
            </w:pPr>
            <w:r>
              <w:rPr>
                <w:rFonts w:eastAsia="Times New Roman"/>
                <w:sz w:val="20"/>
                <w:szCs w:val="20"/>
              </w:rPr>
              <w:t>)</w:t>
            </w:r>
          </w:p>
        </w:tc>
      </w:tr>
      <w:tr w:rsidR="00000000" w14:paraId="5F9BC57E" w14:textId="77777777">
        <w:trPr>
          <w:divId w:val="550390147"/>
          <w:tblCellSpacing w:w="0" w:type="dxa"/>
        </w:trPr>
        <w:tc>
          <w:tcPr>
            <w:tcW w:w="0" w:type="auto"/>
            <w:shd w:val="clear" w:color="auto" w:fill="FFFFFF"/>
            <w:vAlign w:val="bottom"/>
            <w:hideMark/>
          </w:tcPr>
          <w:p w14:paraId="6864C89D" w14:textId="77777777" w:rsidR="00000000" w:rsidRDefault="00527094">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FFFFFF"/>
            <w:vAlign w:val="bottom"/>
            <w:hideMark/>
          </w:tcPr>
          <w:p w14:paraId="7D71121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5CFDB23"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216C560" w14:textId="77777777" w:rsidR="00000000" w:rsidRDefault="00527094">
            <w:pPr>
              <w:jc w:val="right"/>
              <w:rPr>
                <w:rFonts w:eastAsia="Times New Roman"/>
                <w:sz w:val="20"/>
                <w:szCs w:val="20"/>
              </w:rPr>
            </w:pPr>
            <w:r>
              <w:rPr>
                <w:rFonts w:eastAsia="Times New Roman"/>
                <w:sz w:val="20"/>
                <w:szCs w:val="20"/>
              </w:rPr>
              <w:t>313,529</w:t>
            </w:r>
          </w:p>
        </w:tc>
        <w:tc>
          <w:tcPr>
            <w:tcW w:w="50" w:type="pct"/>
            <w:shd w:val="clear" w:color="auto" w:fill="FFFFFF"/>
            <w:tcMar>
              <w:top w:w="0" w:type="dxa"/>
              <w:left w:w="0" w:type="dxa"/>
              <w:bottom w:w="15" w:type="dxa"/>
              <w:right w:w="0" w:type="dxa"/>
            </w:tcMar>
            <w:vAlign w:val="bottom"/>
            <w:hideMark/>
          </w:tcPr>
          <w:p w14:paraId="7E9ED0D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BF71B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47A8BF8"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C5860B2" w14:textId="77777777" w:rsidR="00000000" w:rsidRDefault="00527094">
            <w:pPr>
              <w:jc w:val="right"/>
              <w:rPr>
                <w:rFonts w:eastAsia="Times New Roman"/>
                <w:sz w:val="20"/>
                <w:szCs w:val="20"/>
              </w:rPr>
            </w:pPr>
            <w:r>
              <w:rPr>
                <w:rFonts w:eastAsia="Times New Roman"/>
                <w:sz w:val="20"/>
                <w:szCs w:val="20"/>
              </w:rPr>
              <w:t>351,986</w:t>
            </w:r>
          </w:p>
        </w:tc>
        <w:tc>
          <w:tcPr>
            <w:tcW w:w="50" w:type="pct"/>
            <w:shd w:val="clear" w:color="auto" w:fill="FFFFFF"/>
            <w:tcMar>
              <w:top w:w="0" w:type="dxa"/>
              <w:left w:w="0" w:type="dxa"/>
              <w:bottom w:w="15" w:type="dxa"/>
              <w:right w:w="0" w:type="dxa"/>
            </w:tcMar>
            <w:vAlign w:val="bottom"/>
            <w:hideMark/>
          </w:tcPr>
          <w:p w14:paraId="35823799" w14:textId="77777777" w:rsidR="00000000" w:rsidRDefault="00527094">
            <w:pPr>
              <w:rPr>
                <w:rFonts w:eastAsia="Times New Roman"/>
                <w:sz w:val="20"/>
                <w:szCs w:val="20"/>
              </w:rPr>
            </w:pPr>
            <w:r>
              <w:rPr>
                <w:rFonts w:eastAsia="Times New Roman"/>
                <w:sz w:val="20"/>
                <w:szCs w:val="20"/>
              </w:rPr>
              <w:t> </w:t>
            </w:r>
          </w:p>
        </w:tc>
      </w:tr>
      <w:tr w:rsidR="00000000" w14:paraId="6E8B283B" w14:textId="77777777">
        <w:trPr>
          <w:divId w:val="550390147"/>
          <w:tblCellSpacing w:w="0" w:type="dxa"/>
        </w:trPr>
        <w:tc>
          <w:tcPr>
            <w:tcW w:w="0" w:type="auto"/>
            <w:shd w:val="clear" w:color="auto" w:fill="CCEEFF"/>
            <w:vAlign w:val="bottom"/>
            <w:hideMark/>
          </w:tcPr>
          <w:p w14:paraId="75F4559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84E53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59402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FFBAB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BCDE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082B8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7AD4D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447DD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DA336" w14:textId="77777777" w:rsidR="00000000" w:rsidRDefault="00527094">
            <w:pPr>
              <w:rPr>
                <w:rFonts w:eastAsia="Times New Roman"/>
                <w:sz w:val="20"/>
                <w:szCs w:val="20"/>
              </w:rPr>
            </w:pPr>
            <w:r>
              <w:rPr>
                <w:rFonts w:eastAsia="Times New Roman"/>
                <w:sz w:val="20"/>
                <w:szCs w:val="20"/>
              </w:rPr>
              <w:t> </w:t>
            </w:r>
          </w:p>
        </w:tc>
      </w:tr>
      <w:tr w:rsidR="00000000" w14:paraId="64CADFB8" w14:textId="77777777">
        <w:trPr>
          <w:divId w:val="550390147"/>
          <w:tblCellSpacing w:w="0" w:type="dxa"/>
        </w:trPr>
        <w:tc>
          <w:tcPr>
            <w:tcW w:w="0" w:type="auto"/>
            <w:shd w:val="clear" w:color="auto" w:fill="FFFFFF"/>
            <w:vAlign w:val="bottom"/>
            <w:hideMark/>
          </w:tcPr>
          <w:p w14:paraId="6B934290" w14:textId="77777777" w:rsidR="00000000" w:rsidRDefault="00527094">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14:paraId="0B6D742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0D5D3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BE2CD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CC46B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C0FE6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EC397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655CB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A324E3" w14:textId="77777777" w:rsidR="00000000" w:rsidRDefault="00527094">
            <w:pPr>
              <w:rPr>
                <w:rFonts w:eastAsia="Times New Roman"/>
                <w:sz w:val="20"/>
                <w:szCs w:val="20"/>
              </w:rPr>
            </w:pPr>
            <w:r>
              <w:rPr>
                <w:rFonts w:eastAsia="Times New Roman"/>
                <w:sz w:val="20"/>
                <w:szCs w:val="20"/>
              </w:rPr>
              <w:t> </w:t>
            </w:r>
          </w:p>
        </w:tc>
      </w:tr>
      <w:tr w:rsidR="00000000" w14:paraId="7E727D4D" w14:textId="77777777">
        <w:trPr>
          <w:divId w:val="550390147"/>
          <w:tblCellSpacing w:w="0" w:type="dxa"/>
        </w:trPr>
        <w:tc>
          <w:tcPr>
            <w:tcW w:w="0" w:type="auto"/>
            <w:shd w:val="clear" w:color="auto" w:fill="CCEEFF"/>
            <w:vAlign w:val="bottom"/>
            <w:hideMark/>
          </w:tcPr>
          <w:p w14:paraId="55F58C14" w14:textId="77777777" w:rsidR="00000000" w:rsidRDefault="00527094">
            <w:pPr>
              <w:pStyle w:val="a3"/>
              <w:spacing w:before="0" w:beforeAutospacing="0" w:after="0" w:afterAutospacing="0"/>
              <w:ind w:left="360"/>
              <w:rPr>
                <w:sz w:val="20"/>
                <w:szCs w:val="20"/>
              </w:rPr>
            </w:pPr>
            <w:r>
              <w:rPr>
                <w:sz w:val="20"/>
                <w:szCs w:val="20"/>
              </w:rPr>
              <w:t>Acquisition of operating real estate and other related net assets</w:t>
            </w:r>
          </w:p>
        </w:tc>
        <w:tc>
          <w:tcPr>
            <w:tcW w:w="50" w:type="pct"/>
            <w:shd w:val="clear" w:color="auto" w:fill="CCEEFF"/>
            <w:vAlign w:val="bottom"/>
            <w:hideMark/>
          </w:tcPr>
          <w:p w14:paraId="480BCD3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CD34D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670DEDD"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322BE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EFEB8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2C9AE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3E599F" w14:textId="77777777" w:rsidR="00000000" w:rsidRDefault="00527094">
            <w:pPr>
              <w:jc w:val="right"/>
              <w:rPr>
                <w:rFonts w:eastAsia="Times New Roman"/>
                <w:sz w:val="20"/>
                <w:szCs w:val="20"/>
              </w:rPr>
            </w:pPr>
            <w:r>
              <w:rPr>
                <w:rFonts w:eastAsia="Times New Roman"/>
                <w:sz w:val="20"/>
                <w:szCs w:val="20"/>
              </w:rPr>
              <w:t>(3,337</w:t>
            </w:r>
          </w:p>
        </w:tc>
        <w:tc>
          <w:tcPr>
            <w:tcW w:w="50" w:type="pct"/>
            <w:shd w:val="clear" w:color="auto" w:fill="CCEEFF"/>
            <w:vAlign w:val="bottom"/>
            <w:hideMark/>
          </w:tcPr>
          <w:p w14:paraId="2A00DEDD" w14:textId="77777777" w:rsidR="00000000" w:rsidRDefault="00527094">
            <w:pPr>
              <w:rPr>
                <w:rFonts w:eastAsia="Times New Roman"/>
                <w:sz w:val="20"/>
                <w:szCs w:val="20"/>
              </w:rPr>
            </w:pPr>
            <w:r>
              <w:rPr>
                <w:rFonts w:eastAsia="Times New Roman"/>
                <w:sz w:val="20"/>
                <w:szCs w:val="20"/>
              </w:rPr>
              <w:t>)</w:t>
            </w:r>
          </w:p>
        </w:tc>
      </w:tr>
      <w:tr w:rsidR="00000000" w14:paraId="36E43D46" w14:textId="77777777">
        <w:trPr>
          <w:divId w:val="550390147"/>
          <w:tblCellSpacing w:w="0" w:type="dxa"/>
        </w:trPr>
        <w:tc>
          <w:tcPr>
            <w:tcW w:w="0" w:type="auto"/>
            <w:shd w:val="clear" w:color="auto" w:fill="FFFFFF"/>
            <w:vAlign w:val="bottom"/>
            <w:hideMark/>
          </w:tcPr>
          <w:p w14:paraId="093DFBF2" w14:textId="77777777" w:rsidR="00000000" w:rsidRDefault="00527094">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FFFFFF"/>
            <w:vAlign w:val="bottom"/>
            <w:hideMark/>
          </w:tcPr>
          <w:p w14:paraId="29F727E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C2196B"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655CB33" w14:textId="77777777" w:rsidR="00000000" w:rsidRDefault="00527094">
            <w:pPr>
              <w:jc w:val="right"/>
              <w:rPr>
                <w:rFonts w:eastAsia="Times New Roman"/>
                <w:sz w:val="20"/>
                <w:szCs w:val="20"/>
              </w:rPr>
            </w:pPr>
            <w:r>
              <w:rPr>
                <w:rFonts w:eastAsia="Times New Roman"/>
                <w:sz w:val="20"/>
                <w:szCs w:val="20"/>
              </w:rPr>
              <w:t>(139,865</w:t>
            </w:r>
          </w:p>
        </w:tc>
        <w:tc>
          <w:tcPr>
            <w:tcW w:w="50" w:type="pct"/>
            <w:shd w:val="clear" w:color="auto" w:fill="FFFFFF"/>
            <w:vAlign w:val="bottom"/>
            <w:hideMark/>
          </w:tcPr>
          <w:p w14:paraId="54615F9C"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69DB5B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5129B6"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3BA0B19" w14:textId="77777777" w:rsidR="00000000" w:rsidRDefault="00527094">
            <w:pPr>
              <w:jc w:val="right"/>
              <w:rPr>
                <w:rFonts w:eastAsia="Times New Roman"/>
                <w:sz w:val="20"/>
                <w:szCs w:val="20"/>
              </w:rPr>
            </w:pPr>
            <w:r>
              <w:rPr>
                <w:rFonts w:eastAsia="Times New Roman"/>
                <w:sz w:val="20"/>
                <w:szCs w:val="20"/>
              </w:rPr>
              <w:t>(127,380</w:t>
            </w:r>
          </w:p>
        </w:tc>
        <w:tc>
          <w:tcPr>
            <w:tcW w:w="50" w:type="pct"/>
            <w:shd w:val="clear" w:color="auto" w:fill="FFFFFF"/>
            <w:vAlign w:val="bottom"/>
            <w:hideMark/>
          </w:tcPr>
          <w:p w14:paraId="2348B213" w14:textId="77777777" w:rsidR="00000000" w:rsidRDefault="00527094">
            <w:pPr>
              <w:rPr>
                <w:rFonts w:eastAsia="Times New Roman"/>
                <w:sz w:val="20"/>
                <w:szCs w:val="20"/>
              </w:rPr>
            </w:pPr>
            <w:r>
              <w:rPr>
                <w:rFonts w:eastAsia="Times New Roman"/>
                <w:sz w:val="20"/>
                <w:szCs w:val="20"/>
              </w:rPr>
              <w:t>)</w:t>
            </w:r>
          </w:p>
        </w:tc>
      </w:tr>
      <w:tr w:rsidR="00000000" w14:paraId="01F7609E" w14:textId="77777777">
        <w:trPr>
          <w:divId w:val="550390147"/>
          <w:tblCellSpacing w:w="0" w:type="dxa"/>
        </w:trPr>
        <w:tc>
          <w:tcPr>
            <w:tcW w:w="0" w:type="auto"/>
            <w:shd w:val="clear" w:color="auto" w:fill="CCEEFF"/>
            <w:vAlign w:val="bottom"/>
            <w:hideMark/>
          </w:tcPr>
          <w:p w14:paraId="6D0F6D02" w14:textId="77777777" w:rsidR="00000000" w:rsidRDefault="00527094">
            <w:pPr>
              <w:pStyle w:val="a3"/>
              <w:spacing w:before="0" w:beforeAutospacing="0" w:after="0" w:afterAutospacing="0"/>
              <w:ind w:left="360"/>
              <w:rPr>
                <w:sz w:val="20"/>
                <w:szCs w:val="20"/>
              </w:rPr>
            </w:pPr>
            <w:r>
              <w:rPr>
                <w:sz w:val="20"/>
                <w:szCs w:val="20"/>
              </w:rPr>
              <w:t>Acquisition of real estate under development</w:t>
            </w:r>
          </w:p>
        </w:tc>
        <w:tc>
          <w:tcPr>
            <w:tcW w:w="50" w:type="pct"/>
            <w:shd w:val="clear" w:color="auto" w:fill="CCEEFF"/>
            <w:vAlign w:val="bottom"/>
            <w:hideMark/>
          </w:tcPr>
          <w:p w14:paraId="03D5E9F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7DE63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8F600B5"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085FE1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71862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338EA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1F4A7BC" w14:textId="77777777" w:rsidR="00000000" w:rsidRDefault="00527094">
            <w:pPr>
              <w:jc w:val="right"/>
              <w:rPr>
                <w:rFonts w:eastAsia="Times New Roman"/>
                <w:sz w:val="20"/>
                <w:szCs w:val="20"/>
              </w:rPr>
            </w:pPr>
            <w:r>
              <w:rPr>
                <w:rFonts w:eastAsia="Times New Roman"/>
                <w:sz w:val="20"/>
                <w:szCs w:val="20"/>
              </w:rPr>
              <w:t>(4,592</w:t>
            </w:r>
          </w:p>
        </w:tc>
        <w:tc>
          <w:tcPr>
            <w:tcW w:w="50" w:type="pct"/>
            <w:shd w:val="clear" w:color="auto" w:fill="CCEEFF"/>
            <w:vAlign w:val="bottom"/>
            <w:hideMark/>
          </w:tcPr>
          <w:p w14:paraId="11D3B5F0" w14:textId="77777777" w:rsidR="00000000" w:rsidRDefault="00527094">
            <w:pPr>
              <w:rPr>
                <w:rFonts w:eastAsia="Times New Roman"/>
                <w:sz w:val="20"/>
                <w:szCs w:val="20"/>
              </w:rPr>
            </w:pPr>
            <w:r>
              <w:rPr>
                <w:rFonts w:eastAsia="Times New Roman"/>
                <w:sz w:val="20"/>
                <w:szCs w:val="20"/>
              </w:rPr>
              <w:t>)</w:t>
            </w:r>
          </w:p>
        </w:tc>
      </w:tr>
      <w:tr w:rsidR="00000000" w14:paraId="3CF80B1B" w14:textId="77777777">
        <w:trPr>
          <w:divId w:val="550390147"/>
          <w:tblCellSpacing w:w="0" w:type="dxa"/>
        </w:trPr>
        <w:tc>
          <w:tcPr>
            <w:tcW w:w="0" w:type="auto"/>
            <w:shd w:val="clear" w:color="auto" w:fill="FFFFFF"/>
            <w:vAlign w:val="bottom"/>
            <w:hideMark/>
          </w:tcPr>
          <w:p w14:paraId="0A422D82" w14:textId="77777777" w:rsidR="00000000" w:rsidRDefault="00527094">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FFFFFF"/>
            <w:vAlign w:val="bottom"/>
            <w:hideMark/>
          </w:tcPr>
          <w:p w14:paraId="27D894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C5070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3AA9FE2" w14:textId="77777777" w:rsidR="00000000" w:rsidRDefault="00527094">
            <w:pPr>
              <w:jc w:val="right"/>
              <w:rPr>
                <w:rFonts w:eastAsia="Times New Roman"/>
                <w:sz w:val="20"/>
                <w:szCs w:val="20"/>
              </w:rPr>
            </w:pPr>
            <w:r>
              <w:rPr>
                <w:rFonts w:eastAsia="Times New Roman"/>
                <w:sz w:val="20"/>
                <w:szCs w:val="20"/>
              </w:rPr>
              <w:t>(57,496</w:t>
            </w:r>
          </w:p>
        </w:tc>
        <w:tc>
          <w:tcPr>
            <w:tcW w:w="50" w:type="pct"/>
            <w:shd w:val="clear" w:color="auto" w:fill="FFFFFF"/>
            <w:vAlign w:val="bottom"/>
            <w:hideMark/>
          </w:tcPr>
          <w:p w14:paraId="33C477DF"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1337668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650B94"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27A11FE" w14:textId="77777777" w:rsidR="00000000" w:rsidRDefault="00527094">
            <w:pPr>
              <w:jc w:val="right"/>
              <w:rPr>
                <w:rFonts w:eastAsia="Times New Roman"/>
                <w:sz w:val="20"/>
                <w:szCs w:val="20"/>
              </w:rPr>
            </w:pPr>
            <w:r>
              <w:rPr>
                <w:rFonts w:eastAsia="Times New Roman"/>
                <w:sz w:val="20"/>
                <w:szCs w:val="20"/>
              </w:rPr>
              <w:t>(121,393</w:t>
            </w:r>
          </w:p>
        </w:tc>
        <w:tc>
          <w:tcPr>
            <w:tcW w:w="50" w:type="pct"/>
            <w:shd w:val="clear" w:color="auto" w:fill="FFFFFF"/>
            <w:vAlign w:val="bottom"/>
            <w:hideMark/>
          </w:tcPr>
          <w:p w14:paraId="50112652" w14:textId="77777777" w:rsidR="00000000" w:rsidRDefault="00527094">
            <w:pPr>
              <w:rPr>
                <w:rFonts w:eastAsia="Times New Roman"/>
                <w:sz w:val="20"/>
                <w:szCs w:val="20"/>
              </w:rPr>
            </w:pPr>
            <w:r>
              <w:rPr>
                <w:rFonts w:eastAsia="Times New Roman"/>
                <w:sz w:val="20"/>
                <w:szCs w:val="20"/>
              </w:rPr>
              <w:t>)</w:t>
            </w:r>
          </w:p>
        </w:tc>
      </w:tr>
      <w:tr w:rsidR="00000000" w14:paraId="577B6EF5" w14:textId="77777777">
        <w:trPr>
          <w:divId w:val="550390147"/>
          <w:tblCellSpacing w:w="0" w:type="dxa"/>
        </w:trPr>
        <w:tc>
          <w:tcPr>
            <w:tcW w:w="0" w:type="auto"/>
            <w:shd w:val="clear" w:color="auto" w:fill="CCEEFF"/>
            <w:vAlign w:val="bottom"/>
            <w:hideMark/>
          </w:tcPr>
          <w:p w14:paraId="12CED331" w14:textId="77777777" w:rsidR="00000000" w:rsidRDefault="00527094">
            <w:pPr>
              <w:pStyle w:val="a3"/>
              <w:spacing w:before="0" w:beforeAutospacing="0" w:after="0" w:afterAutospacing="0"/>
              <w:ind w:left="360"/>
              <w:rPr>
                <w:sz w:val="20"/>
                <w:szCs w:val="20"/>
              </w:rPr>
            </w:pPr>
            <w:r>
              <w:rPr>
                <w:sz w:val="20"/>
                <w:szCs w:val="20"/>
              </w:rPr>
              <w:t>Investments in marketable securities</w:t>
            </w:r>
          </w:p>
        </w:tc>
        <w:tc>
          <w:tcPr>
            <w:tcW w:w="50" w:type="pct"/>
            <w:shd w:val="clear" w:color="auto" w:fill="CCEEFF"/>
            <w:vAlign w:val="bottom"/>
            <w:hideMark/>
          </w:tcPr>
          <w:p w14:paraId="2388C41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D840AF"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336639A" w14:textId="77777777" w:rsidR="00000000" w:rsidRDefault="00527094">
            <w:pPr>
              <w:jc w:val="right"/>
              <w:rPr>
                <w:rFonts w:eastAsia="Times New Roman"/>
                <w:sz w:val="20"/>
                <w:szCs w:val="20"/>
              </w:rPr>
            </w:pPr>
            <w:r>
              <w:rPr>
                <w:rFonts w:eastAsia="Times New Roman"/>
                <w:sz w:val="20"/>
                <w:szCs w:val="20"/>
              </w:rPr>
              <w:t>(157</w:t>
            </w:r>
          </w:p>
        </w:tc>
        <w:tc>
          <w:tcPr>
            <w:tcW w:w="50" w:type="pct"/>
            <w:shd w:val="clear" w:color="auto" w:fill="CCEEFF"/>
            <w:vAlign w:val="bottom"/>
            <w:hideMark/>
          </w:tcPr>
          <w:p w14:paraId="2897BF3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090A5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29587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533C5F0" w14:textId="77777777" w:rsidR="00000000" w:rsidRDefault="00527094">
            <w:pPr>
              <w:jc w:val="right"/>
              <w:rPr>
                <w:rFonts w:eastAsia="Times New Roman"/>
                <w:sz w:val="20"/>
                <w:szCs w:val="20"/>
              </w:rPr>
            </w:pPr>
            <w:r>
              <w:rPr>
                <w:rFonts w:eastAsia="Times New Roman"/>
                <w:sz w:val="20"/>
                <w:szCs w:val="20"/>
              </w:rPr>
              <w:t>(63</w:t>
            </w:r>
          </w:p>
        </w:tc>
        <w:tc>
          <w:tcPr>
            <w:tcW w:w="50" w:type="pct"/>
            <w:shd w:val="clear" w:color="auto" w:fill="CCEEFF"/>
            <w:vAlign w:val="bottom"/>
            <w:hideMark/>
          </w:tcPr>
          <w:p w14:paraId="3E3D79EE" w14:textId="77777777" w:rsidR="00000000" w:rsidRDefault="00527094">
            <w:pPr>
              <w:rPr>
                <w:rFonts w:eastAsia="Times New Roman"/>
                <w:sz w:val="20"/>
                <w:szCs w:val="20"/>
              </w:rPr>
            </w:pPr>
            <w:r>
              <w:rPr>
                <w:rFonts w:eastAsia="Times New Roman"/>
                <w:sz w:val="20"/>
                <w:szCs w:val="20"/>
              </w:rPr>
              <w:t>)</w:t>
            </w:r>
          </w:p>
        </w:tc>
      </w:tr>
      <w:tr w:rsidR="00000000" w14:paraId="64C277D9" w14:textId="77777777">
        <w:trPr>
          <w:divId w:val="550390147"/>
          <w:tblCellSpacing w:w="0" w:type="dxa"/>
        </w:trPr>
        <w:tc>
          <w:tcPr>
            <w:tcW w:w="0" w:type="auto"/>
            <w:shd w:val="clear" w:color="auto" w:fill="FFFFFF"/>
            <w:vAlign w:val="bottom"/>
            <w:hideMark/>
          </w:tcPr>
          <w:p w14:paraId="355CA27E" w14:textId="77777777" w:rsidR="00000000" w:rsidRDefault="00527094">
            <w:pPr>
              <w:pStyle w:val="a3"/>
              <w:spacing w:before="0" w:beforeAutospacing="0" w:after="0" w:afterAutospacing="0"/>
              <w:ind w:left="360"/>
              <w:rPr>
                <w:sz w:val="20"/>
                <w:szCs w:val="20"/>
              </w:rPr>
            </w:pPr>
            <w:r>
              <w:rPr>
                <w:sz w:val="20"/>
                <w:szCs w:val="20"/>
              </w:rPr>
              <w:t>Proceeds from sale/repayments of marketable securities</w:t>
            </w:r>
          </w:p>
        </w:tc>
        <w:tc>
          <w:tcPr>
            <w:tcW w:w="50" w:type="pct"/>
            <w:shd w:val="clear" w:color="auto" w:fill="FFFFFF"/>
            <w:vAlign w:val="bottom"/>
            <w:hideMark/>
          </w:tcPr>
          <w:p w14:paraId="3DD28E6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AE861F"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5C38A4" w14:textId="77777777" w:rsidR="00000000" w:rsidRDefault="00527094">
            <w:pPr>
              <w:jc w:val="right"/>
              <w:rPr>
                <w:rFonts w:eastAsia="Times New Roman"/>
                <w:sz w:val="20"/>
                <w:szCs w:val="20"/>
              </w:rPr>
            </w:pPr>
            <w:r>
              <w:rPr>
                <w:rFonts w:eastAsia="Times New Roman"/>
                <w:sz w:val="20"/>
                <w:szCs w:val="20"/>
              </w:rPr>
              <w:t>151</w:t>
            </w:r>
          </w:p>
        </w:tc>
        <w:tc>
          <w:tcPr>
            <w:tcW w:w="50" w:type="pct"/>
            <w:shd w:val="clear" w:color="auto" w:fill="FFFFFF"/>
            <w:vAlign w:val="bottom"/>
            <w:hideMark/>
          </w:tcPr>
          <w:p w14:paraId="7FF5BC3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41DB7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8CAC6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DBF059E" w14:textId="77777777" w:rsidR="00000000" w:rsidRDefault="00527094">
            <w:pPr>
              <w:jc w:val="right"/>
              <w:rPr>
                <w:rFonts w:eastAsia="Times New Roman"/>
                <w:sz w:val="20"/>
                <w:szCs w:val="20"/>
              </w:rPr>
            </w:pPr>
            <w:r>
              <w:rPr>
                <w:rFonts w:eastAsia="Times New Roman"/>
                <w:sz w:val="20"/>
                <w:szCs w:val="20"/>
              </w:rPr>
              <w:t>129</w:t>
            </w:r>
          </w:p>
        </w:tc>
        <w:tc>
          <w:tcPr>
            <w:tcW w:w="50" w:type="pct"/>
            <w:shd w:val="clear" w:color="auto" w:fill="FFFFFF"/>
            <w:vAlign w:val="bottom"/>
            <w:hideMark/>
          </w:tcPr>
          <w:p w14:paraId="2447778F" w14:textId="77777777" w:rsidR="00000000" w:rsidRDefault="00527094">
            <w:pPr>
              <w:rPr>
                <w:rFonts w:eastAsia="Times New Roman"/>
                <w:sz w:val="20"/>
                <w:szCs w:val="20"/>
              </w:rPr>
            </w:pPr>
            <w:r>
              <w:rPr>
                <w:rFonts w:eastAsia="Times New Roman"/>
                <w:sz w:val="20"/>
                <w:szCs w:val="20"/>
              </w:rPr>
              <w:t> </w:t>
            </w:r>
          </w:p>
        </w:tc>
      </w:tr>
      <w:tr w:rsidR="00000000" w14:paraId="0537EACC" w14:textId="77777777">
        <w:trPr>
          <w:divId w:val="550390147"/>
          <w:tblCellSpacing w:w="0" w:type="dxa"/>
        </w:trPr>
        <w:tc>
          <w:tcPr>
            <w:tcW w:w="0" w:type="auto"/>
            <w:shd w:val="clear" w:color="auto" w:fill="CCEEFF"/>
            <w:vAlign w:val="bottom"/>
            <w:hideMark/>
          </w:tcPr>
          <w:p w14:paraId="137CA3F0" w14:textId="77777777" w:rsidR="00000000" w:rsidRDefault="00527094">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CCEEFF"/>
            <w:vAlign w:val="bottom"/>
            <w:hideMark/>
          </w:tcPr>
          <w:p w14:paraId="2FA9FB7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1FDBF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C4587BE" w14:textId="77777777" w:rsidR="00000000" w:rsidRDefault="00527094">
            <w:pPr>
              <w:jc w:val="right"/>
              <w:rPr>
                <w:rFonts w:eastAsia="Times New Roman"/>
                <w:sz w:val="20"/>
                <w:szCs w:val="20"/>
              </w:rPr>
            </w:pPr>
            <w:r>
              <w:rPr>
                <w:rFonts w:eastAsia="Times New Roman"/>
                <w:sz w:val="20"/>
                <w:szCs w:val="20"/>
              </w:rPr>
              <w:t>(16,214</w:t>
            </w:r>
          </w:p>
        </w:tc>
        <w:tc>
          <w:tcPr>
            <w:tcW w:w="50" w:type="pct"/>
            <w:shd w:val="clear" w:color="auto" w:fill="CCEEFF"/>
            <w:vAlign w:val="bottom"/>
            <w:hideMark/>
          </w:tcPr>
          <w:p w14:paraId="627539A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463257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509F35"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3F866FA" w14:textId="77777777" w:rsidR="00000000" w:rsidRDefault="00527094">
            <w:pPr>
              <w:jc w:val="right"/>
              <w:rPr>
                <w:rFonts w:eastAsia="Times New Roman"/>
                <w:sz w:val="20"/>
                <w:szCs w:val="20"/>
              </w:rPr>
            </w:pPr>
            <w:r>
              <w:rPr>
                <w:rFonts w:eastAsia="Times New Roman"/>
                <w:sz w:val="20"/>
                <w:szCs w:val="20"/>
              </w:rPr>
              <w:t>(15,240</w:t>
            </w:r>
          </w:p>
        </w:tc>
        <w:tc>
          <w:tcPr>
            <w:tcW w:w="50" w:type="pct"/>
            <w:shd w:val="clear" w:color="auto" w:fill="CCEEFF"/>
            <w:vAlign w:val="bottom"/>
            <w:hideMark/>
          </w:tcPr>
          <w:p w14:paraId="1B9383E7" w14:textId="77777777" w:rsidR="00000000" w:rsidRDefault="00527094">
            <w:pPr>
              <w:rPr>
                <w:rFonts w:eastAsia="Times New Roman"/>
                <w:sz w:val="20"/>
                <w:szCs w:val="20"/>
              </w:rPr>
            </w:pPr>
            <w:r>
              <w:rPr>
                <w:rFonts w:eastAsia="Times New Roman"/>
                <w:sz w:val="20"/>
                <w:szCs w:val="20"/>
              </w:rPr>
              <w:t>)</w:t>
            </w:r>
          </w:p>
        </w:tc>
      </w:tr>
      <w:tr w:rsidR="00000000" w14:paraId="34CE4A33" w14:textId="77777777">
        <w:trPr>
          <w:divId w:val="550390147"/>
          <w:tblCellSpacing w:w="0" w:type="dxa"/>
        </w:trPr>
        <w:tc>
          <w:tcPr>
            <w:tcW w:w="0" w:type="auto"/>
            <w:shd w:val="clear" w:color="auto" w:fill="FFFFFF"/>
            <w:vAlign w:val="bottom"/>
            <w:hideMark/>
          </w:tcPr>
          <w:p w14:paraId="4D373839" w14:textId="77777777" w:rsidR="00000000" w:rsidRDefault="00527094">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FFFFFF"/>
            <w:vAlign w:val="bottom"/>
            <w:hideMark/>
          </w:tcPr>
          <w:p w14:paraId="5A74D1A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9CB41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CB497F6" w14:textId="77777777" w:rsidR="00000000" w:rsidRDefault="00527094">
            <w:pPr>
              <w:jc w:val="right"/>
              <w:rPr>
                <w:rFonts w:eastAsia="Times New Roman"/>
                <w:sz w:val="20"/>
                <w:szCs w:val="20"/>
              </w:rPr>
            </w:pPr>
            <w:r>
              <w:rPr>
                <w:rFonts w:eastAsia="Times New Roman"/>
                <w:sz w:val="20"/>
                <w:szCs w:val="20"/>
              </w:rPr>
              <w:t>2,702</w:t>
            </w:r>
          </w:p>
        </w:tc>
        <w:tc>
          <w:tcPr>
            <w:tcW w:w="50" w:type="pct"/>
            <w:shd w:val="clear" w:color="auto" w:fill="FFFFFF"/>
            <w:vAlign w:val="bottom"/>
            <w:hideMark/>
          </w:tcPr>
          <w:p w14:paraId="6736A38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2BCF3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B8C5F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8FB141" w14:textId="77777777" w:rsidR="00000000" w:rsidRDefault="00527094">
            <w:pPr>
              <w:jc w:val="right"/>
              <w:rPr>
                <w:rFonts w:eastAsia="Times New Roman"/>
                <w:sz w:val="20"/>
                <w:szCs w:val="20"/>
              </w:rPr>
            </w:pPr>
            <w:r>
              <w:rPr>
                <w:rFonts w:eastAsia="Times New Roman"/>
                <w:sz w:val="20"/>
                <w:szCs w:val="20"/>
              </w:rPr>
              <w:t>5,228</w:t>
            </w:r>
          </w:p>
        </w:tc>
        <w:tc>
          <w:tcPr>
            <w:tcW w:w="50" w:type="pct"/>
            <w:shd w:val="clear" w:color="auto" w:fill="FFFFFF"/>
            <w:vAlign w:val="bottom"/>
            <w:hideMark/>
          </w:tcPr>
          <w:p w14:paraId="338FF59D" w14:textId="77777777" w:rsidR="00000000" w:rsidRDefault="00527094">
            <w:pPr>
              <w:rPr>
                <w:rFonts w:eastAsia="Times New Roman"/>
                <w:sz w:val="20"/>
                <w:szCs w:val="20"/>
              </w:rPr>
            </w:pPr>
            <w:r>
              <w:rPr>
                <w:rFonts w:eastAsia="Times New Roman"/>
                <w:sz w:val="20"/>
                <w:szCs w:val="20"/>
              </w:rPr>
              <w:t> </w:t>
            </w:r>
          </w:p>
        </w:tc>
      </w:tr>
      <w:tr w:rsidR="00000000" w14:paraId="45CF31C5" w14:textId="77777777">
        <w:trPr>
          <w:divId w:val="550390147"/>
          <w:tblCellSpacing w:w="0" w:type="dxa"/>
        </w:trPr>
        <w:tc>
          <w:tcPr>
            <w:tcW w:w="0" w:type="auto"/>
            <w:shd w:val="clear" w:color="auto" w:fill="CCEEFF"/>
            <w:vAlign w:val="bottom"/>
            <w:hideMark/>
          </w:tcPr>
          <w:p w14:paraId="690148E9" w14:textId="77777777" w:rsidR="00000000" w:rsidRDefault="00527094">
            <w:pPr>
              <w:pStyle w:val="a3"/>
              <w:spacing w:before="0" w:beforeAutospacing="0" w:after="0" w:afterAutospacing="0"/>
              <w:ind w:left="360"/>
              <w:rPr>
                <w:sz w:val="20"/>
                <w:szCs w:val="20"/>
              </w:rPr>
            </w:pPr>
            <w:r>
              <w:rPr>
                <w:sz w:val="20"/>
                <w:szCs w:val="20"/>
              </w:rPr>
              <w:t>Investments in and advances to other real estate investments</w:t>
            </w:r>
          </w:p>
        </w:tc>
        <w:tc>
          <w:tcPr>
            <w:tcW w:w="50" w:type="pct"/>
            <w:shd w:val="clear" w:color="auto" w:fill="CCEEFF"/>
            <w:vAlign w:val="bottom"/>
            <w:hideMark/>
          </w:tcPr>
          <w:p w14:paraId="715710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1924E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3A97DF8" w14:textId="77777777" w:rsidR="00000000" w:rsidRDefault="00527094">
            <w:pPr>
              <w:jc w:val="right"/>
              <w:rPr>
                <w:rFonts w:eastAsia="Times New Roman"/>
                <w:sz w:val="20"/>
                <w:szCs w:val="20"/>
              </w:rPr>
            </w:pPr>
            <w:r>
              <w:rPr>
                <w:rFonts w:eastAsia="Times New Roman"/>
                <w:sz w:val="20"/>
                <w:szCs w:val="20"/>
              </w:rPr>
              <w:t>(</w:t>
            </w:r>
            <w:r>
              <w:rPr>
                <w:rFonts w:eastAsia="Times New Roman"/>
                <w:sz w:val="20"/>
                <w:szCs w:val="20"/>
              </w:rPr>
              <w:t>9,685</w:t>
            </w:r>
          </w:p>
        </w:tc>
        <w:tc>
          <w:tcPr>
            <w:tcW w:w="50" w:type="pct"/>
            <w:shd w:val="clear" w:color="auto" w:fill="CCEEFF"/>
            <w:vAlign w:val="bottom"/>
            <w:hideMark/>
          </w:tcPr>
          <w:p w14:paraId="58527AF1"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F4366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B8E115"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A9FAA2F" w14:textId="77777777" w:rsidR="00000000" w:rsidRDefault="00527094">
            <w:pPr>
              <w:jc w:val="right"/>
              <w:rPr>
                <w:rFonts w:eastAsia="Times New Roman"/>
                <w:sz w:val="20"/>
                <w:szCs w:val="20"/>
              </w:rPr>
            </w:pPr>
            <w:r>
              <w:rPr>
                <w:rFonts w:eastAsia="Times New Roman"/>
                <w:sz w:val="20"/>
                <w:szCs w:val="20"/>
              </w:rPr>
              <w:t>(353</w:t>
            </w:r>
          </w:p>
        </w:tc>
        <w:tc>
          <w:tcPr>
            <w:tcW w:w="50" w:type="pct"/>
            <w:shd w:val="clear" w:color="auto" w:fill="CCEEFF"/>
            <w:vAlign w:val="bottom"/>
            <w:hideMark/>
          </w:tcPr>
          <w:p w14:paraId="3A50B8D2" w14:textId="77777777" w:rsidR="00000000" w:rsidRDefault="00527094">
            <w:pPr>
              <w:rPr>
                <w:rFonts w:eastAsia="Times New Roman"/>
                <w:sz w:val="20"/>
                <w:szCs w:val="20"/>
              </w:rPr>
            </w:pPr>
            <w:r>
              <w:rPr>
                <w:rFonts w:eastAsia="Times New Roman"/>
                <w:sz w:val="20"/>
                <w:szCs w:val="20"/>
              </w:rPr>
              <w:t>)</w:t>
            </w:r>
          </w:p>
        </w:tc>
      </w:tr>
      <w:tr w:rsidR="00000000" w14:paraId="5FF2AC46" w14:textId="77777777">
        <w:trPr>
          <w:divId w:val="550390147"/>
          <w:tblCellSpacing w:w="0" w:type="dxa"/>
        </w:trPr>
        <w:tc>
          <w:tcPr>
            <w:tcW w:w="0" w:type="auto"/>
            <w:shd w:val="clear" w:color="auto" w:fill="FFFFFF"/>
            <w:vAlign w:val="bottom"/>
            <w:hideMark/>
          </w:tcPr>
          <w:p w14:paraId="38B53878" w14:textId="77777777" w:rsidR="00000000" w:rsidRDefault="00527094">
            <w:pPr>
              <w:pStyle w:val="a3"/>
              <w:spacing w:before="0" w:beforeAutospacing="0" w:after="0" w:afterAutospacing="0"/>
              <w:ind w:left="360"/>
              <w:rPr>
                <w:sz w:val="20"/>
                <w:szCs w:val="20"/>
              </w:rPr>
            </w:pPr>
            <w:r>
              <w:rPr>
                <w:sz w:val="20"/>
                <w:szCs w:val="20"/>
              </w:rPr>
              <w:t>Reimbursements of investments in and advances to other real estate investments</w:t>
            </w:r>
          </w:p>
        </w:tc>
        <w:tc>
          <w:tcPr>
            <w:tcW w:w="50" w:type="pct"/>
            <w:shd w:val="clear" w:color="auto" w:fill="FFFFFF"/>
            <w:vAlign w:val="bottom"/>
            <w:hideMark/>
          </w:tcPr>
          <w:p w14:paraId="1B442EA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BDCAEE"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91ECA48" w14:textId="77777777" w:rsidR="00000000" w:rsidRDefault="00527094">
            <w:pPr>
              <w:jc w:val="right"/>
              <w:rPr>
                <w:rFonts w:eastAsia="Times New Roman"/>
                <w:sz w:val="20"/>
                <w:szCs w:val="20"/>
              </w:rPr>
            </w:pPr>
            <w:r>
              <w:rPr>
                <w:rFonts w:eastAsia="Times New Roman"/>
                <w:sz w:val="20"/>
                <w:szCs w:val="20"/>
              </w:rPr>
              <w:t>5,960</w:t>
            </w:r>
          </w:p>
        </w:tc>
        <w:tc>
          <w:tcPr>
            <w:tcW w:w="50" w:type="pct"/>
            <w:shd w:val="clear" w:color="auto" w:fill="FFFFFF"/>
            <w:vAlign w:val="bottom"/>
            <w:hideMark/>
          </w:tcPr>
          <w:p w14:paraId="7D42DA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B2853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ADB75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A5F8A6D" w14:textId="77777777" w:rsidR="00000000" w:rsidRDefault="00527094">
            <w:pPr>
              <w:jc w:val="right"/>
              <w:rPr>
                <w:rFonts w:eastAsia="Times New Roman"/>
                <w:sz w:val="20"/>
                <w:szCs w:val="20"/>
              </w:rPr>
            </w:pPr>
            <w:r>
              <w:rPr>
                <w:rFonts w:eastAsia="Times New Roman"/>
                <w:sz w:val="20"/>
                <w:szCs w:val="20"/>
              </w:rPr>
              <w:t>10,444</w:t>
            </w:r>
          </w:p>
        </w:tc>
        <w:tc>
          <w:tcPr>
            <w:tcW w:w="50" w:type="pct"/>
            <w:shd w:val="clear" w:color="auto" w:fill="FFFFFF"/>
            <w:vAlign w:val="bottom"/>
            <w:hideMark/>
          </w:tcPr>
          <w:p w14:paraId="3E4E612C" w14:textId="77777777" w:rsidR="00000000" w:rsidRDefault="00527094">
            <w:pPr>
              <w:rPr>
                <w:rFonts w:eastAsia="Times New Roman"/>
                <w:sz w:val="20"/>
                <w:szCs w:val="20"/>
              </w:rPr>
            </w:pPr>
            <w:r>
              <w:rPr>
                <w:rFonts w:eastAsia="Times New Roman"/>
                <w:sz w:val="20"/>
                <w:szCs w:val="20"/>
              </w:rPr>
              <w:t> </w:t>
            </w:r>
          </w:p>
        </w:tc>
      </w:tr>
      <w:tr w:rsidR="00000000" w14:paraId="4BA52318" w14:textId="77777777">
        <w:trPr>
          <w:divId w:val="550390147"/>
          <w:tblCellSpacing w:w="0" w:type="dxa"/>
        </w:trPr>
        <w:tc>
          <w:tcPr>
            <w:tcW w:w="0" w:type="auto"/>
            <w:shd w:val="clear" w:color="auto" w:fill="CCEEFF"/>
            <w:vAlign w:val="bottom"/>
            <w:hideMark/>
          </w:tcPr>
          <w:p w14:paraId="7BC7EAB8" w14:textId="77777777" w:rsidR="00000000" w:rsidRDefault="00527094">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CCEEFF"/>
            <w:vAlign w:val="bottom"/>
            <w:hideMark/>
          </w:tcPr>
          <w:p w14:paraId="3F84874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45D6E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4523349" w14:textId="77777777" w:rsidR="00000000" w:rsidRDefault="00527094">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14:paraId="2086496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ABB55C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D781B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9977CE7"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39F91B1" w14:textId="77777777" w:rsidR="00000000" w:rsidRDefault="00527094">
            <w:pPr>
              <w:rPr>
                <w:rFonts w:eastAsia="Times New Roman"/>
                <w:sz w:val="20"/>
                <w:szCs w:val="20"/>
              </w:rPr>
            </w:pPr>
            <w:r>
              <w:rPr>
                <w:rFonts w:eastAsia="Times New Roman"/>
                <w:sz w:val="20"/>
                <w:szCs w:val="20"/>
              </w:rPr>
              <w:t> </w:t>
            </w:r>
          </w:p>
        </w:tc>
      </w:tr>
      <w:tr w:rsidR="00000000" w14:paraId="7C9490C5" w14:textId="77777777">
        <w:trPr>
          <w:divId w:val="550390147"/>
          <w:tblCellSpacing w:w="0" w:type="dxa"/>
        </w:trPr>
        <w:tc>
          <w:tcPr>
            <w:tcW w:w="0" w:type="auto"/>
            <w:shd w:val="clear" w:color="auto" w:fill="FFFFFF"/>
            <w:vAlign w:val="bottom"/>
            <w:hideMark/>
          </w:tcPr>
          <w:p w14:paraId="194029DC" w14:textId="77777777" w:rsidR="00000000" w:rsidRDefault="00527094">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FFFFFF"/>
            <w:vAlign w:val="bottom"/>
            <w:hideMark/>
          </w:tcPr>
          <w:p w14:paraId="4D92A41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AE68B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6F40433" w14:textId="77777777" w:rsidR="00000000" w:rsidRDefault="00527094">
            <w:pPr>
              <w:jc w:val="right"/>
              <w:rPr>
                <w:rFonts w:eastAsia="Times New Roman"/>
                <w:sz w:val="20"/>
                <w:szCs w:val="20"/>
              </w:rPr>
            </w:pPr>
            <w:r>
              <w:rPr>
                <w:rFonts w:eastAsia="Times New Roman"/>
                <w:sz w:val="20"/>
                <w:szCs w:val="20"/>
              </w:rPr>
              <w:t>5,351</w:t>
            </w:r>
          </w:p>
        </w:tc>
        <w:tc>
          <w:tcPr>
            <w:tcW w:w="50" w:type="pct"/>
            <w:shd w:val="clear" w:color="auto" w:fill="FFFFFF"/>
            <w:vAlign w:val="bottom"/>
            <w:hideMark/>
          </w:tcPr>
          <w:p w14:paraId="0A5222E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127E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7C27B3"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20BD4B9" w14:textId="77777777" w:rsidR="00000000" w:rsidRDefault="00527094">
            <w:pPr>
              <w:jc w:val="right"/>
              <w:rPr>
                <w:rFonts w:eastAsia="Times New Roman"/>
                <w:sz w:val="20"/>
                <w:szCs w:val="20"/>
              </w:rPr>
            </w:pPr>
            <w:r>
              <w:rPr>
                <w:rFonts w:eastAsia="Times New Roman"/>
                <w:sz w:val="20"/>
                <w:szCs w:val="20"/>
              </w:rPr>
              <w:t>5,427</w:t>
            </w:r>
          </w:p>
        </w:tc>
        <w:tc>
          <w:tcPr>
            <w:tcW w:w="50" w:type="pct"/>
            <w:shd w:val="clear" w:color="auto" w:fill="FFFFFF"/>
            <w:vAlign w:val="bottom"/>
            <w:hideMark/>
          </w:tcPr>
          <w:p w14:paraId="1AEC76C1" w14:textId="77777777" w:rsidR="00000000" w:rsidRDefault="00527094">
            <w:pPr>
              <w:rPr>
                <w:rFonts w:eastAsia="Times New Roman"/>
                <w:sz w:val="20"/>
                <w:szCs w:val="20"/>
              </w:rPr>
            </w:pPr>
            <w:r>
              <w:rPr>
                <w:rFonts w:eastAsia="Times New Roman"/>
                <w:sz w:val="20"/>
                <w:szCs w:val="20"/>
              </w:rPr>
              <w:t> </w:t>
            </w:r>
          </w:p>
        </w:tc>
      </w:tr>
      <w:tr w:rsidR="00000000" w14:paraId="37B54018" w14:textId="77777777">
        <w:trPr>
          <w:divId w:val="550390147"/>
          <w:tblCellSpacing w:w="0" w:type="dxa"/>
        </w:trPr>
        <w:tc>
          <w:tcPr>
            <w:tcW w:w="0" w:type="auto"/>
            <w:shd w:val="clear" w:color="auto" w:fill="CCEEFF"/>
            <w:vAlign w:val="bottom"/>
            <w:hideMark/>
          </w:tcPr>
          <w:p w14:paraId="6A82D16C" w14:textId="77777777" w:rsidR="00000000" w:rsidRDefault="00527094">
            <w:pPr>
              <w:pStyle w:val="a3"/>
              <w:spacing w:before="0" w:beforeAutospacing="0" w:after="0" w:afterAutospacing="0"/>
              <w:ind w:left="360"/>
              <w:rPr>
                <w:sz w:val="20"/>
                <w:szCs w:val="20"/>
              </w:rPr>
            </w:pPr>
            <w:r>
              <w:rPr>
                <w:sz w:val="20"/>
                <w:szCs w:val="20"/>
              </w:rPr>
              <w:t>Proceeds from sale of operating properties</w:t>
            </w:r>
          </w:p>
        </w:tc>
        <w:tc>
          <w:tcPr>
            <w:tcW w:w="50" w:type="pct"/>
            <w:shd w:val="clear" w:color="auto" w:fill="CCEEFF"/>
            <w:vAlign w:val="bottom"/>
            <w:hideMark/>
          </w:tcPr>
          <w:p w14:paraId="37A8FFD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6AB7C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E188E94" w14:textId="77777777" w:rsidR="00000000" w:rsidRDefault="00527094">
            <w:pPr>
              <w:jc w:val="right"/>
              <w:rPr>
                <w:rFonts w:eastAsia="Times New Roman"/>
                <w:sz w:val="20"/>
                <w:szCs w:val="20"/>
              </w:rPr>
            </w:pPr>
            <w:r>
              <w:rPr>
                <w:rFonts w:eastAsia="Times New Roman"/>
                <w:sz w:val="20"/>
                <w:szCs w:val="20"/>
              </w:rPr>
              <w:t>106,782</w:t>
            </w:r>
          </w:p>
        </w:tc>
        <w:tc>
          <w:tcPr>
            <w:tcW w:w="50" w:type="pct"/>
            <w:shd w:val="clear" w:color="auto" w:fill="CCEEFF"/>
            <w:vAlign w:val="bottom"/>
            <w:hideMark/>
          </w:tcPr>
          <w:p w14:paraId="4F229C5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D437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55B26E"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FAB142E" w14:textId="77777777" w:rsidR="00000000" w:rsidRDefault="00527094">
            <w:pPr>
              <w:jc w:val="right"/>
              <w:rPr>
                <w:rFonts w:eastAsia="Times New Roman"/>
                <w:sz w:val="20"/>
                <w:szCs w:val="20"/>
              </w:rPr>
            </w:pPr>
            <w:r>
              <w:rPr>
                <w:rFonts w:eastAsia="Times New Roman"/>
                <w:sz w:val="20"/>
                <w:szCs w:val="20"/>
              </w:rPr>
              <w:t>472,781</w:t>
            </w:r>
          </w:p>
        </w:tc>
        <w:tc>
          <w:tcPr>
            <w:tcW w:w="50" w:type="pct"/>
            <w:shd w:val="clear" w:color="auto" w:fill="CCEEFF"/>
            <w:vAlign w:val="bottom"/>
            <w:hideMark/>
          </w:tcPr>
          <w:p w14:paraId="413209F8" w14:textId="77777777" w:rsidR="00000000" w:rsidRDefault="00527094">
            <w:pPr>
              <w:rPr>
                <w:rFonts w:eastAsia="Times New Roman"/>
                <w:sz w:val="20"/>
                <w:szCs w:val="20"/>
              </w:rPr>
            </w:pPr>
            <w:r>
              <w:rPr>
                <w:rFonts w:eastAsia="Times New Roman"/>
                <w:sz w:val="20"/>
                <w:szCs w:val="20"/>
              </w:rPr>
              <w:t> </w:t>
            </w:r>
          </w:p>
        </w:tc>
      </w:tr>
      <w:tr w:rsidR="00000000" w14:paraId="62C27258" w14:textId="77777777">
        <w:trPr>
          <w:divId w:val="550390147"/>
          <w:tblCellSpacing w:w="0" w:type="dxa"/>
        </w:trPr>
        <w:tc>
          <w:tcPr>
            <w:tcW w:w="0" w:type="auto"/>
            <w:shd w:val="clear" w:color="auto" w:fill="FFFFFF"/>
            <w:vAlign w:val="bottom"/>
            <w:hideMark/>
          </w:tcPr>
          <w:p w14:paraId="3F6899C2" w14:textId="77777777" w:rsidR="00000000" w:rsidRDefault="00527094">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14:paraId="2ADF746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9826857"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AE9BD46" w14:textId="77777777" w:rsidR="00000000" w:rsidRDefault="00527094">
            <w:pPr>
              <w:jc w:val="right"/>
              <w:rPr>
                <w:rFonts w:eastAsia="Times New Roman"/>
                <w:sz w:val="20"/>
                <w:szCs w:val="20"/>
              </w:rPr>
            </w:pPr>
            <w:r>
              <w:rPr>
                <w:rFonts w:eastAsia="Times New Roman"/>
                <w:sz w:val="20"/>
                <w:szCs w:val="20"/>
              </w:rPr>
              <w:t>2,000</w:t>
            </w:r>
          </w:p>
        </w:tc>
        <w:tc>
          <w:tcPr>
            <w:tcW w:w="50" w:type="pct"/>
            <w:shd w:val="clear" w:color="auto" w:fill="FFFFFF"/>
            <w:tcMar>
              <w:top w:w="0" w:type="dxa"/>
              <w:left w:w="0" w:type="dxa"/>
              <w:bottom w:w="15" w:type="dxa"/>
              <w:right w:w="0" w:type="dxa"/>
            </w:tcMar>
            <w:vAlign w:val="bottom"/>
            <w:hideMark/>
          </w:tcPr>
          <w:p w14:paraId="740F274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0463C55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297352A"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DDF3E75" w14:textId="77777777" w:rsidR="00000000" w:rsidRDefault="00527094">
            <w:pPr>
              <w:jc w:val="right"/>
              <w:rPr>
                <w:rFonts w:eastAsia="Times New Roman"/>
                <w:sz w:val="20"/>
                <w:szCs w:val="20"/>
              </w:rPr>
            </w:pPr>
            <w:r>
              <w:rPr>
                <w:rFonts w:eastAsia="Times New Roman"/>
                <w:sz w:val="20"/>
                <w:szCs w:val="20"/>
              </w:rPr>
              <w:t>6,500</w:t>
            </w:r>
          </w:p>
        </w:tc>
        <w:tc>
          <w:tcPr>
            <w:tcW w:w="50" w:type="pct"/>
            <w:shd w:val="clear" w:color="auto" w:fill="FFFFFF"/>
            <w:tcMar>
              <w:top w:w="0" w:type="dxa"/>
              <w:left w:w="0" w:type="dxa"/>
              <w:bottom w:w="15" w:type="dxa"/>
              <w:right w:w="0" w:type="dxa"/>
            </w:tcMar>
            <w:vAlign w:val="bottom"/>
            <w:hideMark/>
          </w:tcPr>
          <w:p w14:paraId="786C032B" w14:textId="77777777" w:rsidR="00000000" w:rsidRDefault="00527094">
            <w:pPr>
              <w:rPr>
                <w:rFonts w:eastAsia="Times New Roman"/>
                <w:sz w:val="20"/>
                <w:szCs w:val="20"/>
              </w:rPr>
            </w:pPr>
            <w:r>
              <w:rPr>
                <w:rFonts w:eastAsia="Times New Roman"/>
                <w:sz w:val="20"/>
                <w:szCs w:val="20"/>
              </w:rPr>
              <w:t> </w:t>
            </w:r>
          </w:p>
        </w:tc>
      </w:tr>
      <w:tr w:rsidR="00000000" w14:paraId="0FC03414" w14:textId="77777777">
        <w:trPr>
          <w:divId w:val="550390147"/>
          <w:tblCellSpacing w:w="0" w:type="dxa"/>
        </w:trPr>
        <w:tc>
          <w:tcPr>
            <w:tcW w:w="0" w:type="auto"/>
            <w:shd w:val="clear" w:color="auto" w:fill="CCEEFF"/>
            <w:vAlign w:val="bottom"/>
            <w:hideMark/>
          </w:tcPr>
          <w:p w14:paraId="58A97F32" w14:textId="77777777" w:rsidR="00000000" w:rsidRDefault="00527094">
            <w:pPr>
              <w:pStyle w:val="a3"/>
              <w:spacing w:before="0" w:beforeAutospacing="0" w:after="0" w:afterAutospacing="0"/>
              <w:ind w:left="720"/>
              <w:rPr>
                <w:sz w:val="20"/>
                <w:szCs w:val="20"/>
              </w:rPr>
            </w:pPr>
            <w:r>
              <w:rPr>
                <w:sz w:val="20"/>
                <w:szCs w:val="20"/>
              </w:rPr>
              <w:t>Net cash flow (used for)/provided by investing activities</w:t>
            </w:r>
          </w:p>
        </w:tc>
        <w:tc>
          <w:tcPr>
            <w:tcW w:w="50" w:type="pct"/>
            <w:shd w:val="clear" w:color="auto" w:fill="CCEEFF"/>
            <w:vAlign w:val="bottom"/>
            <w:hideMark/>
          </w:tcPr>
          <w:p w14:paraId="79818A3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9A02CC7"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0E2D58B" w14:textId="77777777" w:rsidR="00000000" w:rsidRDefault="00527094">
            <w:pPr>
              <w:jc w:val="right"/>
              <w:rPr>
                <w:rFonts w:eastAsia="Times New Roman"/>
                <w:sz w:val="20"/>
                <w:szCs w:val="20"/>
              </w:rPr>
            </w:pPr>
            <w:r>
              <w:rPr>
                <w:rFonts w:eastAsia="Times New Roman"/>
                <w:sz w:val="20"/>
                <w:szCs w:val="20"/>
              </w:rPr>
              <w:t>(100,519</w:t>
            </w:r>
          </w:p>
        </w:tc>
        <w:tc>
          <w:tcPr>
            <w:tcW w:w="50" w:type="pct"/>
            <w:shd w:val="clear" w:color="auto" w:fill="CCEEFF"/>
            <w:tcMar>
              <w:top w:w="0" w:type="dxa"/>
              <w:left w:w="0" w:type="dxa"/>
              <w:bottom w:w="15" w:type="dxa"/>
              <w:right w:w="0" w:type="dxa"/>
            </w:tcMar>
            <w:vAlign w:val="bottom"/>
            <w:hideMark/>
          </w:tcPr>
          <w:p w14:paraId="6926E3BA"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3FB332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6E75908"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44F6246" w14:textId="77777777" w:rsidR="00000000" w:rsidRDefault="00527094">
            <w:pPr>
              <w:jc w:val="right"/>
              <w:rPr>
                <w:rFonts w:eastAsia="Times New Roman"/>
                <w:sz w:val="20"/>
                <w:szCs w:val="20"/>
              </w:rPr>
            </w:pPr>
            <w:r>
              <w:rPr>
                <w:rFonts w:eastAsia="Times New Roman"/>
                <w:sz w:val="20"/>
                <w:szCs w:val="20"/>
              </w:rPr>
              <w:t>228,151</w:t>
            </w:r>
          </w:p>
        </w:tc>
        <w:tc>
          <w:tcPr>
            <w:tcW w:w="50" w:type="pct"/>
            <w:shd w:val="clear" w:color="auto" w:fill="CCEEFF"/>
            <w:tcMar>
              <w:top w:w="0" w:type="dxa"/>
              <w:left w:w="0" w:type="dxa"/>
              <w:bottom w:w="15" w:type="dxa"/>
              <w:right w:w="0" w:type="dxa"/>
            </w:tcMar>
            <w:vAlign w:val="bottom"/>
            <w:hideMark/>
          </w:tcPr>
          <w:p w14:paraId="4479CD27" w14:textId="77777777" w:rsidR="00000000" w:rsidRDefault="00527094">
            <w:pPr>
              <w:rPr>
                <w:rFonts w:eastAsia="Times New Roman"/>
                <w:sz w:val="20"/>
                <w:szCs w:val="20"/>
              </w:rPr>
            </w:pPr>
            <w:r>
              <w:rPr>
                <w:rFonts w:eastAsia="Times New Roman"/>
                <w:sz w:val="20"/>
                <w:szCs w:val="20"/>
              </w:rPr>
              <w:t> </w:t>
            </w:r>
          </w:p>
        </w:tc>
      </w:tr>
      <w:tr w:rsidR="00000000" w14:paraId="19689C5D" w14:textId="77777777">
        <w:trPr>
          <w:divId w:val="550390147"/>
          <w:tblCellSpacing w:w="0" w:type="dxa"/>
        </w:trPr>
        <w:tc>
          <w:tcPr>
            <w:tcW w:w="0" w:type="auto"/>
            <w:shd w:val="clear" w:color="auto" w:fill="FFFFFF"/>
            <w:vAlign w:val="bottom"/>
            <w:hideMark/>
          </w:tcPr>
          <w:p w14:paraId="5B9A8DC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CD83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F8B2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B04F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ADD8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1AE2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6219C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835A7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32F834" w14:textId="77777777" w:rsidR="00000000" w:rsidRDefault="00527094">
            <w:pPr>
              <w:rPr>
                <w:rFonts w:eastAsia="Times New Roman"/>
                <w:sz w:val="20"/>
                <w:szCs w:val="20"/>
              </w:rPr>
            </w:pPr>
            <w:r>
              <w:rPr>
                <w:rFonts w:eastAsia="Times New Roman"/>
                <w:sz w:val="20"/>
                <w:szCs w:val="20"/>
              </w:rPr>
              <w:t> </w:t>
            </w:r>
          </w:p>
        </w:tc>
      </w:tr>
      <w:tr w:rsidR="00000000" w14:paraId="49200208" w14:textId="77777777">
        <w:trPr>
          <w:divId w:val="550390147"/>
          <w:tblCellSpacing w:w="0" w:type="dxa"/>
        </w:trPr>
        <w:tc>
          <w:tcPr>
            <w:tcW w:w="0" w:type="auto"/>
            <w:shd w:val="clear" w:color="auto" w:fill="CCEEFF"/>
            <w:vAlign w:val="bottom"/>
            <w:hideMark/>
          </w:tcPr>
          <w:p w14:paraId="5D435B79" w14:textId="77777777" w:rsidR="00000000" w:rsidRDefault="00527094">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14:paraId="7C1919E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04ABA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A30F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51A8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823C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18EF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66755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B1769C" w14:textId="77777777" w:rsidR="00000000" w:rsidRDefault="00527094">
            <w:pPr>
              <w:rPr>
                <w:rFonts w:eastAsia="Times New Roman"/>
                <w:sz w:val="20"/>
                <w:szCs w:val="20"/>
              </w:rPr>
            </w:pPr>
            <w:r>
              <w:rPr>
                <w:rFonts w:eastAsia="Times New Roman"/>
                <w:sz w:val="20"/>
                <w:szCs w:val="20"/>
              </w:rPr>
              <w:t> </w:t>
            </w:r>
          </w:p>
        </w:tc>
      </w:tr>
      <w:tr w:rsidR="00000000" w14:paraId="5FBD10A5" w14:textId="77777777">
        <w:trPr>
          <w:divId w:val="550390147"/>
          <w:tblCellSpacing w:w="0" w:type="dxa"/>
        </w:trPr>
        <w:tc>
          <w:tcPr>
            <w:tcW w:w="0" w:type="auto"/>
            <w:shd w:val="clear" w:color="auto" w:fill="FFFFFF"/>
            <w:vAlign w:val="bottom"/>
            <w:hideMark/>
          </w:tcPr>
          <w:p w14:paraId="6BFAD20F" w14:textId="77777777" w:rsidR="00000000" w:rsidRDefault="00527094">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FFFFFF"/>
            <w:vAlign w:val="bottom"/>
            <w:hideMark/>
          </w:tcPr>
          <w:p w14:paraId="10596B8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7F116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2CB83D2" w14:textId="77777777" w:rsidR="00000000" w:rsidRDefault="00527094">
            <w:pPr>
              <w:jc w:val="right"/>
              <w:rPr>
                <w:rFonts w:eastAsia="Times New Roman"/>
                <w:sz w:val="20"/>
                <w:szCs w:val="20"/>
              </w:rPr>
            </w:pPr>
            <w:r>
              <w:rPr>
                <w:rFonts w:eastAsia="Times New Roman"/>
                <w:sz w:val="20"/>
                <w:szCs w:val="20"/>
              </w:rPr>
              <w:t>(6,198</w:t>
            </w:r>
          </w:p>
        </w:tc>
        <w:tc>
          <w:tcPr>
            <w:tcW w:w="50" w:type="pct"/>
            <w:shd w:val="clear" w:color="auto" w:fill="FFFFFF"/>
            <w:vAlign w:val="bottom"/>
            <w:hideMark/>
          </w:tcPr>
          <w:p w14:paraId="248CDC3E"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AE9FEE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E4CF9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DFCAE5F" w14:textId="77777777" w:rsidR="00000000" w:rsidRDefault="00527094">
            <w:pPr>
              <w:jc w:val="right"/>
              <w:rPr>
                <w:rFonts w:eastAsia="Times New Roman"/>
                <w:sz w:val="20"/>
                <w:szCs w:val="20"/>
              </w:rPr>
            </w:pPr>
            <w:r>
              <w:rPr>
                <w:rFonts w:eastAsia="Times New Roman"/>
                <w:sz w:val="20"/>
                <w:szCs w:val="20"/>
              </w:rPr>
              <w:t>(175,209</w:t>
            </w:r>
          </w:p>
        </w:tc>
        <w:tc>
          <w:tcPr>
            <w:tcW w:w="50" w:type="pct"/>
            <w:shd w:val="clear" w:color="auto" w:fill="FFFFFF"/>
            <w:vAlign w:val="bottom"/>
            <w:hideMark/>
          </w:tcPr>
          <w:p w14:paraId="01BA362D" w14:textId="77777777" w:rsidR="00000000" w:rsidRDefault="00527094">
            <w:pPr>
              <w:rPr>
                <w:rFonts w:eastAsia="Times New Roman"/>
                <w:sz w:val="20"/>
                <w:szCs w:val="20"/>
              </w:rPr>
            </w:pPr>
            <w:r>
              <w:rPr>
                <w:rFonts w:eastAsia="Times New Roman"/>
                <w:sz w:val="20"/>
                <w:szCs w:val="20"/>
              </w:rPr>
              <w:t>)</w:t>
            </w:r>
          </w:p>
        </w:tc>
      </w:tr>
      <w:tr w:rsidR="00000000" w14:paraId="13F4AB1F" w14:textId="77777777">
        <w:trPr>
          <w:divId w:val="550390147"/>
          <w:tblCellSpacing w:w="0" w:type="dxa"/>
        </w:trPr>
        <w:tc>
          <w:tcPr>
            <w:tcW w:w="0" w:type="auto"/>
            <w:shd w:val="clear" w:color="auto" w:fill="CCEEFF"/>
            <w:vAlign w:val="bottom"/>
            <w:hideMark/>
          </w:tcPr>
          <w:p w14:paraId="733481E7" w14:textId="77777777" w:rsidR="00000000" w:rsidRDefault="00527094">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CCEEFF"/>
            <w:vAlign w:val="bottom"/>
            <w:hideMark/>
          </w:tcPr>
          <w:p w14:paraId="406864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DE4D5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E493C53" w14:textId="77777777" w:rsidR="00000000" w:rsidRDefault="00527094">
            <w:pPr>
              <w:jc w:val="right"/>
              <w:rPr>
                <w:rFonts w:eastAsia="Times New Roman"/>
                <w:sz w:val="20"/>
                <w:szCs w:val="20"/>
              </w:rPr>
            </w:pPr>
            <w:r>
              <w:rPr>
                <w:rFonts w:eastAsia="Times New Roman"/>
                <w:sz w:val="20"/>
                <w:szCs w:val="20"/>
              </w:rPr>
              <w:t>(6,179</w:t>
            </w:r>
          </w:p>
        </w:tc>
        <w:tc>
          <w:tcPr>
            <w:tcW w:w="50" w:type="pct"/>
            <w:shd w:val="clear" w:color="auto" w:fill="CCEEFF"/>
            <w:vAlign w:val="bottom"/>
            <w:hideMark/>
          </w:tcPr>
          <w:p w14:paraId="2A9C079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EDC9BC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50EC4C"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B85F2A2" w14:textId="77777777" w:rsidR="00000000" w:rsidRDefault="00527094">
            <w:pPr>
              <w:jc w:val="right"/>
              <w:rPr>
                <w:rFonts w:eastAsia="Times New Roman"/>
                <w:sz w:val="20"/>
                <w:szCs w:val="20"/>
              </w:rPr>
            </w:pPr>
            <w:r>
              <w:rPr>
                <w:rFonts w:eastAsia="Times New Roman"/>
                <w:sz w:val="20"/>
                <w:szCs w:val="20"/>
              </w:rPr>
              <w:t>(6,852</w:t>
            </w:r>
          </w:p>
        </w:tc>
        <w:tc>
          <w:tcPr>
            <w:tcW w:w="50" w:type="pct"/>
            <w:shd w:val="clear" w:color="auto" w:fill="CCEEFF"/>
            <w:vAlign w:val="bottom"/>
            <w:hideMark/>
          </w:tcPr>
          <w:p w14:paraId="4CB9EE38" w14:textId="77777777" w:rsidR="00000000" w:rsidRDefault="00527094">
            <w:pPr>
              <w:rPr>
                <w:rFonts w:eastAsia="Times New Roman"/>
                <w:sz w:val="20"/>
                <w:szCs w:val="20"/>
              </w:rPr>
            </w:pPr>
            <w:r>
              <w:rPr>
                <w:rFonts w:eastAsia="Times New Roman"/>
                <w:sz w:val="20"/>
                <w:szCs w:val="20"/>
              </w:rPr>
              <w:t>)</w:t>
            </w:r>
          </w:p>
        </w:tc>
      </w:tr>
      <w:tr w:rsidR="00000000" w14:paraId="60ACBD5E" w14:textId="77777777">
        <w:trPr>
          <w:divId w:val="550390147"/>
          <w:tblCellSpacing w:w="0" w:type="dxa"/>
        </w:trPr>
        <w:tc>
          <w:tcPr>
            <w:tcW w:w="0" w:type="auto"/>
            <w:shd w:val="clear" w:color="auto" w:fill="FFFFFF"/>
            <w:vAlign w:val="bottom"/>
            <w:hideMark/>
          </w:tcPr>
          <w:p w14:paraId="2C557065" w14:textId="77777777" w:rsidR="00000000" w:rsidRDefault="00527094">
            <w:pPr>
              <w:pStyle w:val="a3"/>
              <w:spacing w:before="0" w:beforeAutospacing="0" w:after="0" w:afterAutospacing="0"/>
              <w:ind w:left="360"/>
              <w:rPr>
                <w:sz w:val="20"/>
                <w:szCs w:val="20"/>
              </w:rPr>
            </w:pPr>
            <w:r>
              <w:rPr>
                <w:sz w:val="20"/>
                <w:szCs w:val="20"/>
              </w:rPr>
              <w:t>Proceeds from construction loan financing</w:t>
            </w:r>
          </w:p>
        </w:tc>
        <w:tc>
          <w:tcPr>
            <w:tcW w:w="50" w:type="pct"/>
            <w:shd w:val="clear" w:color="auto" w:fill="FFFFFF"/>
            <w:vAlign w:val="bottom"/>
            <w:hideMark/>
          </w:tcPr>
          <w:p w14:paraId="64C5AC0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648FFD"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2F4866C" w14:textId="77777777" w:rsidR="00000000" w:rsidRDefault="00527094">
            <w:pPr>
              <w:jc w:val="right"/>
              <w:rPr>
                <w:rFonts w:eastAsia="Times New Roman"/>
                <w:sz w:val="20"/>
                <w:szCs w:val="20"/>
              </w:rPr>
            </w:pPr>
            <w:r>
              <w:rPr>
                <w:rFonts w:eastAsia="Times New Roman"/>
                <w:sz w:val="20"/>
                <w:szCs w:val="20"/>
              </w:rPr>
              <w:t>7,149</w:t>
            </w:r>
          </w:p>
        </w:tc>
        <w:tc>
          <w:tcPr>
            <w:tcW w:w="50" w:type="pct"/>
            <w:shd w:val="clear" w:color="auto" w:fill="FFFFFF"/>
            <w:vAlign w:val="bottom"/>
            <w:hideMark/>
          </w:tcPr>
          <w:p w14:paraId="39D5A8D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BAFE2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B4BA91"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4662072"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CF7921A" w14:textId="77777777" w:rsidR="00000000" w:rsidRDefault="00527094">
            <w:pPr>
              <w:rPr>
                <w:rFonts w:eastAsia="Times New Roman"/>
                <w:sz w:val="20"/>
                <w:szCs w:val="20"/>
              </w:rPr>
            </w:pPr>
            <w:r>
              <w:rPr>
                <w:rFonts w:eastAsia="Times New Roman"/>
                <w:sz w:val="20"/>
                <w:szCs w:val="20"/>
              </w:rPr>
              <w:t> </w:t>
            </w:r>
          </w:p>
        </w:tc>
      </w:tr>
      <w:tr w:rsidR="00000000" w14:paraId="2380DFDD" w14:textId="77777777">
        <w:trPr>
          <w:divId w:val="550390147"/>
          <w:tblCellSpacing w:w="0" w:type="dxa"/>
        </w:trPr>
        <w:tc>
          <w:tcPr>
            <w:tcW w:w="0" w:type="auto"/>
            <w:shd w:val="clear" w:color="auto" w:fill="CCEEFF"/>
            <w:vAlign w:val="bottom"/>
            <w:hideMark/>
          </w:tcPr>
          <w:p w14:paraId="5DE9BBC1" w14:textId="77777777" w:rsidR="00000000" w:rsidRDefault="00527094">
            <w:pPr>
              <w:pStyle w:val="a3"/>
              <w:spacing w:before="0" w:beforeAutospacing="0" w:after="0" w:afterAutospacing="0"/>
              <w:ind w:left="360"/>
              <w:rPr>
                <w:sz w:val="20"/>
                <w:szCs w:val="20"/>
              </w:rPr>
            </w:pPr>
            <w:r>
              <w:rPr>
                <w:sz w:val="20"/>
                <w:szCs w:val="20"/>
              </w:rPr>
              <w:t>Proceeds/(repayments) under the unsecured revolving credit facility, net</w:t>
            </w:r>
          </w:p>
        </w:tc>
        <w:tc>
          <w:tcPr>
            <w:tcW w:w="50" w:type="pct"/>
            <w:shd w:val="clear" w:color="auto" w:fill="CCEEFF"/>
            <w:vAlign w:val="bottom"/>
            <w:hideMark/>
          </w:tcPr>
          <w:p w14:paraId="6AD4B79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9361C8"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A1B3EB4" w14:textId="77777777" w:rsidR="00000000" w:rsidRDefault="00527094">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14:paraId="22413B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90F19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908AB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E26610D" w14:textId="77777777" w:rsidR="00000000" w:rsidRDefault="00527094">
            <w:pPr>
              <w:jc w:val="right"/>
              <w:rPr>
                <w:rFonts w:eastAsia="Times New Roman"/>
                <w:sz w:val="20"/>
                <w:szCs w:val="20"/>
              </w:rPr>
            </w:pPr>
            <w:r>
              <w:rPr>
                <w:rFonts w:eastAsia="Times New Roman"/>
                <w:sz w:val="20"/>
                <w:szCs w:val="20"/>
              </w:rPr>
              <w:t>(7,746</w:t>
            </w:r>
          </w:p>
        </w:tc>
        <w:tc>
          <w:tcPr>
            <w:tcW w:w="50" w:type="pct"/>
            <w:shd w:val="clear" w:color="auto" w:fill="CCEEFF"/>
            <w:vAlign w:val="bottom"/>
            <w:hideMark/>
          </w:tcPr>
          <w:p w14:paraId="61661001" w14:textId="77777777" w:rsidR="00000000" w:rsidRDefault="00527094">
            <w:pPr>
              <w:rPr>
                <w:rFonts w:eastAsia="Times New Roman"/>
                <w:sz w:val="20"/>
                <w:szCs w:val="20"/>
              </w:rPr>
            </w:pPr>
            <w:r>
              <w:rPr>
                <w:rFonts w:eastAsia="Times New Roman"/>
                <w:sz w:val="20"/>
                <w:szCs w:val="20"/>
              </w:rPr>
              <w:t>)</w:t>
            </w:r>
          </w:p>
        </w:tc>
      </w:tr>
      <w:tr w:rsidR="00000000" w14:paraId="7DE5B672" w14:textId="77777777">
        <w:trPr>
          <w:divId w:val="550390147"/>
          <w:tblCellSpacing w:w="0" w:type="dxa"/>
        </w:trPr>
        <w:tc>
          <w:tcPr>
            <w:tcW w:w="0" w:type="auto"/>
            <w:shd w:val="clear" w:color="auto" w:fill="FFFFFF"/>
            <w:vAlign w:val="bottom"/>
            <w:hideMark/>
          </w:tcPr>
          <w:p w14:paraId="2218F189" w14:textId="77777777" w:rsidR="00000000" w:rsidRDefault="00527094">
            <w:pPr>
              <w:pStyle w:val="a3"/>
              <w:spacing w:before="0" w:beforeAutospacing="0" w:after="0" w:afterAutospacing="0"/>
              <w:ind w:left="360"/>
              <w:rPr>
                <w:sz w:val="20"/>
                <w:szCs w:val="20"/>
              </w:rPr>
            </w:pPr>
            <w:r>
              <w:rPr>
                <w:sz w:val="20"/>
                <w:szCs w:val="20"/>
              </w:rPr>
              <w:t>Repayments under unsecured notes</w:t>
            </w:r>
          </w:p>
        </w:tc>
        <w:tc>
          <w:tcPr>
            <w:tcW w:w="50" w:type="pct"/>
            <w:shd w:val="clear" w:color="auto" w:fill="FFFFFF"/>
            <w:vAlign w:val="bottom"/>
            <w:hideMark/>
          </w:tcPr>
          <w:p w14:paraId="31F6DCD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8366FE"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130945"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757849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867D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8D7A9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3A530E1" w14:textId="77777777" w:rsidR="00000000" w:rsidRDefault="00527094">
            <w:pPr>
              <w:jc w:val="right"/>
              <w:rPr>
                <w:rFonts w:eastAsia="Times New Roman"/>
                <w:sz w:val="20"/>
                <w:szCs w:val="20"/>
              </w:rPr>
            </w:pPr>
            <w:r>
              <w:rPr>
                <w:rFonts w:eastAsia="Times New Roman"/>
                <w:sz w:val="20"/>
                <w:szCs w:val="20"/>
              </w:rPr>
              <w:t>(6,365</w:t>
            </w:r>
          </w:p>
        </w:tc>
        <w:tc>
          <w:tcPr>
            <w:tcW w:w="50" w:type="pct"/>
            <w:shd w:val="clear" w:color="auto" w:fill="FFFFFF"/>
            <w:vAlign w:val="bottom"/>
            <w:hideMark/>
          </w:tcPr>
          <w:p w14:paraId="7350CD6D" w14:textId="77777777" w:rsidR="00000000" w:rsidRDefault="00527094">
            <w:pPr>
              <w:rPr>
                <w:rFonts w:eastAsia="Times New Roman"/>
                <w:sz w:val="20"/>
                <w:szCs w:val="20"/>
              </w:rPr>
            </w:pPr>
            <w:r>
              <w:rPr>
                <w:rFonts w:eastAsia="Times New Roman"/>
                <w:sz w:val="20"/>
                <w:szCs w:val="20"/>
              </w:rPr>
              <w:t>)</w:t>
            </w:r>
          </w:p>
        </w:tc>
      </w:tr>
      <w:tr w:rsidR="00000000" w14:paraId="5EDDE098" w14:textId="77777777">
        <w:trPr>
          <w:divId w:val="550390147"/>
          <w:tblCellSpacing w:w="0" w:type="dxa"/>
        </w:trPr>
        <w:tc>
          <w:tcPr>
            <w:tcW w:w="0" w:type="auto"/>
            <w:shd w:val="clear" w:color="auto" w:fill="CCEEFF"/>
            <w:vAlign w:val="bottom"/>
            <w:hideMark/>
          </w:tcPr>
          <w:p w14:paraId="70952A53" w14:textId="77777777" w:rsidR="00000000" w:rsidRDefault="00527094">
            <w:pPr>
              <w:pStyle w:val="a3"/>
              <w:spacing w:before="0" w:beforeAutospacing="0" w:after="0" w:afterAutospacing="0"/>
              <w:ind w:left="360"/>
              <w:rPr>
                <w:sz w:val="20"/>
                <w:szCs w:val="20"/>
              </w:rPr>
            </w:pPr>
            <w:r>
              <w:rPr>
                <w:sz w:val="20"/>
                <w:szCs w:val="20"/>
              </w:rPr>
              <w:t>Financing origination costs</w:t>
            </w:r>
          </w:p>
        </w:tc>
        <w:tc>
          <w:tcPr>
            <w:tcW w:w="50" w:type="pct"/>
            <w:shd w:val="clear" w:color="auto" w:fill="CCEEFF"/>
            <w:vAlign w:val="bottom"/>
            <w:hideMark/>
          </w:tcPr>
          <w:p w14:paraId="2585962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DF4F6F"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F71E4D" w14:textId="77777777" w:rsidR="00000000" w:rsidRDefault="00527094">
            <w:pPr>
              <w:jc w:val="right"/>
              <w:rPr>
                <w:rFonts w:eastAsia="Times New Roman"/>
                <w:sz w:val="20"/>
                <w:szCs w:val="20"/>
              </w:rPr>
            </w:pPr>
            <w:r>
              <w:rPr>
                <w:rFonts w:eastAsia="Times New Roman"/>
                <w:sz w:val="20"/>
                <w:szCs w:val="20"/>
              </w:rPr>
              <w:t>(7</w:t>
            </w:r>
          </w:p>
        </w:tc>
        <w:tc>
          <w:tcPr>
            <w:tcW w:w="50" w:type="pct"/>
            <w:shd w:val="clear" w:color="auto" w:fill="CCEEFF"/>
            <w:vAlign w:val="bottom"/>
            <w:hideMark/>
          </w:tcPr>
          <w:p w14:paraId="60526D07"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52D857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6579CC"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5FE6BF7" w14:textId="77777777" w:rsidR="00000000" w:rsidRDefault="00527094">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14:paraId="2C80A8F1" w14:textId="77777777" w:rsidR="00000000" w:rsidRDefault="00527094">
            <w:pPr>
              <w:rPr>
                <w:rFonts w:eastAsia="Times New Roman"/>
                <w:sz w:val="20"/>
                <w:szCs w:val="20"/>
              </w:rPr>
            </w:pPr>
            <w:r>
              <w:rPr>
                <w:rFonts w:eastAsia="Times New Roman"/>
                <w:sz w:val="20"/>
                <w:szCs w:val="20"/>
              </w:rPr>
              <w:t>)</w:t>
            </w:r>
          </w:p>
        </w:tc>
      </w:tr>
      <w:tr w:rsidR="00000000" w14:paraId="7F4EB4B8" w14:textId="77777777">
        <w:trPr>
          <w:divId w:val="550390147"/>
          <w:tblCellSpacing w:w="0" w:type="dxa"/>
        </w:trPr>
        <w:tc>
          <w:tcPr>
            <w:tcW w:w="0" w:type="auto"/>
            <w:shd w:val="clear" w:color="auto" w:fill="FFFFFF"/>
            <w:vAlign w:val="bottom"/>
            <w:hideMark/>
          </w:tcPr>
          <w:p w14:paraId="00FE0628" w14:textId="77777777" w:rsidR="00000000" w:rsidRDefault="00527094">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FFFFFF"/>
            <w:vAlign w:val="bottom"/>
            <w:hideMark/>
          </w:tcPr>
          <w:p w14:paraId="2C3EE55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F0953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F99522F" w14:textId="77777777" w:rsidR="00000000" w:rsidRDefault="00527094">
            <w:pPr>
              <w:jc w:val="right"/>
              <w:rPr>
                <w:rFonts w:eastAsia="Times New Roman"/>
                <w:sz w:val="20"/>
                <w:szCs w:val="20"/>
              </w:rPr>
            </w:pPr>
            <w:r>
              <w:rPr>
                <w:rFonts w:eastAsia="Times New Roman"/>
                <w:sz w:val="20"/>
                <w:szCs w:val="20"/>
              </w:rPr>
              <w:t>(1,531</w:t>
            </w:r>
          </w:p>
        </w:tc>
        <w:tc>
          <w:tcPr>
            <w:tcW w:w="50" w:type="pct"/>
            <w:shd w:val="clear" w:color="auto" w:fill="FFFFFF"/>
            <w:vAlign w:val="bottom"/>
            <w:hideMark/>
          </w:tcPr>
          <w:p w14:paraId="77F2A62E"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2DE37C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0EE44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582B7E" w14:textId="77777777" w:rsidR="00000000" w:rsidRDefault="00527094">
            <w:pPr>
              <w:jc w:val="right"/>
              <w:rPr>
                <w:rFonts w:eastAsia="Times New Roman"/>
                <w:sz w:val="20"/>
                <w:szCs w:val="20"/>
              </w:rPr>
            </w:pPr>
            <w:r>
              <w:rPr>
                <w:rFonts w:eastAsia="Times New Roman"/>
                <w:sz w:val="20"/>
                <w:szCs w:val="20"/>
              </w:rPr>
              <w:t>(546</w:t>
            </w:r>
          </w:p>
        </w:tc>
        <w:tc>
          <w:tcPr>
            <w:tcW w:w="50" w:type="pct"/>
            <w:shd w:val="clear" w:color="auto" w:fill="FFFFFF"/>
            <w:vAlign w:val="bottom"/>
            <w:hideMark/>
          </w:tcPr>
          <w:p w14:paraId="3189675A" w14:textId="77777777" w:rsidR="00000000" w:rsidRDefault="00527094">
            <w:pPr>
              <w:rPr>
                <w:rFonts w:eastAsia="Times New Roman"/>
                <w:sz w:val="20"/>
                <w:szCs w:val="20"/>
              </w:rPr>
            </w:pPr>
            <w:r>
              <w:rPr>
                <w:rFonts w:eastAsia="Times New Roman"/>
                <w:sz w:val="20"/>
                <w:szCs w:val="20"/>
              </w:rPr>
              <w:t>)</w:t>
            </w:r>
          </w:p>
        </w:tc>
      </w:tr>
      <w:tr w:rsidR="00000000" w14:paraId="171108A6" w14:textId="77777777">
        <w:trPr>
          <w:divId w:val="550390147"/>
          <w:tblCellSpacing w:w="0" w:type="dxa"/>
        </w:trPr>
        <w:tc>
          <w:tcPr>
            <w:tcW w:w="0" w:type="auto"/>
            <w:shd w:val="clear" w:color="auto" w:fill="CCEEFF"/>
            <w:vAlign w:val="bottom"/>
            <w:hideMark/>
          </w:tcPr>
          <w:p w14:paraId="0977EC8F" w14:textId="77777777" w:rsidR="00000000" w:rsidRDefault="00527094">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CCEEFF"/>
            <w:vAlign w:val="bottom"/>
            <w:hideMark/>
          </w:tcPr>
          <w:p w14:paraId="58BAEB3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DE587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DF4FC57" w14:textId="77777777" w:rsidR="00000000" w:rsidRDefault="00527094">
            <w:pPr>
              <w:jc w:val="right"/>
              <w:rPr>
                <w:rFonts w:eastAsia="Times New Roman"/>
                <w:sz w:val="20"/>
                <w:szCs w:val="20"/>
              </w:rPr>
            </w:pPr>
            <w:r>
              <w:rPr>
                <w:rFonts w:eastAsia="Times New Roman"/>
                <w:sz w:val="20"/>
                <w:szCs w:val="20"/>
              </w:rPr>
              <w:t>(4,060</w:t>
            </w:r>
          </w:p>
        </w:tc>
        <w:tc>
          <w:tcPr>
            <w:tcW w:w="50" w:type="pct"/>
            <w:shd w:val="clear" w:color="auto" w:fill="CCEEFF"/>
            <w:vAlign w:val="bottom"/>
            <w:hideMark/>
          </w:tcPr>
          <w:p w14:paraId="0A815C0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FB4BB9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8D15B2"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6865450" w14:textId="77777777" w:rsidR="00000000" w:rsidRDefault="00527094">
            <w:pPr>
              <w:jc w:val="right"/>
              <w:rPr>
                <w:rFonts w:eastAsia="Times New Roman"/>
                <w:sz w:val="20"/>
                <w:szCs w:val="20"/>
              </w:rPr>
            </w:pPr>
            <w:r>
              <w:rPr>
                <w:rFonts w:eastAsia="Times New Roman"/>
                <w:sz w:val="20"/>
                <w:szCs w:val="20"/>
              </w:rPr>
              <w:t>(5,454</w:t>
            </w:r>
          </w:p>
        </w:tc>
        <w:tc>
          <w:tcPr>
            <w:tcW w:w="50" w:type="pct"/>
            <w:shd w:val="clear" w:color="auto" w:fill="CCEEFF"/>
            <w:vAlign w:val="bottom"/>
            <w:hideMark/>
          </w:tcPr>
          <w:p w14:paraId="6A5D4445" w14:textId="77777777" w:rsidR="00000000" w:rsidRDefault="00527094">
            <w:pPr>
              <w:rPr>
                <w:rFonts w:eastAsia="Times New Roman"/>
                <w:sz w:val="20"/>
                <w:szCs w:val="20"/>
              </w:rPr>
            </w:pPr>
            <w:r>
              <w:rPr>
                <w:rFonts w:eastAsia="Times New Roman"/>
                <w:sz w:val="20"/>
                <w:szCs w:val="20"/>
              </w:rPr>
              <w:t>)</w:t>
            </w:r>
          </w:p>
        </w:tc>
      </w:tr>
      <w:tr w:rsidR="00000000" w14:paraId="2EE9F52A" w14:textId="77777777">
        <w:trPr>
          <w:divId w:val="550390147"/>
          <w:tblCellSpacing w:w="0" w:type="dxa"/>
        </w:trPr>
        <w:tc>
          <w:tcPr>
            <w:tcW w:w="0" w:type="auto"/>
            <w:shd w:val="clear" w:color="auto" w:fill="FFFFFF"/>
            <w:vAlign w:val="bottom"/>
            <w:hideMark/>
          </w:tcPr>
          <w:p w14:paraId="03858C45" w14:textId="77777777" w:rsidR="00000000" w:rsidRDefault="00527094">
            <w:pPr>
              <w:pStyle w:val="a3"/>
              <w:spacing w:before="0" w:beforeAutospacing="0" w:after="0" w:afterAutospacing="0"/>
              <w:ind w:left="360"/>
              <w:rPr>
                <w:sz w:val="20"/>
                <w:szCs w:val="20"/>
              </w:rPr>
            </w:pPr>
            <w:r>
              <w:rPr>
                <w:sz w:val="20"/>
                <w:szCs w:val="20"/>
              </w:rPr>
              <w:t>Dividends paid</w:t>
            </w:r>
          </w:p>
        </w:tc>
        <w:tc>
          <w:tcPr>
            <w:tcW w:w="50" w:type="pct"/>
            <w:shd w:val="clear" w:color="auto" w:fill="FFFFFF"/>
            <w:vAlign w:val="bottom"/>
            <w:hideMark/>
          </w:tcPr>
          <w:p w14:paraId="3562DCE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C064D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BE9D31D" w14:textId="77777777" w:rsidR="00000000" w:rsidRDefault="00527094">
            <w:pPr>
              <w:jc w:val="right"/>
              <w:rPr>
                <w:rFonts w:eastAsia="Times New Roman"/>
                <w:sz w:val="20"/>
                <w:szCs w:val="20"/>
              </w:rPr>
            </w:pPr>
            <w:r>
              <w:rPr>
                <w:rFonts w:eastAsia="Times New Roman"/>
                <w:sz w:val="20"/>
                <w:szCs w:val="20"/>
              </w:rPr>
              <w:t>(265,226</w:t>
            </w:r>
          </w:p>
        </w:tc>
        <w:tc>
          <w:tcPr>
            <w:tcW w:w="50" w:type="pct"/>
            <w:shd w:val="clear" w:color="auto" w:fill="FFFFFF"/>
            <w:vAlign w:val="bottom"/>
            <w:hideMark/>
          </w:tcPr>
          <w:p w14:paraId="0454EA29"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8A7ECA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2EA0A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0D511C9" w14:textId="77777777" w:rsidR="00000000" w:rsidRDefault="00527094">
            <w:pPr>
              <w:jc w:val="right"/>
              <w:rPr>
                <w:rFonts w:eastAsia="Times New Roman"/>
                <w:sz w:val="20"/>
                <w:szCs w:val="20"/>
              </w:rPr>
            </w:pPr>
            <w:r>
              <w:rPr>
                <w:rFonts w:eastAsia="Times New Roman"/>
                <w:sz w:val="20"/>
                <w:szCs w:val="20"/>
              </w:rPr>
              <w:t>(264,711</w:t>
            </w:r>
          </w:p>
        </w:tc>
        <w:tc>
          <w:tcPr>
            <w:tcW w:w="50" w:type="pct"/>
            <w:shd w:val="clear" w:color="auto" w:fill="FFFFFF"/>
            <w:vAlign w:val="bottom"/>
            <w:hideMark/>
          </w:tcPr>
          <w:p w14:paraId="79182901" w14:textId="77777777" w:rsidR="00000000" w:rsidRDefault="00527094">
            <w:pPr>
              <w:rPr>
                <w:rFonts w:eastAsia="Times New Roman"/>
                <w:sz w:val="20"/>
                <w:szCs w:val="20"/>
              </w:rPr>
            </w:pPr>
            <w:r>
              <w:rPr>
                <w:rFonts w:eastAsia="Times New Roman"/>
                <w:sz w:val="20"/>
                <w:szCs w:val="20"/>
              </w:rPr>
              <w:t>)</w:t>
            </w:r>
          </w:p>
        </w:tc>
      </w:tr>
      <w:tr w:rsidR="00000000" w14:paraId="7FBBB778" w14:textId="77777777">
        <w:trPr>
          <w:divId w:val="550390147"/>
          <w:tblCellSpacing w:w="0" w:type="dxa"/>
        </w:trPr>
        <w:tc>
          <w:tcPr>
            <w:tcW w:w="0" w:type="auto"/>
            <w:shd w:val="clear" w:color="auto" w:fill="CCEEFF"/>
            <w:vAlign w:val="bottom"/>
            <w:hideMark/>
          </w:tcPr>
          <w:p w14:paraId="606F1204" w14:textId="77777777" w:rsidR="00000000" w:rsidRDefault="00527094">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CCEEFF"/>
            <w:vAlign w:val="bottom"/>
            <w:hideMark/>
          </w:tcPr>
          <w:p w14:paraId="2013016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2A10CF"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D38BC0" w14:textId="77777777" w:rsidR="00000000" w:rsidRDefault="00527094">
            <w:pPr>
              <w:jc w:val="right"/>
              <w:rPr>
                <w:rFonts w:eastAsia="Times New Roman"/>
                <w:sz w:val="20"/>
                <w:szCs w:val="20"/>
              </w:rPr>
            </w:pPr>
            <w:r>
              <w:rPr>
                <w:rFonts w:eastAsia="Times New Roman"/>
                <w:sz w:val="20"/>
                <w:szCs w:val="20"/>
              </w:rPr>
              <w:t>1,811</w:t>
            </w:r>
          </w:p>
        </w:tc>
        <w:tc>
          <w:tcPr>
            <w:tcW w:w="50" w:type="pct"/>
            <w:shd w:val="clear" w:color="auto" w:fill="CCEEFF"/>
            <w:vAlign w:val="bottom"/>
            <w:hideMark/>
          </w:tcPr>
          <w:p w14:paraId="4AA501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2C8B3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E5E74B"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8E6FD12" w14:textId="77777777" w:rsidR="00000000" w:rsidRDefault="00527094">
            <w:pPr>
              <w:jc w:val="right"/>
              <w:rPr>
                <w:rFonts w:eastAsia="Times New Roman"/>
                <w:sz w:val="20"/>
                <w:szCs w:val="20"/>
              </w:rPr>
            </w:pPr>
            <w:r>
              <w:rPr>
                <w:rFonts w:eastAsia="Times New Roman"/>
                <w:sz w:val="20"/>
                <w:szCs w:val="20"/>
              </w:rPr>
              <w:t>33,144</w:t>
            </w:r>
          </w:p>
        </w:tc>
        <w:tc>
          <w:tcPr>
            <w:tcW w:w="50" w:type="pct"/>
            <w:shd w:val="clear" w:color="auto" w:fill="CCEEFF"/>
            <w:vAlign w:val="bottom"/>
            <w:hideMark/>
          </w:tcPr>
          <w:p w14:paraId="20874055" w14:textId="77777777" w:rsidR="00000000" w:rsidRDefault="00527094">
            <w:pPr>
              <w:rPr>
                <w:rFonts w:eastAsia="Times New Roman"/>
                <w:sz w:val="20"/>
                <w:szCs w:val="20"/>
              </w:rPr>
            </w:pPr>
            <w:r>
              <w:rPr>
                <w:rFonts w:eastAsia="Times New Roman"/>
                <w:sz w:val="20"/>
                <w:szCs w:val="20"/>
              </w:rPr>
              <w:t> </w:t>
            </w:r>
          </w:p>
        </w:tc>
      </w:tr>
      <w:tr w:rsidR="00000000" w14:paraId="5077EEB1" w14:textId="77777777">
        <w:trPr>
          <w:divId w:val="550390147"/>
          <w:tblCellSpacing w:w="0" w:type="dxa"/>
        </w:trPr>
        <w:tc>
          <w:tcPr>
            <w:tcW w:w="0" w:type="auto"/>
            <w:shd w:val="clear" w:color="auto" w:fill="FFFFFF"/>
            <w:vAlign w:val="bottom"/>
            <w:hideMark/>
          </w:tcPr>
          <w:p w14:paraId="5F7A7871" w14:textId="77777777" w:rsidR="00000000" w:rsidRDefault="00527094">
            <w:pPr>
              <w:pStyle w:val="a3"/>
              <w:spacing w:before="0" w:beforeAutospacing="0" w:after="0" w:afterAutospacing="0"/>
              <w:ind w:left="360"/>
              <w:rPr>
                <w:sz w:val="20"/>
                <w:szCs w:val="20"/>
              </w:rPr>
            </w:pPr>
            <w:r>
              <w:rPr>
                <w:sz w:val="20"/>
                <w:szCs w:val="20"/>
              </w:rPr>
              <w:t>Repurchase of common stock</w:t>
            </w:r>
          </w:p>
        </w:tc>
        <w:tc>
          <w:tcPr>
            <w:tcW w:w="50" w:type="pct"/>
            <w:shd w:val="clear" w:color="auto" w:fill="FFFFFF"/>
            <w:vAlign w:val="bottom"/>
            <w:hideMark/>
          </w:tcPr>
          <w:p w14:paraId="786B7F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F46883"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15A3BF0"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DBA319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0C572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79287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A127C9A" w14:textId="77777777" w:rsidR="00000000" w:rsidRDefault="00527094">
            <w:pPr>
              <w:jc w:val="right"/>
              <w:rPr>
                <w:rFonts w:eastAsia="Times New Roman"/>
                <w:sz w:val="20"/>
                <w:szCs w:val="20"/>
              </w:rPr>
            </w:pPr>
            <w:r>
              <w:rPr>
                <w:rFonts w:eastAsia="Times New Roman"/>
                <w:sz w:val="20"/>
                <w:szCs w:val="20"/>
              </w:rPr>
              <w:t>(75,126</w:t>
            </w:r>
          </w:p>
        </w:tc>
        <w:tc>
          <w:tcPr>
            <w:tcW w:w="50" w:type="pct"/>
            <w:shd w:val="clear" w:color="auto" w:fill="FFFFFF"/>
            <w:vAlign w:val="bottom"/>
            <w:hideMark/>
          </w:tcPr>
          <w:p w14:paraId="32430733" w14:textId="77777777" w:rsidR="00000000" w:rsidRDefault="00527094">
            <w:pPr>
              <w:rPr>
                <w:rFonts w:eastAsia="Times New Roman"/>
                <w:sz w:val="20"/>
                <w:szCs w:val="20"/>
              </w:rPr>
            </w:pPr>
            <w:r>
              <w:rPr>
                <w:rFonts w:eastAsia="Times New Roman"/>
                <w:sz w:val="20"/>
                <w:szCs w:val="20"/>
              </w:rPr>
              <w:t>)</w:t>
            </w:r>
          </w:p>
        </w:tc>
      </w:tr>
      <w:tr w:rsidR="00000000" w14:paraId="0D2B9635" w14:textId="77777777">
        <w:trPr>
          <w:divId w:val="550390147"/>
          <w:tblCellSpacing w:w="0" w:type="dxa"/>
        </w:trPr>
        <w:tc>
          <w:tcPr>
            <w:tcW w:w="0" w:type="auto"/>
            <w:shd w:val="clear" w:color="auto" w:fill="CCEEFF"/>
            <w:vAlign w:val="bottom"/>
            <w:hideMark/>
          </w:tcPr>
          <w:p w14:paraId="240CDADD" w14:textId="77777777" w:rsidR="00000000" w:rsidRDefault="00527094">
            <w:pPr>
              <w:pStyle w:val="a3"/>
              <w:spacing w:before="0" w:beforeAutospacing="0" w:after="0" w:afterAutospacing="0"/>
              <w:ind w:left="360"/>
              <w:rPr>
                <w:sz w:val="20"/>
                <w:szCs w:val="20"/>
              </w:rPr>
            </w:pPr>
            <w:r>
              <w:rPr>
                <w:sz w:val="20"/>
                <w:szCs w:val="20"/>
              </w:rPr>
              <w:t>Change in other financing liabilities</w:t>
            </w:r>
          </w:p>
        </w:tc>
        <w:tc>
          <w:tcPr>
            <w:tcW w:w="50" w:type="pct"/>
            <w:shd w:val="clear" w:color="auto" w:fill="CCEEFF"/>
            <w:tcMar>
              <w:top w:w="0" w:type="dxa"/>
              <w:left w:w="0" w:type="dxa"/>
              <w:bottom w:w="15" w:type="dxa"/>
              <w:right w:w="0" w:type="dxa"/>
            </w:tcMar>
            <w:vAlign w:val="bottom"/>
            <w:hideMark/>
          </w:tcPr>
          <w:p w14:paraId="1C350C9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A315240"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12D4715" w14:textId="77777777" w:rsidR="00000000" w:rsidRDefault="00527094">
            <w:pPr>
              <w:jc w:val="right"/>
              <w:rPr>
                <w:rFonts w:eastAsia="Times New Roman"/>
                <w:sz w:val="20"/>
                <w:szCs w:val="20"/>
              </w:rPr>
            </w:pPr>
            <w:r>
              <w:rPr>
                <w:rFonts w:eastAsia="Times New Roman"/>
                <w:sz w:val="20"/>
                <w:szCs w:val="20"/>
              </w:rPr>
              <w:t>(3,359</w:t>
            </w:r>
          </w:p>
        </w:tc>
        <w:tc>
          <w:tcPr>
            <w:tcW w:w="50" w:type="pct"/>
            <w:shd w:val="clear" w:color="auto" w:fill="CCEEFF"/>
            <w:tcMar>
              <w:top w:w="0" w:type="dxa"/>
              <w:left w:w="0" w:type="dxa"/>
              <w:bottom w:w="15" w:type="dxa"/>
              <w:right w:w="0" w:type="dxa"/>
            </w:tcMar>
            <w:vAlign w:val="bottom"/>
            <w:hideMark/>
          </w:tcPr>
          <w:p w14:paraId="110C9E57"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C231B7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9E07B7E"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3EE6884" w14:textId="77777777" w:rsidR="00000000" w:rsidRDefault="00527094">
            <w:pPr>
              <w:jc w:val="right"/>
              <w:rPr>
                <w:rFonts w:eastAsia="Times New Roman"/>
                <w:sz w:val="20"/>
                <w:szCs w:val="20"/>
              </w:rPr>
            </w:pPr>
            <w:r>
              <w:rPr>
                <w:rFonts w:eastAsia="Times New Roman"/>
                <w:sz w:val="20"/>
                <w:szCs w:val="20"/>
              </w:rPr>
              <w:t>(4,197</w:t>
            </w:r>
          </w:p>
        </w:tc>
        <w:tc>
          <w:tcPr>
            <w:tcW w:w="50" w:type="pct"/>
            <w:shd w:val="clear" w:color="auto" w:fill="CCEEFF"/>
            <w:tcMar>
              <w:top w:w="0" w:type="dxa"/>
              <w:left w:w="0" w:type="dxa"/>
              <w:bottom w:w="15" w:type="dxa"/>
              <w:right w:w="0" w:type="dxa"/>
            </w:tcMar>
            <w:vAlign w:val="bottom"/>
            <w:hideMark/>
          </w:tcPr>
          <w:p w14:paraId="3C2C5E54" w14:textId="77777777" w:rsidR="00000000" w:rsidRDefault="00527094">
            <w:pPr>
              <w:rPr>
                <w:rFonts w:eastAsia="Times New Roman"/>
                <w:sz w:val="20"/>
                <w:szCs w:val="20"/>
              </w:rPr>
            </w:pPr>
            <w:r>
              <w:rPr>
                <w:rFonts w:eastAsia="Times New Roman"/>
                <w:sz w:val="20"/>
                <w:szCs w:val="20"/>
              </w:rPr>
              <w:t>)</w:t>
            </w:r>
          </w:p>
        </w:tc>
      </w:tr>
      <w:tr w:rsidR="00000000" w14:paraId="1E072576" w14:textId="77777777">
        <w:trPr>
          <w:divId w:val="550390147"/>
          <w:tblCellSpacing w:w="0" w:type="dxa"/>
        </w:trPr>
        <w:tc>
          <w:tcPr>
            <w:tcW w:w="0" w:type="auto"/>
            <w:shd w:val="clear" w:color="auto" w:fill="FFFFFF"/>
            <w:vAlign w:val="bottom"/>
            <w:hideMark/>
          </w:tcPr>
          <w:p w14:paraId="5C2E32FD" w14:textId="77777777" w:rsidR="00000000" w:rsidRDefault="00527094">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FFFFFF"/>
            <w:vAlign w:val="bottom"/>
            <w:hideMark/>
          </w:tcPr>
          <w:p w14:paraId="7366F58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FE6A2F9"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E06FD67" w14:textId="77777777" w:rsidR="00000000" w:rsidRDefault="00527094">
            <w:pPr>
              <w:jc w:val="right"/>
              <w:rPr>
                <w:rFonts w:eastAsia="Times New Roman"/>
                <w:sz w:val="20"/>
                <w:szCs w:val="20"/>
              </w:rPr>
            </w:pPr>
            <w:r>
              <w:rPr>
                <w:rFonts w:eastAsia="Times New Roman"/>
                <w:sz w:val="20"/>
                <w:szCs w:val="20"/>
              </w:rPr>
              <w:t>(242,600</w:t>
            </w:r>
          </w:p>
        </w:tc>
        <w:tc>
          <w:tcPr>
            <w:tcW w:w="50" w:type="pct"/>
            <w:shd w:val="clear" w:color="auto" w:fill="FFFFFF"/>
            <w:tcMar>
              <w:top w:w="0" w:type="dxa"/>
              <w:left w:w="0" w:type="dxa"/>
              <w:bottom w:w="15" w:type="dxa"/>
              <w:right w:w="0" w:type="dxa"/>
            </w:tcMar>
            <w:vAlign w:val="bottom"/>
            <w:hideMark/>
          </w:tcPr>
          <w:p w14:paraId="4D34352E"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66E8FA9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2E2DE6F"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47BFECD" w14:textId="77777777" w:rsidR="00000000" w:rsidRDefault="00527094">
            <w:pPr>
              <w:jc w:val="right"/>
              <w:rPr>
                <w:rFonts w:eastAsia="Times New Roman"/>
                <w:sz w:val="20"/>
                <w:szCs w:val="20"/>
              </w:rPr>
            </w:pPr>
            <w:r>
              <w:rPr>
                <w:rFonts w:eastAsia="Times New Roman"/>
                <w:sz w:val="20"/>
                <w:szCs w:val="20"/>
              </w:rPr>
              <w:t>(513,073</w:t>
            </w:r>
          </w:p>
        </w:tc>
        <w:tc>
          <w:tcPr>
            <w:tcW w:w="50" w:type="pct"/>
            <w:shd w:val="clear" w:color="auto" w:fill="FFFFFF"/>
            <w:tcMar>
              <w:top w:w="0" w:type="dxa"/>
              <w:left w:w="0" w:type="dxa"/>
              <w:bottom w:w="15" w:type="dxa"/>
              <w:right w:w="0" w:type="dxa"/>
            </w:tcMar>
            <w:vAlign w:val="bottom"/>
            <w:hideMark/>
          </w:tcPr>
          <w:p w14:paraId="43EAB3F9" w14:textId="77777777" w:rsidR="00000000" w:rsidRDefault="00527094">
            <w:pPr>
              <w:rPr>
                <w:rFonts w:eastAsia="Times New Roman"/>
                <w:sz w:val="20"/>
                <w:szCs w:val="20"/>
              </w:rPr>
            </w:pPr>
            <w:r>
              <w:rPr>
                <w:rFonts w:eastAsia="Times New Roman"/>
                <w:sz w:val="20"/>
                <w:szCs w:val="20"/>
              </w:rPr>
              <w:t>)</w:t>
            </w:r>
          </w:p>
        </w:tc>
      </w:tr>
      <w:tr w:rsidR="00000000" w14:paraId="5EFA3858" w14:textId="77777777">
        <w:trPr>
          <w:divId w:val="550390147"/>
          <w:tblCellSpacing w:w="0" w:type="dxa"/>
        </w:trPr>
        <w:tc>
          <w:tcPr>
            <w:tcW w:w="0" w:type="auto"/>
            <w:shd w:val="clear" w:color="auto" w:fill="CCEEFF"/>
            <w:vAlign w:val="bottom"/>
            <w:hideMark/>
          </w:tcPr>
          <w:p w14:paraId="1334D6B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1E02D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5F120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4359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8DCE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CED40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9933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80BFE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ED97D" w14:textId="77777777" w:rsidR="00000000" w:rsidRDefault="00527094">
            <w:pPr>
              <w:rPr>
                <w:rFonts w:eastAsia="Times New Roman"/>
                <w:sz w:val="20"/>
                <w:szCs w:val="20"/>
              </w:rPr>
            </w:pPr>
            <w:r>
              <w:rPr>
                <w:rFonts w:eastAsia="Times New Roman"/>
                <w:sz w:val="20"/>
                <w:szCs w:val="20"/>
              </w:rPr>
              <w:t> </w:t>
            </w:r>
          </w:p>
        </w:tc>
      </w:tr>
      <w:tr w:rsidR="00000000" w14:paraId="54C7914E" w14:textId="77777777">
        <w:trPr>
          <w:divId w:val="550390147"/>
          <w:tblCellSpacing w:w="0" w:type="dxa"/>
        </w:trPr>
        <w:tc>
          <w:tcPr>
            <w:tcW w:w="0" w:type="auto"/>
            <w:shd w:val="clear" w:color="auto" w:fill="FFFFFF"/>
            <w:vAlign w:val="bottom"/>
            <w:hideMark/>
          </w:tcPr>
          <w:p w14:paraId="4050810E" w14:textId="77777777" w:rsidR="00000000" w:rsidRDefault="00527094">
            <w:pPr>
              <w:pStyle w:val="a3"/>
              <w:spacing w:before="0" w:beforeAutospacing="0" w:after="0" w:afterAutospacing="0"/>
              <w:rPr>
                <w:sz w:val="20"/>
                <w:szCs w:val="20"/>
              </w:rPr>
            </w:pPr>
            <w:r>
              <w:rPr>
                <w:sz w:val="20"/>
                <w:szCs w:val="20"/>
              </w:rPr>
              <w:t>Net change in cash and cash equivalents</w:t>
            </w:r>
          </w:p>
        </w:tc>
        <w:tc>
          <w:tcPr>
            <w:tcW w:w="50" w:type="pct"/>
            <w:shd w:val="clear" w:color="auto" w:fill="FFFFFF"/>
            <w:vAlign w:val="bottom"/>
            <w:hideMark/>
          </w:tcPr>
          <w:p w14:paraId="6B73BD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4AA7CF"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5148159" w14:textId="77777777" w:rsidR="00000000" w:rsidRDefault="00527094">
            <w:pPr>
              <w:jc w:val="right"/>
              <w:rPr>
                <w:rFonts w:eastAsia="Times New Roman"/>
                <w:sz w:val="20"/>
                <w:szCs w:val="20"/>
              </w:rPr>
            </w:pPr>
            <w:r>
              <w:rPr>
                <w:rFonts w:eastAsia="Times New Roman"/>
                <w:sz w:val="20"/>
                <w:szCs w:val="20"/>
              </w:rPr>
              <w:t>(29,590</w:t>
            </w:r>
          </w:p>
        </w:tc>
        <w:tc>
          <w:tcPr>
            <w:tcW w:w="50" w:type="pct"/>
            <w:shd w:val="clear" w:color="auto" w:fill="FFFFFF"/>
            <w:vAlign w:val="bottom"/>
            <w:hideMark/>
          </w:tcPr>
          <w:p w14:paraId="4EB3024E"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46C55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15664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01700F" w14:textId="77777777" w:rsidR="00000000" w:rsidRDefault="00527094">
            <w:pPr>
              <w:jc w:val="right"/>
              <w:rPr>
                <w:rFonts w:eastAsia="Times New Roman"/>
                <w:sz w:val="20"/>
                <w:szCs w:val="20"/>
              </w:rPr>
            </w:pPr>
            <w:r>
              <w:rPr>
                <w:rFonts w:eastAsia="Times New Roman"/>
                <w:sz w:val="20"/>
                <w:szCs w:val="20"/>
              </w:rPr>
              <w:t>67,064</w:t>
            </w:r>
          </w:p>
        </w:tc>
        <w:tc>
          <w:tcPr>
            <w:tcW w:w="50" w:type="pct"/>
            <w:shd w:val="clear" w:color="auto" w:fill="FFFFFF"/>
            <w:vAlign w:val="bottom"/>
            <w:hideMark/>
          </w:tcPr>
          <w:p w14:paraId="0534C71F" w14:textId="77777777" w:rsidR="00000000" w:rsidRDefault="00527094">
            <w:pPr>
              <w:rPr>
                <w:rFonts w:eastAsia="Times New Roman"/>
                <w:sz w:val="20"/>
                <w:szCs w:val="20"/>
              </w:rPr>
            </w:pPr>
            <w:r>
              <w:rPr>
                <w:rFonts w:eastAsia="Times New Roman"/>
                <w:sz w:val="20"/>
                <w:szCs w:val="20"/>
              </w:rPr>
              <w:t> </w:t>
            </w:r>
          </w:p>
        </w:tc>
      </w:tr>
      <w:tr w:rsidR="00000000" w14:paraId="4AD532B7" w14:textId="77777777">
        <w:trPr>
          <w:divId w:val="550390147"/>
          <w:tblCellSpacing w:w="0" w:type="dxa"/>
        </w:trPr>
        <w:tc>
          <w:tcPr>
            <w:tcW w:w="0" w:type="auto"/>
            <w:shd w:val="clear" w:color="auto" w:fill="CCEEFF"/>
            <w:vAlign w:val="bottom"/>
            <w:hideMark/>
          </w:tcPr>
          <w:p w14:paraId="071E3B26" w14:textId="77777777" w:rsidR="00000000" w:rsidRDefault="00527094">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tcMar>
              <w:top w:w="0" w:type="dxa"/>
              <w:left w:w="0" w:type="dxa"/>
              <w:bottom w:w="15" w:type="dxa"/>
              <w:right w:w="0" w:type="dxa"/>
            </w:tcMar>
            <w:vAlign w:val="bottom"/>
            <w:hideMark/>
          </w:tcPr>
          <w:p w14:paraId="2DCFE42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B71046A"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9C31239" w14:textId="77777777" w:rsidR="00000000" w:rsidRDefault="00527094">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14:paraId="2B9F0BF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0F9BEFB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C47C3D3"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8306406" w14:textId="77777777" w:rsidR="00000000" w:rsidRDefault="00527094">
            <w:pPr>
              <w:jc w:val="right"/>
              <w:rPr>
                <w:rFonts w:eastAsia="Times New Roman"/>
                <w:sz w:val="20"/>
                <w:szCs w:val="20"/>
              </w:rPr>
            </w:pPr>
            <w:r>
              <w:rPr>
                <w:rFonts w:eastAsia="Times New Roman"/>
                <w:sz w:val="20"/>
                <w:szCs w:val="20"/>
              </w:rPr>
              <w:t>238,513</w:t>
            </w:r>
          </w:p>
        </w:tc>
        <w:tc>
          <w:tcPr>
            <w:tcW w:w="50" w:type="pct"/>
            <w:shd w:val="clear" w:color="auto" w:fill="CCEEFF"/>
            <w:tcMar>
              <w:top w:w="0" w:type="dxa"/>
              <w:left w:w="0" w:type="dxa"/>
              <w:bottom w:w="15" w:type="dxa"/>
              <w:right w:w="0" w:type="dxa"/>
            </w:tcMar>
            <w:vAlign w:val="bottom"/>
            <w:hideMark/>
          </w:tcPr>
          <w:p w14:paraId="137A0317" w14:textId="77777777" w:rsidR="00000000" w:rsidRDefault="00527094">
            <w:pPr>
              <w:rPr>
                <w:rFonts w:eastAsia="Times New Roman"/>
                <w:sz w:val="20"/>
                <w:szCs w:val="20"/>
              </w:rPr>
            </w:pPr>
            <w:r>
              <w:rPr>
                <w:rFonts w:eastAsia="Times New Roman"/>
                <w:sz w:val="20"/>
                <w:szCs w:val="20"/>
              </w:rPr>
              <w:t> </w:t>
            </w:r>
          </w:p>
        </w:tc>
      </w:tr>
      <w:tr w:rsidR="00000000" w14:paraId="36DF0578" w14:textId="77777777">
        <w:trPr>
          <w:divId w:val="550390147"/>
          <w:tblCellSpacing w:w="0" w:type="dxa"/>
        </w:trPr>
        <w:tc>
          <w:tcPr>
            <w:tcW w:w="0" w:type="auto"/>
            <w:shd w:val="clear" w:color="auto" w:fill="FFFFFF"/>
            <w:vAlign w:val="bottom"/>
            <w:hideMark/>
          </w:tcPr>
          <w:p w14:paraId="70077A82" w14:textId="77777777" w:rsidR="00000000" w:rsidRDefault="00527094">
            <w:pPr>
              <w:pStyle w:val="a3"/>
              <w:spacing w:before="0" w:beforeAutospacing="0" w:after="0" w:afterAutospacing="0"/>
              <w:ind w:left="720"/>
              <w:rPr>
                <w:sz w:val="20"/>
                <w:szCs w:val="20"/>
              </w:rPr>
            </w:pPr>
            <w:r>
              <w:rPr>
                <w:sz w:val="20"/>
                <w:szCs w:val="20"/>
              </w:rPr>
              <w:t>Cash and cash equivalents, end of the period</w:t>
            </w:r>
          </w:p>
        </w:tc>
        <w:tc>
          <w:tcPr>
            <w:tcW w:w="50" w:type="pct"/>
            <w:shd w:val="clear" w:color="auto" w:fill="FFFFFF"/>
            <w:vAlign w:val="bottom"/>
            <w:hideMark/>
          </w:tcPr>
          <w:p w14:paraId="69F3B9D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62E8889"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238D886" w14:textId="77777777" w:rsidR="00000000" w:rsidRDefault="00527094">
            <w:pPr>
              <w:jc w:val="right"/>
              <w:rPr>
                <w:rFonts w:eastAsia="Times New Roman"/>
                <w:sz w:val="20"/>
                <w:szCs w:val="20"/>
              </w:rPr>
            </w:pPr>
            <w:r>
              <w:rPr>
                <w:rFonts w:eastAsia="Times New Roman"/>
                <w:sz w:val="20"/>
                <w:szCs w:val="20"/>
              </w:rPr>
              <w:t>113,991</w:t>
            </w:r>
          </w:p>
        </w:tc>
        <w:tc>
          <w:tcPr>
            <w:tcW w:w="50" w:type="pct"/>
            <w:shd w:val="clear" w:color="auto" w:fill="FFFFFF"/>
            <w:tcMar>
              <w:top w:w="0" w:type="dxa"/>
              <w:left w:w="0" w:type="dxa"/>
              <w:bottom w:w="45" w:type="dxa"/>
              <w:right w:w="0" w:type="dxa"/>
            </w:tcMar>
            <w:vAlign w:val="bottom"/>
            <w:hideMark/>
          </w:tcPr>
          <w:p w14:paraId="59D73D9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63549B"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AB17B00"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5C88DCA" w14:textId="77777777" w:rsidR="00000000" w:rsidRDefault="00527094">
            <w:pPr>
              <w:jc w:val="right"/>
              <w:rPr>
                <w:rFonts w:eastAsia="Times New Roman"/>
                <w:sz w:val="20"/>
                <w:szCs w:val="20"/>
              </w:rPr>
            </w:pPr>
            <w:r>
              <w:rPr>
                <w:rFonts w:eastAsia="Times New Roman"/>
                <w:sz w:val="20"/>
                <w:szCs w:val="20"/>
              </w:rPr>
              <w:t>305,577</w:t>
            </w:r>
          </w:p>
        </w:tc>
        <w:tc>
          <w:tcPr>
            <w:tcW w:w="50" w:type="pct"/>
            <w:shd w:val="clear" w:color="auto" w:fill="FFFFFF"/>
            <w:tcMar>
              <w:top w:w="0" w:type="dxa"/>
              <w:left w:w="0" w:type="dxa"/>
              <w:bottom w:w="45" w:type="dxa"/>
              <w:right w:w="0" w:type="dxa"/>
            </w:tcMar>
            <w:vAlign w:val="bottom"/>
            <w:hideMark/>
          </w:tcPr>
          <w:p w14:paraId="49F4293E" w14:textId="77777777" w:rsidR="00000000" w:rsidRDefault="00527094">
            <w:pPr>
              <w:rPr>
                <w:rFonts w:eastAsia="Times New Roman"/>
                <w:sz w:val="20"/>
                <w:szCs w:val="20"/>
              </w:rPr>
            </w:pPr>
            <w:r>
              <w:rPr>
                <w:rFonts w:eastAsia="Times New Roman"/>
                <w:sz w:val="20"/>
                <w:szCs w:val="20"/>
              </w:rPr>
              <w:t> </w:t>
            </w:r>
          </w:p>
        </w:tc>
      </w:tr>
      <w:tr w:rsidR="00000000" w14:paraId="27CB6BAB" w14:textId="77777777">
        <w:trPr>
          <w:divId w:val="550390147"/>
          <w:tblCellSpacing w:w="0" w:type="dxa"/>
        </w:trPr>
        <w:tc>
          <w:tcPr>
            <w:tcW w:w="0" w:type="auto"/>
            <w:shd w:val="clear" w:color="auto" w:fill="CCEEFF"/>
            <w:vAlign w:val="bottom"/>
            <w:hideMark/>
          </w:tcPr>
          <w:p w14:paraId="24E18D2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20D9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FFC7E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39F6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854F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07A4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70850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C726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AE965E" w14:textId="77777777" w:rsidR="00000000" w:rsidRDefault="00527094">
            <w:pPr>
              <w:rPr>
                <w:rFonts w:eastAsia="Times New Roman"/>
                <w:sz w:val="20"/>
                <w:szCs w:val="20"/>
              </w:rPr>
            </w:pPr>
            <w:r>
              <w:rPr>
                <w:rFonts w:eastAsia="Times New Roman"/>
                <w:sz w:val="20"/>
                <w:szCs w:val="20"/>
              </w:rPr>
              <w:t> </w:t>
            </w:r>
          </w:p>
        </w:tc>
      </w:tr>
      <w:tr w:rsidR="00000000" w14:paraId="2D8F8792" w14:textId="77777777">
        <w:trPr>
          <w:divId w:val="550390147"/>
          <w:tblCellSpacing w:w="0" w:type="dxa"/>
        </w:trPr>
        <w:tc>
          <w:tcPr>
            <w:tcW w:w="0" w:type="auto"/>
            <w:shd w:val="clear" w:color="auto" w:fill="FFFFFF"/>
            <w:vAlign w:val="bottom"/>
            <w:hideMark/>
          </w:tcPr>
          <w:p w14:paraId="41EE3897" w14:textId="77777777" w:rsidR="00000000" w:rsidRDefault="00527094">
            <w:pPr>
              <w:pStyle w:val="a3"/>
              <w:spacing w:before="0" w:beforeAutospacing="0" w:after="0" w:afterAutospacing="0"/>
              <w:ind w:left="180"/>
              <w:rPr>
                <w:sz w:val="20"/>
                <w:szCs w:val="20"/>
              </w:rPr>
            </w:pPr>
            <w:r>
              <w:rPr>
                <w:sz w:val="20"/>
                <w:szCs w:val="20"/>
              </w:rPr>
              <w:t>Interest paid during the period including payment of early extinguishment of debt charges of $1,531 and $546, respectively (net of capitalized interest of $6,680 and $8,199, respectively)</w:t>
            </w:r>
          </w:p>
        </w:tc>
        <w:tc>
          <w:tcPr>
            <w:tcW w:w="50" w:type="pct"/>
            <w:shd w:val="clear" w:color="auto" w:fill="FFFFFF"/>
            <w:vAlign w:val="bottom"/>
            <w:hideMark/>
          </w:tcPr>
          <w:p w14:paraId="6AFDDEE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85D5342"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F4FD0E3" w14:textId="77777777" w:rsidR="00000000" w:rsidRDefault="00527094">
            <w:pPr>
              <w:jc w:val="right"/>
              <w:rPr>
                <w:rFonts w:eastAsia="Times New Roman"/>
                <w:sz w:val="20"/>
                <w:szCs w:val="20"/>
              </w:rPr>
            </w:pPr>
            <w:r>
              <w:rPr>
                <w:rFonts w:eastAsia="Times New Roman"/>
                <w:sz w:val="20"/>
                <w:szCs w:val="20"/>
              </w:rPr>
              <w:t>86,621</w:t>
            </w:r>
          </w:p>
        </w:tc>
        <w:tc>
          <w:tcPr>
            <w:tcW w:w="50" w:type="pct"/>
            <w:shd w:val="clear" w:color="auto" w:fill="FFFFFF"/>
            <w:tcMar>
              <w:top w:w="0" w:type="dxa"/>
              <w:left w:w="0" w:type="dxa"/>
              <w:bottom w:w="45" w:type="dxa"/>
              <w:right w:w="0" w:type="dxa"/>
            </w:tcMar>
            <w:vAlign w:val="bottom"/>
            <w:hideMark/>
          </w:tcPr>
          <w:p w14:paraId="540D59F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427B0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477A5BF" w14:textId="77777777" w:rsidR="00000000" w:rsidRDefault="0052709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D1E6C2D" w14:textId="77777777" w:rsidR="00000000" w:rsidRDefault="00527094">
            <w:pPr>
              <w:jc w:val="right"/>
              <w:rPr>
                <w:rFonts w:eastAsia="Times New Roman"/>
                <w:sz w:val="20"/>
                <w:szCs w:val="20"/>
              </w:rPr>
            </w:pPr>
            <w:r>
              <w:rPr>
                <w:rFonts w:eastAsia="Times New Roman"/>
                <w:sz w:val="20"/>
                <w:szCs w:val="20"/>
              </w:rPr>
              <w:t>96,974</w:t>
            </w:r>
          </w:p>
        </w:tc>
        <w:tc>
          <w:tcPr>
            <w:tcW w:w="50" w:type="pct"/>
            <w:shd w:val="clear" w:color="auto" w:fill="FFFFFF"/>
            <w:tcMar>
              <w:top w:w="0" w:type="dxa"/>
              <w:left w:w="0" w:type="dxa"/>
              <w:bottom w:w="45" w:type="dxa"/>
              <w:right w:w="0" w:type="dxa"/>
            </w:tcMar>
            <w:vAlign w:val="bottom"/>
            <w:hideMark/>
          </w:tcPr>
          <w:p w14:paraId="6328C161" w14:textId="77777777" w:rsidR="00000000" w:rsidRDefault="00527094">
            <w:pPr>
              <w:rPr>
                <w:rFonts w:eastAsia="Times New Roman"/>
                <w:sz w:val="20"/>
                <w:szCs w:val="20"/>
              </w:rPr>
            </w:pPr>
            <w:r>
              <w:rPr>
                <w:rFonts w:eastAsia="Times New Roman"/>
                <w:sz w:val="20"/>
                <w:szCs w:val="20"/>
              </w:rPr>
              <w:t> </w:t>
            </w:r>
          </w:p>
        </w:tc>
      </w:tr>
    </w:tbl>
    <w:p w14:paraId="7650C400" w14:textId="77777777" w:rsidR="00000000" w:rsidRDefault="00527094">
      <w:pPr>
        <w:pStyle w:val="a3"/>
        <w:spacing w:before="0" w:beforeAutospacing="0" w:after="0" w:afterAutospacing="0"/>
        <w:rPr>
          <w:sz w:val="20"/>
          <w:szCs w:val="20"/>
        </w:rPr>
      </w:pPr>
      <w:r>
        <w:rPr>
          <w:sz w:val="20"/>
          <w:szCs w:val="20"/>
        </w:rPr>
        <w:t> </w:t>
      </w:r>
    </w:p>
    <w:p w14:paraId="137C3DA5" w14:textId="77777777" w:rsidR="00000000" w:rsidRDefault="00527094">
      <w:pPr>
        <w:pStyle w:val="a3"/>
        <w:spacing w:before="0" w:beforeAutospacing="0" w:after="0" w:afterAutospacing="0"/>
        <w:rPr>
          <w:sz w:val="20"/>
          <w:szCs w:val="20"/>
        </w:rPr>
      </w:pPr>
      <w:r>
        <w:rPr>
          <w:sz w:val="20"/>
          <w:szCs w:val="20"/>
        </w:rPr>
        <w:t> </w:t>
      </w:r>
    </w:p>
    <w:p w14:paraId="2055B058" w14:textId="77777777" w:rsidR="00000000" w:rsidRDefault="0052709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125AEBCD" w14:textId="77777777" w:rsidR="00000000" w:rsidRDefault="00527094">
      <w:pPr>
        <w:pStyle w:val="a3"/>
        <w:spacing w:before="0" w:beforeAutospacing="0" w:after="0" w:afterAutospacing="0"/>
        <w:jc w:val="center"/>
        <w:rPr>
          <w:sz w:val="20"/>
          <w:szCs w:val="20"/>
        </w:rPr>
      </w:pPr>
      <w:r>
        <w:rPr>
          <w:sz w:val="20"/>
          <w:szCs w:val="20"/>
        </w:rPr>
        <w:t> </w:t>
      </w:r>
    </w:p>
    <w:p w14:paraId="4514C40E" w14:textId="77777777" w:rsidR="00000000" w:rsidRDefault="00527094">
      <w:pPr>
        <w:jc w:val="center"/>
        <w:divId w:val="1094059578"/>
        <w:rPr>
          <w:rFonts w:eastAsia="Times New Roman"/>
          <w:sz w:val="20"/>
          <w:szCs w:val="20"/>
        </w:rPr>
      </w:pPr>
      <w:r>
        <w:rPr>
          <w:rFonts w:eastAsia="Times New Roman"/>
          <w:sz w:val="20"/>
          <w:szCs w:val="20"/>
        </w:rPr>
        <w:t xml:space="preserve">8 </w:t>
      </w:r>
    </w:p>
    <w:p w14:paraId="48B229D9" w14:textId="77777777" w:rsidR="00000000" w:rsidRDefault="00527094">
      <w:pPr>
        <w:divId w:val="1094059578"/>
        <w:rPr>
          <w:rFonts w:eastAsia="Times New Roman"/>
          <w:sz w:val="20"/>
          <w:szCs w:val="20"/>
        </w:rPr>
      </w:pPr>
      <w:r>
        <w:rPr>
          <w:rFonts w:eastAsia="Times New Roman"/>
          <w:sz w:val="20"/>
          <w:szCs w:val="20"/>
        </w:rPr>
        <w:pict w14:anchorId="240DA9B6">
          <v:rect id="_x0000_i1036" style="width:0;height:1.5pt" o:hralign="center" o:hrstd="t" o:hr="t" fillcolor="#a0a0a0" stroked="f"/>
        </w:pict>
      </w:r>
    </w:p>
    <w:p w14:paraId="75FC3EB9" w14:textId="77777777" w:rsidR="00000000" w:rsidRDefault="00527094">
      <w:pPr>
        <w:divId w:val="10940595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8FF37B1" w14:textId="77777777" w:rsidR="00000000" w:rsidRDefault="00527094">
      <w:pPr>
        <w:pStyle w:val="a3"/>
        <w:spacing w:before="0" w:beforeAutospacing="0" w:after="0" w:afterAutospacing="0"/>
        <w:rPr>
          <w:sz w:val="20"/>
          <w:szCs w:val="20"/>
        </w:rPr>
      </w:pPr>
      <w:r>
        <w:rPr>
          <w:sz w:val="20"/>
          <w:szCs w:val="20"/>
        </w:rPr>
        <w:t> </w:t>
      </w:r>
    </w:p>
    <w:p w14:paraId="22085E24" w14:textId="77777777" w:rsidR="00000000" w:rsidRDefault="00527094">
      <w:pPr>
        <w:pStyle w:val="a3"/>
        <w:spacing w:before="0" w:beforeAutospacing="0" w:after="0" w:afterAutospacing="0"/>
        <w:jc w:val="center"/>
        <w:rPr>
          <w:sz w:val="20"/>
          <w:szCs w:val="20"/>
        </w:rPr>
      </w:pPr>
      <w:r>
        <w:rPr>
          <w:sz w:val="20"/>
          <w:szCs w:val="20"/>
        </w:rPr>
        <w:t>KIMCO REALTY CORPORATION AND SUBSIDIARIES</w:t>
      </w:r>
    </w:p>
    <w:p w14:paraId="36104094" w14:textId="77777777" w:rsidR="00000000" w:rsidRDefault="00527094">
      <w:pPr>
        <w:pStyle w:val="a3"/>
        <w:spacing w:before="0" w:beforeAutospacing="0" w:after="0" w:afterAutospacing="0"/>
        <w:rPr>
          <w:sz w:val="20"/>
          <w:szCs w:val="20"/>
        </w:rPr>
      </w:pPr>
      <w:r>
        <w:rPr>
          <w:sz w:val="20"/>
          <w:szCs w:val="20"/>
        </w:rPr>
        <w:t> </w:t>
      </w:r>
    </w:p>
    <w:p w14:paraId="288A3BC5" w14:textId="77777777" w:rsidR="00000000" w:rsidRDefault="00527094">
      <w:pPr>
        <w:pStyle w:val="a3"/>
        <w:spacing w:before="0" w:beforeAutospacing="0" w:after="0" w:afterAutospacing="0"/>
        <w:jc w:val="center"/>
        <w:rPr>
          <w:sz w:val="20"/>
          <w:szCs w:val="20"/>
        </w:rPr>
      </w:pPr>
      <w:r>
        <w:rPr>
          <w:sz w:val="20"/>
          <w:szCs w:val="20"/>
        </w:rPr>
        <w:t>NOTES TO CONDENSED CONSOLIDATED FINANCIAL STATEMENTS</w:t>
      </w:r>
    </w:p>
    <w:p w14:paraId="5A23AB6A" w14:textId="77777777" w:rsidR="00000000" w:rsidRDefault="00527094">
      <w:pPr>
        <w:pStyle w:val="a3"/>
        <w:spacing w:before="0" w:beforeAutospacing="0" w:after="0" w:afterAutospacing="0"/>
        <w:jc w:val="center"/>
        <w:rPr>
          <w:sz w:val="20"/>
          <w:szCs w:val="20"/>
        </w:rPr>
      </w:pPr>
      <w:r>
        <w:rPr>
          <w:sz w:val="20"/>
          <w:szCs w:val="20"/>
        </w:rPr>
        <w:t>                                        </w:t>
      </w:r>
    </w:p>
    <w:p w14:paraId="2573D9DA" w14:textId="77777777" w:rsidR="00000000" w:rsidRDefault="00527094">
      <w:pPr>
        <w:divId w:val="1577587120"/>
        <w:rPr>
          <w:rFonts w:eastAsia="Times New Roman"/>
          <w:sz w:val="20"/>
          <w:szCs w:val="20"/>
        </w:rPr>
      </w:pPr>
      <w:r>
        <w:rPr>
          <w:rFonts w:eastAsia="Times New Roman"/>
          <w:sz w:val="20"/>
          <w:szCs w:val="20"/>
        </w:rPr>
        <w:t xml:space="preserve">  </w:t>
      </w:r>
    </w:p>
    <w:p w14:paraId="68793997" w14:textId="77777777" w:rsidR="00000000" w:rsidRDefault="00527094">
      <w:pPr>
        <w:pStyle w:val="a3"/>
        <w:spacing w:before="0" w:beforeAutospacing="0" w:after="0" w:afterAutospacing="0"/>
        <w:jc w:val="both"/>
        <w:rPr>
          <w:sz w:val="20"/>
          <w:szCs w:val="20"/>
        </w:rPr>
      </w:pPr>
      <w:r>
        <w:rPr>
          <w:rStyle w:val="a6"/>
          <w:i w:val="0"/>
          <w:iCs w:val="0"/>
          <w:sz w:val="20"/>
          <w:szCs w:val="20"/>
        </w:rPr>
        <w:t>1.</w:t>
      </w:r>
      <w:r>
        <w:rPr>
          <w:sz w:val="20"/>
          <w:szCs w:val="20"/>
        </w:rPr>
        <w:t xml:space="preserve"> </w:t>
      </w:r>
      <w:r>
        <w:rPr>
          <w:sz w:val="20"/>
          <w:szCs w:val="20"/>
          <w:u w:val="single"/>
        </w:rPr>
        <w:t>Business and Organization</w:t>
      </w:r>
    </w:p>
    <w:p w14:paraId="0DA334F1" w14:textId="77777777" w:rsidR="00000000" w:rsidRDefault="00527094">
      <w:pPr>
        <w:pStyle w:val="a3"/>
        <w:spacing w:before="0" w:beforeAutospacing="0" w:after="0" w:afterAutospacing="0"/>
        <w:jc w:val="both"/>
        <w:rPr>
          <w:sz w:val="20"/>
          <w:szCs w:val="20"/>
        </w:rPr>
      </w:pPr>
      <w:r>
        <w:rPr>
          <w:sz w:val="20"/>
          <w:szCs w:val="20"/>
        </w:rPr>
        <w:t> </w:t>
      </w:r>
    </w:p>
    <w:p w14:paraId="4932C848" w14:textId="77777777" w:rsidR="00000000" w:rsidRDefault="00527094">
      <w:pPr>
        <w:pStyle w:val="a3"/>
        <w:spacing w:before="0" w:beforeAutospacing="0" w:after="0" w:afterAutospacing="0"/>
        <w:ind w:firstLine="360"/>
        <w:jc w:val="both"/>
        <w:rPr>
          <w:sz w:val="20"/>
          <w:szCs w:val="20"/>
        </w:rPr>
      </w:pPr>
      <w:r>
        <w:rPr>
          <w:sz w:val="20"/>
          <w:szCs w:val="20"/>
        </w:rPr>
        <w:t>Kimco Realty Corporation and subsidiaries (the “Company”</w:t>
      </w:r>
      <w:r>
        <w:rPr>
          <w:sz w:val="20"/>
          <w:szCs w:val="20"/>
        </w:rPr>
        <w:t>), affiliates and related real estate joint ventures are engaged principally in the ownership, management, development and operation of open-air shopping centers, which are anchored generally by grocery stores, off-price retailers, home improvement centers</w:t>
      </w:r>
      <w:r>
        <w:rPr>
          <w:sz w:val="20"/>
          <w:szCs w:val="20"/>
        </w:rPr>
        <w:t>, discounters and/or service-oriented tenants. Additionally, the Company provides complementary services that capitalize on the Company’s established retail real estate expertise.</w:t>
      </w:r>
    </w:p>
    <w:p w14:paraId="3C3A5DFB" w14:textId="77777777" w:rsidR="00000000" w:rsidRDefault="00527094">
      <w:pPr>
        <w:pStyle w:val="a3"/>
        <w:spacing w:before="0" w:beforeAutospacing="0" w:after="0" w:afterAutospacing="0"/>
        <w:ind w:left="360"/>
        <w:jc w:val="both"/>
        <w:rPr>
          <w:sz w:val="20"/>
          <w:szCs w:val="20"/>
        </w:rPr>
      </w:pPr>
      <w:r>
        <w:rPr>
          <w:sz w:val="20"/>
          <w:szCs w:val="20"/>
        </w:rPr>
        <w:t> </w:t>
      </w:r>
    </w:p>
    <w:p w14:paraId="26342846" w14:textId="77777777" w:rsidR="00000000" w:rsidRDefault="00527094">
      <w:pPr>
        <w:pStyle w:val="a3"/>
        <w:spacing w:before="0" w:beforeAutospacing="0" w:after="0" w:afterAutospacing="0"/>
        <w:ind w:firstLine="360"/>
        <w:jc w:val="both"/>
        <w:rPr>
          <w:sz w:val="20"/>
          <w:szCs w:val="20"/>
        </w:rPr>
      </w:pPr>
      <w:r>
        <w:rPr>
          <w:sz w:val="20"/>
          <w:szCs w:val="20"/>
        </w:rPr>
        <w:t>The Company elected status as a Real Estate Investment Trust (a “REIT”) fo</w:t>
      </w:r>
      <w:r>
        <w:rPr>
          <w:sz w:val="20"/>
          <w:szCs w:val="20"/>
        </w:rPr>
        <w:t>r federal income tax purposes beginning in its taxable year ended</w:t>
      </w:r>
      <w:r>
        <w:rPr>
          <w:sz w:val="20"/>
          <w:szCs w:val="20"/>
        </w:rPr>
        <w:t xml:space="preserve"> </w:t>
      </w:r>
      <w:r>
        <w:rPr>
          <w:rStyle w:val="a6"/>
          <w:i w:val="0"/>
          <w:iCs w:val="0"/>
          <w:sz w:val="20"/>
          <w:szCs w:val="20"/>
        </w:rPr>
        <w:t xml:space="preserve">December 31, 1991 </w:t>
      </w:r>
      <w:r>
        <w:rPr>
          <w:sz w:val="20"/>
          <w:szCs w:val="20"/>
        </w:rPr>
        <w:t>and operates in a manner that enables the Company to maintain its status as a REIT.  As a REIT, with respect to each taxable year, the Company must distribute at least</w:t>
      </w:r>
      <w:r>
        <w:rPr>
          <w:sz w:val="20"/>
          <w:szCs w:val="20"/>
        </w:rPr>
        <w:t xml:space="preserve"> </w:t>
      </w:r>
      <w:r>
        <w:rPr>
          <w:rStyle w:val="a6"/>
          <w:i w:val="0"/>
          <w:iCs w:val="0"/>
          <w:sz w:val="20"/>
          <w:szCs w:val="20"/>
        </w:rPr>
        <w:t>90</w:t>
      </w:r>
      <w:r>
        <w:rPr>
          <w:sz w:val="20"/>
          <w:szCs w:val="20"/>
        </w:rPr>
        <w:t xml:space="preserve"> p</w:t>
      </w:r>
      <w:r>
        <w:rPr>
          <w:sz w:val="20"/>
          <w:szCs w:val="20"/>
        </w:rPr>
        <w:t>ercent of its taxable income (excluding capital gain) and does</w:t>
      </w:r>
      <w:r>
        <w:rPr>
          <w:sz w:val="20"/>
          <w:szCs w:val="20"/>
        </w:rPr>
        <w:t xml:space="preserve"> </w:t>
      </w:r>
      <w:r>
        <w:rPr>
          <w:rStyle w:val="a6"/>
          <w:i w:val="0"/>
          <w:iCs w:val="0"/>
          <w:sz w:val="20"/>
          <w:szCs w:val="20"/>
        </w:rPr>
        <w:t>not</w:t>
      </w:r>
      <w:r>
        <w:rPr>
          <w:sz w:val="20"/>
          <w:szCs w:val="20"/>
        </w:rPr>
        <w:t xml:space="preserve"> pay federal income taxes on the amount distributed to its shareholders.  The Company is</w:t>
      </w:r>
      <w:r>
        <w:rPr>
          <w:sz w:val="20"/>
          <w:szCs w:val="20"/>
        </w:rPr>
        <w:t xml:space="preserve"> </w:t>
      </w:r>
      <w:r>
        <w:rPr>
          <w:rStyle w:val="a6"/>
          <w:i w:val="0"/>
          <w:iCs w:val="0"/>
          <w:sz w:val="20"/>
          <w:szCs w:val="20"/>
        </w:rPr>
        <w:t>not</w:t>
      </w:r>
      <w:r>
        <w:rPr>
          <w:sz w:val="20"/>
          <w:szCs w:val="20"/>
        </w:rPr>
        <w:t xml:space="preserve"> generally subject to federal income taxes if it distributes</w:t>
      </w:r>
      <w:r>
        <w:rPr>
          <w:sz w:val="20"/>
          <w:szCs w:val="20"/>
        </w:rPr>
        <w:t xml:space="preserve"> </w:t>
      </w:r>
      <w:r>
        <w:rPr>
          <w:rStyle w:val="a6"/>
          <w:i w:val="0"/>
          <w:iCs w:val="0"/>
          <w:sz w:val="20"/>
          <w:szCs w:val="20"/>
        </w:rPr>
        <w:t>100</w:t>
      </w:r>
      <w:r>
        <w:rPr>
          <w:sz w:val="20"/>
          <w:szCs w:val="20"/>
        </w:rPr>
        <w:t xml:space="preserve"> percent of its taxable income.  M</w:t>
      </w:r>
      <w:r>
        <w:rPr>
          <w:sz w:val="20"/>
          <w:szCs w:val="20"/>
        </w:rPr>
        <w:t xml:space="preserve">ost states, where the Company holds investments in real estate, conform to the federal rules recognizing REITs.  Certain subsidiaries have made a joint election with the Company to be treated as taxable REIT subsidiaries (“TRSs”), which permit the Company </w:t>
      </w:r>
      <w:r>
        <w:rPr>
          <w:sz w:val="20"/>
          <w:szCs w:val="20"/>
        </w:rPr>
        <w:t>to engage in certain business activities which the REIT</w:t>
      </w:r>
      <w:r>
        <w:rPr>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not</w:t>
      </w:r>
      <w:r>
        <w:rPr>
          <w:sz w:val="20"/>
          <w:szCs w:val="20"/>
        </w:rPr>
        <w:t xml:space="preserve"> conduct directly.  A TRS is subject to federal and state income taxes on its income, and the Company includes, when applicable, a provision for taxes in its condensed consolidated financial st</w:t>
      </w:r>
      <w:r>
        <w:rPr>
          <w:sz w:val="20"/>
          <w:szCs w:val="20"/>
        </w:rPr>
        <w:t>atements.  The Company is subject to and also includes in its tax provision non-U.S. income taxes on certain investments located in jurisdictions outside the U.S. These investments are held by the Company at the REIT level and</w:t>
      </w:r>
      <w:r>
        <w:rPr>
          <w:sz w:val="20"/>
          <w:szCs w:val="20"/>
        </w:rPr>
        <w:t xml:space="preserve"> </w:t>
      </w:r>
      <w:r>
        <w:rPr>
          <w:rStyle w:val="a6"/>
          <w:i w:val="0"/>
          <w:iCs w:val="0"/>
          <w:sz w:val="20"/>
          <w:szCs w:val="20"/>
        </w:rPr>
        <w:t>not</w:t>
      </w:r>
      <w:r>
        <w:rPr>
          <w:sz w:val="20"/>
          <w:szCs w:val="20"/>
        </w:rPr>
        <w:t xml:space="preserve"> in the Company’s taxable </w:t>
      </w:r>
      <w:r>
        <w:rPr>
          <w:sz w:val="20"/>
          <w:szCs w:val="20"/>
        </w:rPr>
        <w:t>REIT subsidiaries. Accordingly, the Company does</w:t>
      </w:r>
      <w:r>
        <w:rPr>
          <w:sz w:val="20"/>
          <w:szCs w:val="20"/>
        </w:rPr>
        <w:t xml:space="preserve"> </w:t>
      </w:r>
      <w:r>
        <w:rPr>
          <w:rStyle w:val="a6"/>
          <w:i w:val="0"/>
          <w:iCs w:val="0"/>
          <w:sz w:val="20"/>
          <w:szCs w:val="20"/>
        </w:rPr>
        <w:t>not</w:t>
      </w:r>
      <w:r>
        <w:rPr>
          <w:sz w:val="20"/>
          <w:szCs w:val="20"/>
        </w:rPr>
        <w:t xml:space="preserve"> expect a U.S. income tax impact associated with the repatriation of undistributed earnings from the Company’s foreign subsidiaries.</w:t>
      </w:r>
    </w:p>
    <w:p w14:paraId="39F9C0D9" w14:textId="77777777" w:rsidR="00000000" w:rsidRDefault="00527094">
      <w:pPr>
        <w:pStyle w:val="a3"/>
        <w:spacing w:before="0" w:beforeAutospacing="0" w:after="0" w:afterAutospacing="0"/>
        <w:jc w:val="both"/>
        <w:rPr>
          <w:sz w:val="20"/>
          <w:szCs w:val="20"/>
        </w:rPr>
      </w:pPr>
      <w:r>
        <w:rPr>
          <w:sz w:val="20"/>
          <w:szCs w:val="20"/>
        </w:rPr>
        <w:t> </w:t>
      </w:r>
    </w:p>
    <w:p w14:paraId="3D68203F" w14:textId="77777777" w:rsidR="00000000" w:rsidRDefault="00527094">
      <w:pPr>
        <w:divId w:val="611401368"/>
        <w:rPr>
          <w:rFonts w:eastAsia="Times New Roman"/>
          <w:sz w:val="20"/>
          <w:szCs w:val="20"/>
        </w:rPr>
      </w:pPr>
      <w:r>
        <w:rPr>
          <w:rFonts w:eastAsia="Times New Roman"/>
          <w:sz w:val="20"/>
          <w:szCs w:val="20"/>
        </w:rPr>
        <w:t xml:space="preserve">  </w:t>
      </w:r>
    </w:p>
    <w:p w14:paraId="5EA9DB70" w14:textId="77777777" w:rsidR="00000000" w:rsidRDefault="00527094">
      <w:pPr>
        <w:pStyle w:val="a3"/>
        <w:spacing w:before="0" w:beforeAutospacing="0" w:after="0" w:afterAutospacing="0"/>
        <w:jc w:val="both"/>
        <w:rPr>
          <w:sz w:val="20"/>
          <w:szCs w:val="20"/>
        </w:rPr>
      </w:pPr>
      <w:r>
        <w:rPr>
          <w:rStyle w:val="a6"/>
          <w:i w:val="0"/>
          <w:iCs w:val="0"/>
          <w:sz w:val="20"/>
          <w:szCs w:val="20"/>
        </w:rPr>
        <w:t>2.</w:t>
      </w:r>
      <w:r>
        <w:rPr>
          <w:sz w:val="20"/>
          <w:szCs w:val="20"/>
        </w:rPr>
        <w:t xml:space="preserve"> </w:t>
      </w:r>
      <w:r>
        <w:rPr>
          <w:sz w:val="20"/>
          <w:szCs w:val="20"/>
          <w:u w:val="single"/>
        </w:rPr>
        <w:t>Summary of Significant Accounting Policies</w:t>
      </w:r>
    </w:p>
    <w:p w14:paraId="35544DA0" w14:textId="77777777" w:rsidR="00000000" w:rsidRDefault="00527094">
      <w:pPr>
        <w:pStyle w:val="a3"/>
        <w:spacing w:before="0" w:beforeAutospacing="0" w:after="0" w:afterAutospacing="0"/>
        <w:jc w:val="both"/>
        <w:rPr>
          <w:sz w:val="20"/>
          <w:szCs w:val="20"/>
        </w:rPr>
      </w:pPr>
      <w:r>
        <w:rPr>
          <w:i/>
          <w:iCs/>
          <w:sz w:val="20"/>
          <w:szCs w:val="20"/>
        </w:rPr>
        <w:t> </w:t>
      </w:r>
    </w:p>
    <w:p w14:paraId="7E32C937" w14:textId="77777777" w:rsidR="00000000" w:rsidRDefault="00527094">
      <w:pPr>
        <w:pStyle w:val="a3"/>
        <w:spacing w:before="0" w:beforeAutospacing="0" w:after="0" w:afterAutospacing="0"/>
        <w:jc w:val="both"/>
        <w:rPr>
          <w:sz w:val="20"/>
          <w:szCs w:val="20"/>
        </w:rPr>
      </w:pPr>
      <w:r>
        <w:rPr>
          <w:rStyle w:val="a6"/>
          <w:i w:val="0"/>
          <w:iCs w:val="0"/>
          <w:sz w:val="20"/>
          <w:szCs w:val="20"/>
        </w:rPr>
        <w:t>Principles of Consolidatio</w:t>
      </w:r>
      <w:r>
        <w:rPr>
          <w:rStyle w:val="a6"/>
          <w:i w:val="0"/>
          <w:iCs w:val="0"/>
          <w:sz w:val="20"/>
          <w:szCs w:val="20"/>
        </w:rPr>
        <w:t>n</w:t>
      </w:r>
      <w:r>
        <w:rPr>
          <w:rStyle w:val="a6"/>
          <w:i w:val="0"/>
          <w:iCs w:val="0"/>
          <w:sz w:val="20"/>
          <w:szCs w:val="20"/>
        </w:rPr>
        <w:t xml:space="preserve"> -</w:t>
      </w:r>
    </w:p>
    <w:p w14:paraId="7D5E37DD"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22922747"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The accompanying Condensed Consolidated Financial Statements include the accounts of the Company. The Company’s subsidiaries include subsidiaries which are wholly-owned or which the Company has a controlling interest, includ</w:t>
      </w:r>
      <w:r>
        <w:rPr>
          <w:rStyle w:val="a6"/>
          <w:i w:val="0"/>
          <w:iCs w:val="0"/>
          <w:sz w:val="20"/>
          <w:szCs w:val="20"/>
        </w:rPr>
        <w:t>ing where the Company has been determined to be a primary beneficiary of a variable interest entity (“VIE”) in accordance with the Consolidation guidance of the Financial Accounting Standards Board (“FASB”) Accounting Standards Codification (“ASC”). All in</w:t>
      </w:r>
      <w:r>
        <w:rPr>
          <w:rStyle w:val="a6"/>
          <w:i w:val="0"/>
          <w:iCs w:val="0"/>
          <w:sz w:val="20"/>
          <w:szCs w:val="20"/>
        </w:rPr>
        <w:t>ter-company balances and transactions have been eliminated in consolidation. The information presented in the accompanying Condensed Consolidated Financial Statements is unaudited and reflects all adjustments which are, in the opinion of management, necess</w:t>
      </w:r>
      <w:r>
        <w:rPr>
          <w:rStyle w:val="a6"/>
          <w:i w:val="0"/>
          <w:iCs w:val="0"/>
          <w:sz w:val="20"/>
          <w:szCs w:val="20"/>
        </w:rPr>
        <w:t xml:space="preserve">ary to reflect a fair statement of the results for the interim periods presented, and all such adjustments are of a normal recurring nature.  These Condensed Consolidated Financial Statements should be read in conjunction with the Company's audited Annual </w:t>
      </w:r>
      <w:r>
        <w:rPr>
          <w:rStyle w:val="a6"/>
          <w:i w:val="0"/>
          <w:iCs w:val="0"/>
          <w:sz w:val="20"/>
          <w:szCs w:val="20"/>
        </w:rPr>
        <w:t>Report on Form</w:t>
      </w:r>
      <w:r>
        <w:rPr>
          <w:rStyle w:val="a6"/>
          <w:i w:val="0"/>
          <w:iCs w:val="0"/>
          <w:sz w:val="20"/>
          <w:szCs w:val="20"/>
        </w:rPr>
        <w:t xml:space="preserve"> </w:t>
      </w:r>
      <w:r>
        <w:rPr>
          <w:rStyle w:val="a6"/>
          <w:i w:val="0"/>
          <w:iCs w:val="0"/>
          <w:sz w:val="20"/>
          <w:szCs w:val="20"/>
        </w:rPr>
        <w:t>1</w:t>
      </w:r>
      <w:r>
        <w:rPr>
          <w:rStyle w:val="a6"/>
          <w:i w:val="0"/>
          <w:iCs w:val="0"/>
          <w:sz w:val="20"/>
          <w:szCs w:val="20"/>
        </w:rPr>
        <w:t>0</w:t>
      </w:r>
      <w:r>
        <w:rPr>
          <w:rStyle w:val="a6"/>
          <w:i w:val="0"/>
          <w:iCs w:val="0"/>
          <w:sz w:val="20"/>
          <w:szCs w:val="20"/>
        </w:rPr>
        <w:t>-K for the year ended</w:t>
      </w:r>
      <w:r>
        <w:rPr>
          <w:rStyle w:val="a6"/>
          <w:i w:val="0"/>
          <w:iCs w:val="0"/>
          <w:sz w:val="20"/>
          <w:szCs w:val="20"/>
        </w:rPr>
        <w:t xml:space="preserve"> </w:t>
      </w:r>
      <w:r>
        <w:rPr>
          <w:rStyle w:val="a6"/>
          <w:i w:val="0"/>
          <w:iCs w:val="0"/>
          <w:sz w:val="20"/>
          <w:szCs w:val="20"/>
        </w:rPr>
        <w:t xml:space="preserve">December 31, 2018 </w:t>
      </w:r>
      <w:r>
        <w:rPr>
          <w:rStyle w:val="a6"/>
          <w:i w:val="0"/>
          <w:iCs w:val="0"/>
          <w:sz w:val="20"/>
          <w:szCs w:val="20"/>
        </w:rPr>
        <w:t>(</w:t>
      </w:r>
      <w:r>
        <w:rPr>
          <w:rStyle w:val="a6"/>
          <w:i w:val="0"/>
          <w:iCs w:val="0"/>
          <w:sz w:val="20"/>
          <w:szCs w:val="20"/>
        </w:rPr>
        <w:t>the</w:t>
      </w:r>
      <w:r>
        <w:rPr>
          <w:rStyle w:val="a6"/>
          <w:i w:val="0"/>
          <w:iCs w:val="0"/>
          <w:sz w:val="20"/>
          <w:szCs w:val="20"/>
        </w:rPr>
        <w:t xml:space="preserve"> </w:t>
      </w:r>
      <w:r>
        <w:rPr>
          <w:rStyle w:val="a6"/>
          <w:i w:val="0"/>
          <w:iCs w:val="0"/>
          <w:sz w:val="20"/>
          <w:szCs w:val="20"/>
        </w:rPr>
        <w:t>“1</w:t>
      </w:r>
      <w:r>
        <w:rPr>
          <w:rStyle w:val="a6"/>
          <w:i w:val="0"/>
          <w:iCs w:val="0"/>
          <w:sz w:val="20"/>
          <w:szCs w:val="20"/>
        </w:rPr>
        <w:t>0</w:t>
      </w:r>
      <w:r>
        <w:rPr>
          <w:rStyle w:val="a6"/>
          <w:i w:val="0"/>
          <w:iCs w:val="0"/>
          <w:sz w:val="20"/>
          <w:szCs w:val="20"/>
        </w:rPr>
        <w:t>-K”), as certain disclosures in this Quarterly Report on Form</w:t>
      </w:r>
      <w:r>
        <w:rPr>
          <w:rStyle w:val="a6"/>
          <w:i w:val="0"/>
          <w:iCs w:val="0"/>
          <w:sz w:val="20"/>
          <w:szCs w:val="20"/>
        </w:rPr>
        <w:t xml:space="preserve"> </w:t>
      </w:r>
      <w:r>
        <w:rPr>
          <w:rStyle w:val="a6"/>
          <w:i w:val="0"/>
          <w:iCs w:val="0"/>
          <w:sz w:val="20"/>
          <w:szCs w:val="20"/>
        </w:rPr>
        <w:t>1</w:t>
      </w:r>
      <w:r>
        <w:rPr>
          <w:rStyle w:val="a6"/>
          <w:i w:val="0"/>
          <w:iCs w:val="0"/>
          <w:sz w:val="20"/>
          <w:szCs w:val="20"/>
        </w:rPr>
        <w:t>0</w:t>
      </w:r>
      <w:r>
        <w:rPr>
          <w:rStyle w:val="a6"/>
          <w:i w:val="0"/>
          <w:iCs w:val="0"/>
          <w:sz w:val="20"/>
          <w:szCs w:val="20"/>
        </w:rPr>
        <w:t>-Q for the quarterly period ended</w:t>
      </w:r>
      <w:r>
        <w:rPr>
          <w:rStyle w:val="a6"/>
          <w:i w:val="0"/>
          <w:iCs w:val="0"/>
          <w:sz w:val="20"/>
          <w:szCs w:val="20"/>
        </w:rPr>
        <w:t xml:space="preserve"> </w:t>
      </w:r>
      <w:r>
        <w:rPr>
          <w:rStyle w:val="a6"/>
          <w:i w:val="0"/>
          <w:iCs w:val="0"/>
          <w:sz w:val="20"/>
          <w:szCs w:val="20"/>
        </w:rPr>
        <w:t>June 30, 2019,</w:t>
      </w:r>
      <w:r>
        <w:rPr>
          <w:rStyle w:val="a6"/>
          <w:i w:val="0"/>
          <w:iCs w:val="0"/>
          <w:sz w:val="20"/>
          <w:szCs w:val="20"/>
        </w:rPr>
        <w:t xml:space="preserve"> </w:t>
      </w:r>
      <w:r>
        <w:rPr>
          <w:rStyle w:val="a6"/>
          <w:i w:val="0"/>
          <w:iCs w:val="0"/>
          <w:sz w:val="20"/>
          <w:szCs w:val="20"/>
        </w:rPr>
        <w:t>that would duplicate those included in the</w:t>
      </w:r>
      <w:r>
        <w:rPr>
          <w:rStyle w:val="a6"/>
          <w:i w:val="0"/>
          <w:iCs w:val="0"/>
          <w:sz w:val="20"/>
          <w:szCs w:val="20"/>
        </w:rPr>
        <w:t xml:space="preserve"> </w:t>
      </w:r>
      <w:r>
        <w:rPr>
          <w:rStyle w:val="a6"/>
          <w:i w:val="0"/>
          <w:iCs w:val="0"/>
          <w:sz w:val="20"/>
          <w:szCs w:val="20"/>
        </w:rPr>
        <w:t>1</w:t>
      </w:r>
      <w:r>
        <w:rPr>
          <w:rStyle w:val="a6"/>
          <w:i w:val="0"/>
          <w:iCs w:val="0"/>
          <w:sz w:val="20"/>
          <w:szCs w:val="20"/>
        </w:rPr>
        <w:t>0</w:t>
      </w:r>
      <w:r>
        <w:rPr>
          <w:rStyle w:val="a6"/>
          <w:i w:val="0"/>
          <w:iCs w:val="0"/>
          <w:sz w:val="20"/>
          <w:szCs w:val="20"/>
        </w:rPr>
        <w:t>-K are</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included in these Cond</w:t>
      </w:r>
      <w:r>
        <w:rPr>
          <w:rStyle w:val="a6"/>
          <w:i w:val="0"/>
          <w:iCs w:val="0"/>
          <w:sz w:val="20"/>
          <w:szCs w:val="20"/>
        </w:rPr>
        <w:t>ensed Consolidated Financial Statements.</w:t>
      </w:r>
    </w:p>
    <w:p w14:paraId="5BF98A5C"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0F3DD4C6" w14:textId="77777777" w:rsidR="00000000" w:rsidRDefault="00527094">
      <w:pPr>
        <w:pStyle w:val="a3"/>
        <w:spacing w:before="0" w:beforeAutospacing="0" w:after="0" w:afterAutospacing="0"/>
        <w:jc w:val="both"/>
        <w:rPr>
          <w:sz w:val="20"/>
          <w:szCs w:val="20"/>
        </w:rPr>
      </w:pPr>
      <w:r>
        <w:rPr>
          <w:i/>
          <w:iCs/>
          <w:sz w:val="20"/>
          <w:szCs w:val="20"/>
        </w:rPr>
        <w:t>Revenues and Trade Accounts Receivable -</w:t>
      </w:r>
    </w:p>
    <w:p w14:paraId="5218723E" w14:textId="77777777" w:rsidR="00000000" w:rsidRDefault="00527094">
      <w:pPr>
        <w:pStyle w:val="a3"/>
        <w:spacing w:before="0" w:beforeAutospacing="0" w:after="0" w:afterAutospacing="0"/>
        <w:jc w:val="both"/>
        <w:rPr>
          <w:sz w:val="20"/>
          <w:szCs w:val="20"/>
        </w:rPr>
      </w:pPr>
      <w:r>
        <w:rPr>
          <w:sz w:val="20"/>
          <w:szCs w:val="20"/>
        </w:rPr>
        <w:t> </w:t>
      </w:r>
    </w:p>
    <w:p w14:paraId="0EE384DA" w14:textId="77777777" w:rsidR="00000000" w:rsidRDefault="00527094">
      <w:pPr>
        <w:pStyle w:val="a3"/>
        <w:spacing w:before="0" w:beforeAutospacing="0" w:after="0" w:afterAutospacing="0"/>
        <w:ind w:firstLine="360"/>
        <w:jc w:val="both"/>
        <w:rPr>
          <w:sz w:val="20"/>
          <w:szCs w:val="20"/>
        </w:rPr>
      </w:pPr>
      <w:r>
        <w:rPr>
          <w:sz w:val="20"/>
          <w:szCs w:val="20"/>
        </w:rPr>
        <w:t>The Company’s primary source of revenues are derived from lease agreements which fall under the scope of 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w:t>
      </w:r>
      <w:r>
        <w:rPr>
          <w:i/>
          <w:iCs/>
          <w:sz w:val="20"/>
          <w:szCs w:val="20"/>
        </w:rPr>
        <w:t>Leases (Topic</w:t>
      </w:r>
      <w:r>
        <w:rPr>
          <w:i/>
          <w:iCs/>
          <w:sz w:val="20"/>
          <w:szCs w:val="20"/>
        </w:rPr>
        <w:t xml:space="preserve"> </w:t>
      </w:r>
      <w:r>
        <w:rPr>
          <w:rStyle w:val="a6"/>
          <w:i w:val="0"/>
          <w:iCs w:val="0"/>
          <w:sz w:val="20"/>
          <w:szCs w:val="20"/>
        </w:rPr>
        <w:t>842</w:t>
      </w:r>
      <w:r>
        <w:rPr>
          <w:i/>
          <w:iCs/>
          <w:sz w:val="20"/>
          <w:szCs w:val="20"/>
        </w:rPr>
        <w:t>),</w:t>
      </w:r>
      <w:r>
        <w:rPr>
          <w:sz w:val="20"/>
          <w:szCs w:val="20"/>
        </w:rPr>
        <w:t xml:space="preserve"> (“Topic</w:t>
      </w:r>
      <w:r>
        <w:rPr>
          <w:sz w:val="20"/>
          <w:szCs w:val="20"/>
        </w:rPr>
        <w:t xml:space="preserve"> </w:t>
      </w:r>
      <w:r>
        <w:rPr>
          <w:rStyle w:val="a6"/>
          <w:i w:val="0"/>
          <w:iCs w:val="0"/>
          <w:sz w:val="20"/>
          <w:szCs w:val="20"/>
        </w:rPr>
        <w:t>842”</w:t>
      </w:r>
      <w:r>
        <w:rPr>
          <w:sz w:val="20"/>
          <w:szCs w:val="20"/>
        </w:rPr>
        <w:t>), which includes re</w:t>
      </w:r>
      <w:r>
        <w:rPr>
          <w:sz w:val="20"/>
          <w:szCs w:val="20"/>
        </w:rPr>
        <w:t>ntal income and expense reimbursement income. The Company also has revenues which are accounted for under ASU</w:t>
      </w:r>
      <w:r>
        <w:rPr>
          <w:sz w:val="20"/>
          <w:szCs w:val="20"/>
        </w:rPr>
        <w:t xml:space="preserve"> </w:t>
      </w:r>
      <w:r>
        <w:rPr>
          <w:rStyle w:val="a6"/>
          <w:i w:val="0"/>
          <w:iCs w:val="0"/>
          <w:sz w:val="20"/>
          <w:szCs w:val="20"/>
        </w:rPr>
        <w:t>2014</w:t>
      </w:r>
      <w:r>
        <w:rPr>
          <w:sz w:val="20"/>
          <w:szCs w:val="20"/>
        </w:rPr>
        <w:t>-</w:t>
      </w:r>
      <w:r>
        <w:rPr>
          <w:rStyle w:val="a6"/>
          <w:i w:val="0"/>
          <w:iCs w:val="0"/>
          <w:sz w:val="20"/>
          <w:szCs w:val="20"/>
        </w:rPr>
        <w:t>09,</w:t>
      </w:r>
      <w:r>
        <w:rPr>
          <w:sz w:val="20"/>
          <w:szCs w:val="20"/>
        </w:rPr>
        <w:t xml:space="preserve"> </w:t>
      </w:r>
      <w:r>
        <w:rPr>
          <w:i/>
          <w:iCs/>
          <w:sz w:val="20"/>
          <w:szCs w:val="20"/>
        </w:rPr>
        <w:t>Revenue from Contracts with Customers (Topic</w:t>
      </w:r>
      <w:r>
        <w:rPr>
          <w:i/>
          <w:iCs/>
          <w:sz w:val="20"/>
          <w:szCs w:val="20"/>
        </w:rPr>
        <w:t xml:space="preserve"> </w:t>
      </w:r>
      <w:r>
        <w:rPr>
          <w:rStyle w:val="a6"/>
          <w:i w:val="0"/>
          <w:iCs w:val="0"/>
          <w:sz w:val="20"/>
          <w:szCs w:val="20"/>
        </w:rPr>
        <w:t>606</w:t>
      </w:r>
      <w:r>
        <w:rPr>
          <w:i/>
          <w:iCs/>
          <w:sz w:val="20"/>
          <w:szCs w:val="20"/>
        </w:rPr>
        <w:t>)</w:t>
      </w:r>
      <w:r>
        <w:rPr>
          <w:sz w:val="20"/>
          <w:szCs w:val="20"/>
        </w:rPr>
        <w:t>, (“Topic</w:t>
      </w:r>
      <w:r>
        <w:rPr>
          <w:sz w:val="20"/>
          <w:szCs w:val="20"/>
        </w:rPr>
        <w:t xml:space="preserve"> </w:t>
      </w:r>
      <w:r>
        <w:rPr>
          <w:rStyle w:val="a6"/>
          <w:i w:val="0"/>
          <w:iCs w:val="0"/>
          <w:sz w:val="20"/>
          <w:szCs w:val="20"/>
        </w:rPr>
        <w:t>606”</w:t>
      </w:r>
      <w:r>
        <w:rPr>
          <w:sz w:val="20"/>
          <w:szCs w:val="20"/>
        </w:rPr>
        <w:t>) which include fees for services performed at various unconsolidated join</w:t>
      </w:r>
      <w:r>
        <w:rPr>
          <w:sz w:val="20"/>
          <w:szCs w:val="20"/>
        </w:rPr>
        <w:t>t ventures for which the Company is the manager. These fees primarily include property and asset management fees, leasing fees, development fees and property acquisition/disposition fees. Also affected by Topic</w:t>
      </w:r>
      <w:r>
        <w:rPr>
          <w:sz w:val="20"/>
          <w:szCs w:val="20"/>
        </w:rPr>
        <w:t xml:space="preserve"> </w:t>
      </w:r>
      <w:r>
        <w:rPr>
          <w:rStyle w:val="a6"/>
          <w:i w:val="0"/>
          <w:iCs w:val="0"/>
          <w:sz w:val="20"/>
          <w:szCs w:val="20"/>
        </w:rPr>
        <w:t>606</w:t>
      </w:r>
      <w:r>
        <w:rPr>
          <w:sz w:val="20"/>
          <w:szCs w:val="20"/>
        </w:rPr>
        <w:t xml:space="preserve"> are gains on sales of properties and tax </w:t>
      </w:r>
      <w:r>
        <w:rPr>
          <w:sz w:val="20"/>
          <w:szCs w:val="20"/>
        </w:rPr>
        <w:t>increment financing (“TIF”) contracts. The Company presents its revenue streams on the Company’s Condensed Consolidated Statements of Income as Revenues from rental properties, net and Management and other fee income.</w:t>
      </w:r>
    </w:p>
    <w:p w14:paraId="496C47E2" w14:textId="77777777" w:rsidR="00000000" w:rsidRDefault="00527094">
      <w:pPr>
        <w:pStyle w:val="a3"/>
        <w:spacing w:before="0" w:beforeAutospacing="0" w:after="0" w:afterAutospacing="0"/>
        <w:ind w:firstLine="360"/>
        <w:jc w:val="both"/>
        <w:rPr>
          <w:sz w:val="20"/>
          <w:szCs w:val="20"/>
        </w:rPr>
      </w:pPr>
      <w:r>
        <w:rPr>
          <w:sz w:val="20"/>
          <w:szCs w:val="20"/>
        </w:rPr>
        <w:t> </w:t>
      </w:r>
    </w:p>
    <w:p w14:paraId="5A0E74C7"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u w:val="single"/>
        </w:rPr>
        <w:t>Revenues from rental properties, net</w:t>
      </w:r>
    </w:p>
    <w:p w14:paraId="77A2E1AA"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3EB81BC3"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Revenues from rental properties, net are comprised of minimum base rent, percentage rent, lease termination fee income, amortization of above-market and below-market rent adjustments and straight-line rent adjustments. Upon the adoption of Topic</w:t>
      </w:r>
      <w:r>
        <w:rPr>
          <w:rStyle w:val="a6"/>
          <w:i w:val="0"/>
          <w:iCs w:val="0"/>
          <w:sz w:val="20"/>
          <w:szCs w:val="20"/>
        </w:rPr>
        <w:t xml:space="preserve"> </w:t>
      </w:r>
      <w:r>
        <w:rPr>
          <w:rStyle w:val="a6"/>
          <w:i w:val="0"/>
          <w:iCs w:val="0"/>
          <w:sz w:val="20"/>
          <w:szCs w:val="20"/>
        </w:rPr>
        <w:t>842</w:t>
      </w:r>
      <w:r>
        <w:rPr>
          <w:rStyle w:val="a6"/>
          <w:i w:val="0"/>
          <w:iCs w:val="0"/>
          <w:sz w:val="20"/>
          <w:szCs w:val="20"/>
        </w:rPr>
        <w:t>,</w:t>
      </w:r>
      <w:r>
        <w:rPr>
          <w:rStyle w:val="a6"/>
          <w:i w:val="0"/>
          <w:iCs w:val="0"/>
          <w:sz w:val="20"/>
          <w:szCs w:val="20"/>
        </w:rPr>
        <w:t xml:space="preserve"> th</w:t>
      </w:r>
      <w:r>
        <w:rPr>
          <w:rStyle w:val="a6"/>
          <w:i w:val="0"/>
          <w:iCs w:val="0"/>
          <w:sz w:val="20"/>
          <w:szCs w:val="20"/>
        </w:rPr>
        <w:t>e Company elected the lessor practical expedient to combine the lease and non-lease components, determined the lease component was the predominant component and as a result, accounted for the combined components under Topic</w:t>
      </w:r>
      <w:r>
        <w:rPr>
          <w:rStyle w:val="a6"/>
          <w:i w:val="0"/>
          <w:iCs w:val="0"/>
          <w:sz w:val="20"/>
          <w:szCs w:val="20"/>
        </w:rPr>
        <w:t xml:space="preserve"> </w:t>
      </w:r>
      <w:r>
        <w:rPr>
          <w:rStyle w:val="a6"/>
          <w:i w:val="0"/>
          <w:iCs w:val="0"/>
          <w:sz w:val="20"/>
          <w:szCs w:val="20"/>
        </w:rPr>
        <w:t>842</w:t>
      </w:r>
      <w:r>
        <w:rPr>
          <w:rStyle w:val="a6"/>
          <w:i w:val="0"/>
          <w:iCs w:val="0"/>
          <w:sz w:val="20"/>
          <w:szCs w:val="20"/>
        </w:rPr>
        <w:t>.</w:t>
      </w:r>
      <w:r>
        <w:rPr>
          <w:rStyle w:val="a6"/>
          <w:i w:val="0"/>
          <w:iCs w:val="0"/>
          <w:sz w:val="20"/>
          <w:szCs w:val="20"/>
        </w:rPr>
        <w:t xml:space="preserve"> Non-lease components includ</w:t>
      </w:r>
      <w:r>
        <w:rPr>
          <w:rStyle w:val="a6"/>
          <w:i w:val="0"/>
          <w:iCs w:val="0"/>
          <w:sz w:val="20"/>
          <w:szCs w:val="20"/>
        </w:rPr>
        <w:t>e reimbursements paid to the Company from tenants for common area maintenance costs, real estate taxes and other operating expenses. The combined components are included in Revenues from rental properties, net on the Company’s Condensed Consolidated Statem</w:t>
      </w:r>
      <w:r>
        <w:rPr>
          <w:rStyle w:val="a6"/>
          <w:i w:val="0"/>
          <w:iCs w:val="0"/>
          <w:sz w:val="20"/>
          <w:szCs w:val="20"/>
        </w:rPr>
        <w:t>ents of Income.</w:t>
      </w:r>
    </w:p>
    <w:p w14:paraId="380DDBFC"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06BD2BB7" w14:textId="77777777" w:rsidR="00000000" w:rsidRDefault="00527094">
      <w:pPr>
        <w:jc w:val="center"/>
        <w:rPr>
          <w:rFonts w:eastAsia="Times New Roman"/>
          <w:sz w:val="20"/>
          <w:szCs w:val="20"/>
        </w:rPr>
      </w:pPr>
      <w:r>
        <w:rPr>
          <w:rStyle w:val="a6"/>
          <w:rFonts w:eastAsia="Times New Roman"/>
          <w:i w:val="0"/>
          <w:iCs w:val="0"/>
          <w:sz w:val="20"/>
          <w:szCs w:val="20"/>
        </w:rPr>
        <w:t xml:space="preserve">9 </w:t>
      </w:r>
    </w:p>
    <w:p w14:paraId="2242C4CE" w14:textId="77777777" w:rsidR="00000000" w:rsidRDefault="00527094">
      <w:pPr>
        <w:rPr>
          <w:rFonts w:eastAsia="Times New Roman"/>
          <w:sz w:val="20"/>
          <w:szCs w:val="20"/>
        </w:rPr>
      </w:pPr>
      <w:r>
        <w:rPr>
          <w:rFonts w:eastAsia="Times New Roman"/>
          <w:sz w:val="20"/>
          <w:szCs w:val="20"/>
        </w:rPr>
        <w:pict w14:anchorId="3B3461BE">
          <v:rect id="_x0000_i1037" style="width:0;height:1.5pt" o:hralign="center" o:hrstd="t" o:hr="t" fillcolor="#a0a0a0" stroked="f"/>
        </w:pict>
      </w:r>
    </w:p>
    <w:p w14:paraId="7684C496" w14:textId="77777777" w:rsidR="00000000" w:rsidRDefault="00527094">
      <w:pPr>
        <w:rPr>
          <w:rFonts w:eastAsia="Times New Roman"/>
          <w:sz w:val="20"/>
          <w:szCs w:val="20"/>
        </w:rPr>
      </w:pPr>
      <w:hyperlink w:anchor="toc" w:history="1">
        <w:r>
          <w:rPr>
            <w:rStyle w:val="a6"/>
            <w:rFonts w:eastAsia="Times New Roman"/>
            <w:i w:val="0"/>
            <w:iCs w:val="0"/>
            <w:color w:val="0000FF"/>
            <w:sz w:val="20"/>
            <w:szCs w:val="20"/>
            <w:u w:val="single"/>
          </w:rPr>
          <w:t>Table of Contents</w:t>
        </w:r>
      </w:hyperlink>
      <w:r>
        <w:rPr>
          <w:rFonts w:eastAsia="Times New Roman"/>
          <w:sz w:val="20"/>
          <w:szCs w:val="20"/>
        </w:rPr>
        <w:t xml:space="preserve"> </w:t>
      </w:r>
    </w:p>
    <w:p w14:paraId="5E769FB5" w14:textId="77777777" w:rsidR="00000000" w:rsidRDefault="00527094">
      <w:pPr>
        <w:pStyle w:val="a3"/>
        <w:spacing w:before="0" w:beforeAutospacing="0" w:after="0" w:afterAutospacing="0"/>
        <w:rPr>
          <w:sz w:val="20"/>
          <w:szCs w:val="20"/>
        </w:rPr>
      </w:pPr>
      <w:r>
        <w:rPr>
          <w:rStyle w:val="a6"/>
          <w:i w:val="0"/>
          <w:iCs w:val="0"/>
          <w:sz w:val="20"/>
          <w:szCs w:val="20"/>
        </w:rPr>
        <w:t> </w:t>
      </w:r>
    </w:p>
    <w:p w14:paraId="07D9CE48"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Base rental revenues from rental properties are recognized on a straight-line basis over the terms of the related leases. Certain of these leases also provide for percentage rents based upon the level of sales achieved by the lessee.  These percentage rent</w:t>
      </w:r>
      <w:r>
        <w:rPr>
          <w:rStyle w:val="a6"/>
          <w:i w:val="0"/>
          <w:iCs w:val="0"/>
          <w:sz w:val="20"/>
          <w:szCs w:val="20"/>
        </w:rPr>
        <w:t>s are recognized once the required sales level is achieved.  Rental income</w:t>
      </w:r>
      <w:r>
        <w:rPr>
          <w:rStyle w:val="a6"/>
          <w:i w:val="0"/>
          <w:iCs w:val="0"/>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also include payments received in connection with lease termination agreements.  Lease termination fee income is recognized when the lessee provides consideration in order to te</w:t>
      </w:r>
      <w:r>
        <w:rPr>
          <w:rStyle w:val="a6"/>
          <w:i w:val="0"/>
          <w:iCs w:val="0"/>
          <w:sz w:val="20"/>
          <w:szCs w:val="20"/>
        </w:rPr>
        <w:t xml:space="preserve">rminate an existing lease agreement and has vacated the leased space. If the lessee continues to occupy the leased space for a period of time after the lease termination is agreed upon, the termination fee is accounted for as a lease modification based on </w:t>
      </w:r>
      <w:r>
        <w:rPr>
          <w:rStyle w:val="a6"/>
          <w:i w:val="0"/>
          <w:iCs w:val="0"/>
          <w:sz w:val="20"/>
          <w:szCs w:val="20"/>
        </w:rPr>
        <w:t>the modified lease term. Upon acquisition of real estate operating properties, the Company estimates the fair value of identified intangible assets and liabilities (including above-market and below-market leases, where applicable). The capitalized above-ma</w:t>
      </w:r>
      <w:r>
        <w:rPr>
          <w:rStyle w:val="a6"/>
          <w:i w:val="0"/>
          <w:iCs w:val="0"/>
          <w:sz w:val="20"/>
          <w:szCs w:val="20"/>
        </w:rPr>
        <w:t>rket or below-market intangible asset or liability is amortized to rental income over the estimated remaining term of the respective leases, which includes the expected renewal option period for below-market leases.</w:t>
      </w:r>
    </w:p>
    <w:p w14:paraId="49CB465F"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1657766B"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xml:space="preserve">Also included in Revenues from rental </w:t>
      </w:r>
      <w:r>
        <w:rPr>
          <w:rStyle w:val="a6"/>
          <w:i w:val="0"/>
          <w:iCs w:val="0"/>
          <w:sz w:val="20"/>
          <w:szCs w:val="20"/>
        </w:rPr>
        <w:t>properties, net are ancillary income and TIF income. Ancillary income is derived through various agreements relating to parking lots, clothing bins, temporary storage, vending machines, ATMs, trash bins and trash collections, seasonal leases, etc. The majo</w:t>
      </w:r>
      <w:r>
        <w:rPr>
          <w:rStyle w:val="a6"/>
          <w:i w:val="0"/>
          <w:iCs w:val="0"/>
          <w:sz w:val="20"/>
          <w:szCs w:val="20"/>
        </w:rPr>
        <w:t>rity of the revenue derived from these sources are through lease agreements/arrangements and are recognized in accordance with the lease terms described in the lease. The Company has TIF agreements with certain municipalities and receives payments in accor</w:t>
      </w:r>
      <w:r>
        <w:rPr>
          <w:rStyle w:val="a6"/>
          <w:i w:val="0"/>
          <w:iCs w:val="0"/>
          <w:sz w:val="20"/>
          <w:szCs w:val="20"/>
        </w:rPr>
        <w:t>dance with the agreements. TIF reimbursement income is recognized on a cash-basis when received.</w:t>
      </w:r>
    </w:p>
    <w:p w14:paraId="34669A6C" w14:textId="77777777" w:rsidR="00000000" w:rsidRDefault="00527094">
      <w:pPr>
        <w:pStyle w:val="a3"/>
        <w:spacing w:before="0" w:beforeAutospacing="0" w:after="0" w:afterAutospacing="0"/>
        <w:jc w:val="both"/>
        <w:rPr>
          <w:sz w:val="20"/>
          <w:szCs w:val="20"/>
        </w:rPr>
      </w:pPr>
      <w:r>
        <w:rPr>
          <w:sz w:val="20"/>
          <w:szCs w:val="20"/>
        </w:rPr>
        <w:t> </w:t>
      </w:r>
    </w:p>
    <w:p w14:paraId="5F3EF9DF"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u w:val="single"/>
        </w:rPr>
        <w:t>Trade Accounts Receivable</w:t>
      </w:r>
    </w:p>
    <w:p w14:paraId="0E04DBA6"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6B6B178A"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The Company reviews its trade accounts receivable, including its straight-line rent receivable, related to base rents, straight-l</w:t>
      </w:r>
      <w:r>
        <w:rPr>
          <w:rStyle w:val="a6"/>
          <w:i w:val="0"/>
          <w:iCs w:val="0"/>
          <w:sz w:val="20"/>
          <w:szCs w:val="20"/>
        </w:rPr>
        <w:t>ine rent, expense reimbursements and other revenues for collectability. The Company analyzes its accounts receivable, customer credit worthiness and current economic trends when evaluating the adequacy of the collectability of the lessee’s total accounts r</w:t>
      </w:r>
      <w:r>
        <w:rPr>
          <w:rStyle w:val="a6"/>
          <w:i w:val="0"/>
          <w:iCs w:val="0"/>
          <w:sz w:val="20"/>
          <w:szCs w:val="20"/>
        </w:rPr>
        <w:t>eceivable balance on a lease by lease basis. In addition, tenants in bankruptcy are analyzed and considerations are made in connection with the expected recovery of pre-petition and post-petition bankruptcy claims. If a lessee’s accounts receivable balance</w:t>
      </w:r>
      <w:r>
        <w:rPr>
          <w:rStyle w:val="a6"/>
          <w:i w:val="0"/>
          <w:iCs w:val="0"/>
          <w:sz w:val="20"/>
          <w:szCs w:val="20"/>
        </w:rPr>
        <w:t xml:space="preserve"> is considered uncollectible, the Company will write-off the receivable balances associated with the lease and will only recognize lease income on a cash basis. If the Company subsequently determines that it is probable it will collect the remaining lessee</w:t>
      </w:r>
      <w:r>
        <w:rPr>
          <w:rStyle w:val="a6"/>
          <w:i w:val="0"/>
          <w:iCs w:val="0"/>
          <w:sz w:val="20"/>
          <w:szCs w:val="20"/>
        </w:rPr>
        <w:t>’s lease payments under the lease term, the Company will then reinstate the straight-line balance and the lease income will then be limited to the lesser of (i) the straight-line rental income or (ii) the lease payments that have been collected from the le</w:t>
      </w:r>
      <w:r>
        <w:rPr>
          <w:rStyle w:val="a6"/>
          <w:i w:val="0"/>
          <w:iCs w:val="0"/>
          <w:sz w:val="20"/>
          <w:szCs w:val="20"/>
        </w:rPr>
        <w:t>ssee. The Company’s reported net earnings are directly affected by management’s estimate of the collectability of its trade accounts receivable. Trade accounts receivable, primarily derived from expense reimbursements, that are being disputed by the lessee</w:t>
      </w:r>
      <w:r>
        <w:rPr>
          <w:rStyle w:val="a6"/>
          <w:i w:val="0"/>
          <w:iCs w:val="0"/>
          <w:sz w:val="20"/>
          <w:szCs w:val="20"/>
        </w:rPr>
        <w:t xml:space="preserve"> will</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be written-off as it is presumed the Company will collect these receivables upon resolution with the tenant.</w:t>
      </w:r>
    </w:p>
    <w:p w14:paraId="0672F7BB"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0396784F" w14:textId="77777777" w:rsidR="00000000" w:rsidRDefault="00527094">
      <w:pPr>
        <w:pStyle w:val="a3"/>
        <w:spacing w:before="0" w:beforeAutospacing="0" w:after="0" w:afterAutospacing="0"/>
        <w:jc w:val="both"/>
        <w:rPr>
          <w:sz w:val="20"/>
          <w:szCs w:val="20"/>
        </w:rPr>
      </w:pPr>
      <w:r>
        <w:rPr>
          <w:i/>
          <w:iCs/>
          <w:sz w:val="20"/>
          <w:szCs w:val="20"/>
        </w:rPr>
        <w:t>Leases -</w:t>
      </w:r>
    </w:p>
    <w:p w14:paraId="3E922B18" w14:textId="77777777" w:rsidR="00000000" w:rsidRDefault="00527094">
      <w:pPr>
        <w:pStyle w:val="a3"/>
        <w:spacing w:before="0" w:beforeAutospacing="0" w:after="0" w:afterAutospacing="0"/>
        <w:jc w:val="both"/>
        <w:rPr>
          <w:sz w:val="20"/>
          <w:szCs w:val="20"/>
        </w:rPr>
      </w:pPr>
      <w:r>
        <w:rPr>
          <w:sz w:val="20"/>
          <w:szCs w:val="20"/>
        </w:rPr>
        <w:t> </w:t>
      </w:r>
    </w:p>
    <w:p w14:paraId="088BFAA2" w14:textId="77777777" w:rsidR="00000000" w:rsidRDefault="00527094">
      <w:pPr>
        <w:pStyle w:val="a3"/>
        <w:spacing w:before="0" w:beforeAutospacing="0" w:after="0" w:afterAutospacing="0"/>
        <w:ind w:firstLine="360"/>
        <w:jc w:val="both"/>
        <w:rPr>
          <w:sz w:val="20"/>
          <w:szCs w:val="20"/>
        </w:rPr>
      </w:pPr>
      <w:r>
        <w:rPr>
          <w:sz w:val="20"/>
          <w:szCs w:val="20"/>
        </w:rPr>
        <w:t>The FASB issued Topic</w:t>
      </w:r>
      <w:r>
        <w:rPr>
          <w:sz w:val="20"/>
          <w:szCs w:val="20"/>
        </w:rPr>
        <w:t xml:space="preserve"> </w:t>
      </w:r>
      <w:r>
        <w:rPr>
          <w:rStyle w:val="a6"/>
          <w:i w:val="0"/>
          <w:iCs w:val="0"/>
          <w:sz w:val="20"/>
          <w:szCs w:val="20"/>
        </w:rPr>
        <w:t>842,</w:t>
      </w:r>
      <w:r>
        <w:rPr>
          <w:sz w:val="20"/>
          <w:szCs w:val="20"/>
        </w:rPr>
        <w:t xml:space="preserve"> which amended the guidance in former ASC Topic</w:t>
      </w:r>
      <w:r>
        <w:rPr>
          <w:sz w:val="20"/>
          <w:szCs w:val="20"/>
        </w:rPr>
        <w:t xml:space="preserve"> </w:t>
      </w:r>
      <w:r>
        <w:rPr>
          <w:rStyle w:val="a6"/>
          <w:i w:val="0"/>
          <w:iCs w:val="0"/>
          <w:sz w:val="20"/>
          <w:szCs w:val="20"/>
        </w:rPr>
        <w:t>840,</w:t>
      </w:r>
      <w:r>
        <w:rPr>
          <w:sz w:val="20"/>
          <w:szCs w:val="20"/>
        </w:rPr>
        <w:t xml:space="preserve"> </w:t>
      </w:r>
      <w:r>
        <w:rPr>
          <w:i/>
          <w:iCs/>
          <w:sz w:val="20"/>
          <w:szCs w:val="20"/>
        </w:rPr>
        <w:t>Leases</w:t>
      </w:r>
      <w:r>
        <w:rPr>
          <w:sz w:val="20"/>
          <w:szCs w:val="20"/>
        </w:rPr>
        <w:t>. The new standard increases transparency and comparability by requiring the recognition by lessees of right-of-use (“ROU”) assets and lease liabilities on the balance sheet for those leases classified as operating leases.</w:t>
      </w:r>
    </w:p>
    <w:p w14:paraId="7D1AD431" w14:textId="77777777" w:rsidR="00000000" w:rsidRDefault="00527094">
      <w:pPr>
        <w:pStyle w:val="a3"/>
        <w:spacing w:before="0" w:beforeAutospacing="0" w:after="0" w:afterAutospacing="0"/>
        <w:ind w:firstLine="360"/>
        <w:jc w:val="both"/>
        <w:rPr>
          <w:sz w:val="20"/>
          <w:szCs w:val="20"/>
        </w:rPr>
      </w:pPr>
      <w:r>
        <w:rPr>
          <w:sz w:val="20"/>
          <w:szCs w:val="20"/>
        </w:rPr>
        <w:t> </w:t>
      </w:r>
    </w:p>
    <w:p w14:paraId="094B569D" w14:textId="77777777" w:rsidR="00000000" w:rsidRDefault="00527094">
      <w:pPr>
        <w:pStyle w:val="a3"/>
        <w:spacing w:before="0" w:beforeAutospacing="0" w:after="0" w:afterAutospacing="0"/>
        <w:ind w:firstLine="360"/>
        <w:jc w:val="both"/>
        <w:rPr>
          <w:sz w:val="20"/>
          <w:szCs w:val="20"/>
        </w:rPr>
      </w:pPr>
      <w:r>
        <w:rPr>
          <w:sz w:val="20"/>
          <w:szCs w:val="20"/>
        </w:rPr>
        <w:t>The Company adopted this standa</w:t>
      </w:r>
      <w:r>
        <w:rPr>
          <w:sz w:val="20"/>
          <w:szCs w:val="20"/>
        </w:rPr>
        <w:t>rd effective</w:t>
      </w:r>
      <w:r>
        <w:rPr>
          <w:sz w:val="20"/>
          <w:szCs w:val="20"/>
        </w:rPr>
        <w:t xml:space="preserve"> </w:t>
      </w:r>
      <w:r>
        <w:rPr>
          <w:rStyle w:val="a6"/>
          <w:i w:val="0"/>
          <w:iCs w:val="0"/>
          <w:sz w:val="20"/>
          <w:szCs w:val="20"/>
        </w:rPr>
        <w:t xml:space="preserve">January 1, 2019 </w:t>
      </w:r>
      <w:r>
        <w:rPr>
          <w:sz w:val="20"/>
          <w:szCs w:val="20"/>
        </w:rPr>
        <w:t>under the modified retrospective approach and elected the optional transition method to apply the provisions of Topic</w:t>
      </w:r>
      <w:r>
        <w:rPr>
          <w:sz w:val="20"/>
          <w:szCs w:val="20"/>
        </w:rPr>
        <w:t xml:space="preserve"> </w:t>
      </w:r>
      <w:r>
        <w:rPr>
          <w:rStyle w:val="a6"/>
          <w:i w:val="0"/>
          <w:iCs w:val="0"/>
          <w:sz w:val="20"/>
          <w:szCs w:val="20"/>
        </w:rPr>
        <w:t>842</w:t>
      </w:r>
      <w:r>
        <w:rPr>
          <w:sz w:val="20"/>
          <w:szCs w:val="20"/>
        </w:rPr>
        <w:t xml:space="preserve"> as of the adoption date, rather than the earliest period presented. As such, the requirements of Topic</w:t>
      </w:r>
      <w:r>
        <w:rPr>
          <w:sz w:val="20"/>
          <w:szCs w:val="20"/>
        </w:rPr>
        <w:t xml:space="preserve"> </w:t>
      </w:r>
      <w:r>
        <w:rPr>
          <w:rStyle w:val="a6"/>
          <w:i w:val="0"/>
          <w:iCs w:val="0"/>
          <w:sz w:val="20"/>
          <w:szCs w:val="20"/>
        </w:rPr>
        <w:t>84</w:t>
      </w:r>
      <w:r>
        <w:rPr>
          <w:rStyle w:val="a6"/>
          <w:i w:val="0"/>
          <w:iCs w:val="0"/>
          <w:sz w:val="20"/>
          <w:szCs w:val="20"/>
        </w:rPr>
        <w:t>2</w:t>
      </w:r>
      <w:r>
        <w:rPr>
          <w:sz w:val="20"/>
          <w:szCs w:val="20"/>
        </w:rPr>
        <w:t xml:space="preserve"> were</w:t>
      </w:r>
      <w:r>
        <w:rPr>
          <w:sz w:val="20"/>
          <w:szCs w:val="20"/>
        </w:rPr>
        <w:t xml:space="preserve"> </w:t>
      </w:r>
      <w:r>
        <w:rPr>
          <w:rStyle w:val="a6"/>
          <w:i w:val="0"/>
          <w:iCs w:val="0"/>
          <w:sz w:val="20"/>
          <w:szCs w:val="20"/>
        </w:rPr>
        <w:t>not</w:t>
      </w:r>
      <w:r>
        <w:rPr>
          <w:sz w:val="20"/>
          <w:szCs w:val="20"/>
        </w:rPr>
        <w:t xml:space="preserve"> applied in the comparative periods presented in the Company’s Condensed Consolidated Financial Statements. The Company also elected the package of practical expedients, which permits the Company to</w:t>
      </w:r>
      <w:r>
        <w:rPr>
          <w:sz w:val="20"/>
          <w:szCs w:val="20"/>
        </w:rPr>
        <w:t xml:space="preserve"> </w:t>
      </w:r>
      <w:r>
        <w:rPr>
          <w:rStyle w:val="a6"/>
          <w:i w:val="0"/>
          <w:iCs w:val="0"/>
          <w:sz w:val="20"/>
          <w:szCs w:val="20"/>
        </w:rPr>
        <w:t>not</w:t>
      </w:r>
      <w:r>
        <w:rPr>
          <w:sz w:val="20"/>
          <w:szCs w:val="20"/>
        </w:rPr>
        <w:t xml:space="preserve"> reassess (i) whether any expired or existin</w:t>
      </w:r>
      <w:r>
        <w:rPr>
          <w:sz w:val="20"/>
          <w:szCs w:val="20"/>
        </w:rPr>
        <w:t>g contracts are or contain leases, (ii) the lease classification for any expired or existing leases and (iii) any initial direct costs for any existing leases as of the effective date. The Company did</w:t>
      </w:r>
      <w:r>
        <w:rPr>
          <w:sz w:val="20"/>
          <w:szCs w:val="20"/>
        </w:rPr>
        <w:t xml:space="preserve"> </w:t>
      </w:r>
      <w:r>
        <w:rPr>
          <w:rStyle w:val="a6"/>
          <w:i w:val="0"/>
          <w:iCs w:val="0"/>
          <w:sz w:val="20"/>
          <w:szCs w:val="20"/>
        </w:rPr>
        <w:t>not</w:t>
      </w:r>
      <w:r>
        <w:rPr>
          <w:sz w:val="20"/>
          <w:szCs w:val="20"/>
        </w:rPr>
        <w:t xml:space="preserve"> elect the hindsight practical expedient, which perm</w:t>
      </w:r>
      <w:r>
        <w:rPr>
          <w:sz w:val="20"/>
          <w:szCs w:val="20"/>
        </w:rPr>
        <w:t>its entities to use hindsight in determining the lease term and assessing impairment.</w:t>
      </w:r>
    </w:p>
    <w:p w14:paraId="2A466D6C" w14:textId="77777777" w:rsidR="00000000" w:rsidRDefault="00527094">
      <w:pPr>
        <w:pStyle w:val="a3"/>
        <w:spacing w:before="0" w:beforeAutospacing="0" w:after="0" w:afterAutospacing="0"/>
        <w:ind w:firstLine="360"/>
        <w:jc w:val="both"/>
        <w:rPr>
          <w:sz w:val="20"/>
          <w:szCs w:val="20"/>
        </w:rPr>
      </w:pPr>
      <w:r>
        <w:rPr>
          <w:sz w:val="20"/>
          <w:szCs w:val="20"/>
        </w:rPr>
        <w:t> </w:t>
      </w:r>
    </w:p>
    <w:p w14:paraId="6AE09E66"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u w:val="single"/>
        </w:rPr>
        <w:t>Lessor</w:t>
      </w:r>
    </w:p>
    <w:p w14:paraId="4629AAE9"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478E9039"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In</w:t>
      </w:r>
      <w:r>
        <w:rPr>
          <w:rStyle w:val="a6"/>
          <w:i w:val="0"/>
          <w:iCs w:val="0"/>
          <w:sz w:val="20"/>
          <w:szCs w:val="20"/>
        </w:rPr>
        <w:t xml:space="preserve"> </w:t>
      </w:r>
      <w:r>
        <w:rPr>
          <w:rStyle w:val="a6"/>
          <w:i w:val="0"/>
          <w:iCs w:val="0"/>
          <w:sz w:val="20"/>
          <w:szCs w:val="20"/>
        </w:rPr>
        <w:t>July 2018,</w:t>
      </w:r>
      <w:r>
        <w:rPr>
          <w:rStyle w:val="a6"/>
          <w:i w:val="0"/>
          <w:iCs w:val="0"/>
          <w:sz w:val="20"/>
          <w:szCs w:val="20"/>
        </w:rPr>
        <w:t xml:space="preserve"> </w:t>
      </w:r>
      <w:r>
        <w:rPr>
          <w:rStyle w:val="a6"/>
          <w:i w:val="0"/>
          <w:iCs w:val="0"/>
          <w:sz w:val="20"/>
          <w:szCs w:val="20"/>
        </w:rPr>
        <w:t>the FASB issued guidance codified in 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11</w:t>
      </w:r>
      <w:r>
        <w:rPr>
          <w:rStyle w:val="a6"/>
          <w:i w:val="0"/>
          <w:iCs w:val="0"/>
          <w:sz w:val="20"/>
          <w:szCs w:val="20"/>
        </w:rPr>
        <w:t>,</w:t>
      </w:r>
      <w:r>
        <w:rPr>
          <w:rStyle w:val="a6"/>
          <w:i w:val="0"/>
          <w:iCs w:val="0"/>
          <w:sz w:val="20"/>
          <w:szCs w:val="20"/>
        </w:rPr>
        <w:t xml:space="preserve"> </w:t>
      </w:r>
      <w:r>
        <w:rPr>
          <w:rStyle w:val="a6"/>
          <w:i w:val="0"/>
          <w:iCs w:val="0"/>
          <w:sz w:val="20"/>
          <w:szCs w:val="20"/>
        </w:rPr>
        <w:t>Lease</w:t>
      </w:r>
      <w:r>
        <w:rPr>
          <w:rStyle w:val="a6"/>
          <w:i w:val="0"/>
          <w:iCs w:val="0"/>
          <w:sz w:val="20"/>
          <w:szCs w:val="20"/>
        </w:rPr>
        <w:t>s</w:t>
      </w:r>
      <w:r>
        <w:rPr>
          <w:rStyle w:val="a6"/>
          <w:i w:val="0"/>
          <w:iCs w:val="0"/>
          <w:sz w:val="20"/>
          <w:szCs w:val="20"/>
        </w:rPr>
        <w:t xml:space="preserve"> - Targeted Improvements (“ASU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11</w:t>
      </w:r>
      <w:r>
        <w:rPr>
          <w:rStyle w:val="a6"/>
          <w:i w:val="0"/>
          <w:iCs w:val="0"/>
          <w:sz w:val="20"/>
          <w:szCs w:val="20"/>
        </w:rPr>
        <w:t>”</w:t>
      </w:r>
      <w:r>
        <w:rPr>
          <w:rStyle w:val="a6"/>
          <w:i w:val="0"/>
          <w:iCs w:val="0"/>
          <w:sz w:val="20"/>
          <w:szCs w:val="20"/>
        </w:rPr>
        <w:t>). 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w:t>
      </w:r>
      <w:r>
        <w:rPr>
          <w:rStyle w:val="a6"/>
          <w:i w:val="0"/>
          <w:iCs w:val="0"/>
          <w:sz w:val="20"/>
          <w:szCs w:val="20"/>
        </w:rPr>
        <w:t>1</w:t>
      </w:r>
      <w:r>
        <w:rPr>
          <w:rStyle w:val="a6"/>
          <w:i w:val="0"/>
          <w:iCs w:val="0"/>
          <w:sz w:val="20"/>
          <w:szCs w:val="20"/>
        </w:rPr>
        <w:t xml:space="preserve"> provides a practical expedient, whi</w:t>
      </w:r>
      <w:r>
        <w:rPr>
          <w:rStyle w:val="a6"/>
          <w:i w:val="0"/>
          <w:iCs w:val="0"/>
          <w:sz w:val="20"/>
          <w:szCs w:val="20"/>
        </w:rPr>
        <w:t xml:space="preserve">ch allows lessors to combine non-lease components with the related lease components if (i) both the timing and pattern of transfer are the same for the non-lease component(s) and related lease component, and (ii) the lease component would be classified as </w:t>
      </w:r>
      <w:r>
        <w:rPr>
          <w:rStyle w:val="a6"/>
          <w:i w:val="0"/>
          <w:iCs w:val="0"/>
          <w:sz w:val="20"/>
          <w:szCs w:val="20"/>
        </w:rPr>
        <w:t>an operating lease if accounted for separately. The single combined component is accounted for under Topic</w:t>
      </w:r>
      <w:r>
        <w:rPr>
          <w:rStyle w:val="a6"/>
          <w:i w:val="0"/>
          <w:iCs w:val="0"/>
          <w:sz w:val="20"/>
          <w:szCs w:val="20"/>
        </w:rPr>
        <w:t xml:space="preserve"> </w:t>
      </w:r>
      <w:r>
        <w:rPr>
          <w:rStyle w:val="a6"/>
          <w:i w:val="0"/>
          <w:iCs w:val="0"/>
          <w:sz w:val="20"/>
          <w:szCs w:val="20"/>
        </w:rPr>
        <w:t>84</w:t>
      </w:r>
      <w:r>
        <w:rPr>
          <w:rStyle w:val="a6"/>
          <w:i w:val="0"/>
          <w:iCs w:val="0"/>
          <w:sz w:val="20"/>
          <w:szCs w:val="20"/>
        </w:rPr>
        <w:t>2</w:t>
      </w:r>
      <w:r>
        <w:rPr>
          <w:rStyle w:val="a6"/>
          <w:i w:val="0"/>
          <w:iCs w:val="0"/>
          <w:sz w:val="20"/>
          <w:szCs w:val="20"/>
        </w:rPr>
        <w:t xml:space="preserve"> if the lease component is the predominant component and is accounted for under Topic</w:t>
      </w:r>
      <w:r>
        <w:rPr>
          <w:rStyle w:val="a6"/>
          <w:i w:val="0"/>
          <w:iCs w:val="0"/>
          <w:sz w:val="20"/>
          <w:szCs w:val="20"/>
        </w:rPr>
        <w:t xml:space="preserve"> </w:t>
      </w:r>
      <w:r>
        <w:rPr>
          <w:rStyle w:val="a6"/>
          <w:i w:val="0"/>
          <w:iCs w:val="0"/>
          <w:sz w:val="20"/>
          <w:szCs w:val="20"/>
        </w:rPr>
        <w:t>60</w:t>
      </w:r>
      <w:r>
        <w:rPr>
          <w:rStyle w:val="a6"/>
          <w:i w:val="0"/>
          <w:iCs w:val="0"/>
          <w:sz w:val="20"/>
          <w:szCs w:val="20"/>
        </w:rPr>
        <w:t>6</w:t>
      </w:r>
      <w:r>
        <w:rPr>
          <w:rStyle w:val="a6"/>
          <w:i w:val="0"/>
          <w:iCs w:val="0"/>
          <w:sz w:val="20"/>
          <w:szCs w:val="20"/>
        </w:rPr>
        <w:t xml:space="preserve"> if the non-lease components are the predominant componen</w:t>
      </w:r>
      <w:r>
        <w:rPr>
          <w:rStyle w:val="a6"/>
          <w:i w:val="0"/>
          <w:iCs w:val="0"/>
          <w:sz w:val="20"/>
          <w:szCs w:val="20"/>
        </w:rPr>
        <w:t>ts. Lessors are permitted to apply the practical expedient to all existing leases on a retrospective or prospective basis. The Company elected the practical expedient to combine its lease and non-lease components that meet the defined criteria and will acc</w:t>
      </w:r>
      <w:r>
        <w:rPr>
          <w:rStyle w:val="a6"/>
          <w:i w:val="0"/>
          <w:iCs w:val="0"/>
          <w:sz w:val="20"/>
          <w:szCs w:val="20"/>
        </w:rPr>
        <w:t>ount for the combined lease component under Topic</w:t>
      </w:r>
      <w:r>
        <w:rPr>
          <w:rStyle w:val="a6"/>
          <w:i w:val="0"/>
          <w:iCs w:val="0"/>
          <w:sz w:val="20"/>
          <w:szCs w:val="20"/>
        </w:rPr>
        <w:t xml:space="preserve"> </w:t>
      </w:r>
      <w:r>
        <w:rPr>
          <w:rStyle w:val="a6"/>
          <w:i w:val="0"/>
          <w:iCs w:val="0"/>
          <w:sz w:val="20"/>
          <w:szCs w:val="20"/>
        </w:rPr>
        <w:t>84</w:t>
      </w:r>
      <w:r>
        <w:rPr>
          <w:rStyle w:val="a6"/>
          <w:i w:val="0"/>
          <w:iCs w:val="0"/>
          <w:sz w:val="20"/>
          <w:szCs w:val="20"/>
        </w:rPr>
        <w:t>2</w:t>
      </w:r>
      <w:r>
        <w:rPr>
          <w:rStyle w:val="a6"/>
          <w:i w:val="0"/>
          <w:iCs w:val="0"/>
          <w:sz w:val="20"/>
          <w:szCs w:val="20"/>
        </w:rPr>
        <w:t xml:space="preserve"> on a prospective basis.</w:t>
      </w:r>
    </w:p>
    <w:p w14:paraId="433FC3E8"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004B7606"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xml:space="preserve">As a lessor, the Company's recognition of rental revenue remained mainly consistent with previous guidance, apart from the narrower definition of initial direct costs that can </w:t>
      </w:r>
      <w:r>
        <w:rPr>
          <w:rStyle w:val="a6"/>
          <w:i w:val="0"/>
          <w:iCs w:val="0"/>
          <w:sz w:val="20"/>
          <w:szCs w:val="20"/>
        </w:rPr>
        <w:t>be capitalized. The new standard defines initial direct costs as only the incremental costs that would</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have been incurred if the lease had</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been obtained. Under Topic</w:t>
      </w:r>
      <w:r>
        <w:rPr>
          <w:rStyle w:val="a6"/>
          <w:i w:val="0"/>
          <w:iCs w:val="0"/>
          <w:sz w:val="20"/>
          <w:szCs w:val="20"/>
        </w:rPr>
        <w:t xml:space="preserve"> </w:t>
      </w:r>
      <w:r>
        <w:rPr>
          <w:rStyle w:val="a6"/>
          <w:i w:val="0"/>
          <w:iCs w:val="0"/>
          <w:sz w:val="20"/>
          <w:szCs w:val="20"/>
        </w:rPr>
        <w:t>84</w:t>
      </w:r>
      <w:r>
        <w:rPr>
          <w:rStyle w:val="a6"/>
          <w:i w:val="0"/>
          <w:iCs w:val="0"/>
          <w:sz w:val="20"/>
          <w:szCs w:val="20"/>
        </w:rPr>
        <w:t>2</w:t>
      </w:r>
      <w:r>
        <w:rPr>
          <w:rStyle w:val="a6"/>
          <w:i w:val="0"/>
          <w:iCs w:val="0"/>
          <w:sz w:val="20"/>
          <w:szCs w:val="20"/>
        </w:rPr>
        <w:t xml:space="preserve"> initial direct costs include commissions paid to</w:t>
      </w:r>
      <w:r>
        <w:rPr>
          <w:rStyle w:val="a6"/>
          <w:i w:val="0"/>
          <w:iCs w:val="0"/>
          <w:sz w:val="20"/>
          <w:szCs w:val="20"/>
        </w:rPr>
        <w:t xml:space="preserve"> </w:t>
      </w:r>
      <w:r>
        <w:rPr>
          <w:rStyle w:val="a6"/>
          <w:i w:val="0"/>
          <w:iCs w:val="0"/>
          <w:sz w:val="20"/>
          <w:szCs w:val="20"/>
        </w:rPr>
        <w:t>thir</w:t>
      </w:r>
      <w:r>
        <w:rPr>
          <w:rStyle w:val="a6"/>
          <w:i w:val="0"/>
          <w:iCs w:val="0"/>
          <w:sz w:val="20"/>
          <w:szCs w:val="20"/>
        </w:rPr>
        <w:t>d</w:t>
      </w:r>
      <w:r>
        <w:rPr>
          <w:rStyle w:val="a6"/>
          <w:i w:val="0"/>
          <w:iCs w:val="0"/>
          <w:sz w:val="20"/>
          <w:szCs w:val="20"/>
        </w:rPr>
        <w:t xml:space="preserve"> parties, including brok</w:t>
      </w:r>
      <w:r>
        <w:rPr>
          <w:rStyle w:val="a6"/>
          <w:i w:val="0"/>
          <w:iCs w:val="0"/>
          <w:sz w:val="20"/>
          <w:szCs w:val="20"/>
        </w:rPr>
        <w:t>ers, leasing and referral agents and internal leasing commissions paid to employees for successful execution of lease agreements. These initial direct costs are capitalized and generally amortized over the term of the related leases using the straight-line</w:t>
      </w:r>
      <w:r>
        <w:rPr>
          <w:rStyle w:val="a6"/>
          <w:i w:val="0"/>
          <w:iCs w:val="0"/>
          <w:sz w:val="20"/>
          <w:szCs w:val="20"/>
        </w:rPr>
        <w:t xml:space="preserve"> method. Internal employee compensation, payroll-related benefits and certain external legal fees are considered indirect costs associated with the execution of lease agreements and will</w:t>
      </w:r>
      <w:r>
        <w:rPr>
          <w:rStyle w:val="a6"/>
          <w:i w:val="0"/>
          <w:iCs w:val="0"/>
          <w:sz w:val="20"/>
          <w:szCs w:val="20"/>
        </w:rPr>
        <w:t xml:space="preserve"> </w:t>
      </w:r>
      <w:r>
        <w:rPr>
          <w:rStyle w:val="a6"/>
          <w:i w:val="0"/>
          <w:iCs w:val="0"/>
          <w:sz w:val="20"/>
          <w:szCs w:val="20"/>
        </w:rPr>
        <w:t>n</w:t>
      </w:r>
      <w:r>
        <w:rPr>
          <w:rStyle w:val="a6"/>
          <w:i w:val="0"/>
          <w:iCs w:val="0"/>
          <w:sz w:val="20"/>
          <w:szCs w:val="20"/>
        </w:rPr>
        <w:t>o</w:t>
      </w:r>
      <w:r>
        <w:rPr>
          <w:rStyle w:val="a6"/>
          <w:i w:val="0"/>
          <w:iCs w:val="0"/>
          <w:sz w:val="20"/>
          <w:szCs w:val="20"/>
        </w:rPr>
        <w:t xml:space="preserve"> longer be capitalized; these costs will be included in general and</w:t>
      </w:r>
      <w:r>
        <w:rPr>
          <w:rStyle w:val="a6"/>
          <w:i w:val="0"/>
          <w:iCs w:val="0"/>
          <w:sz w:val="20"/>
          <w:szCs w:val="20"/>
        </w:rPr>
        <w:t xml:space="preserve"> administrative expense. As a result of electing the package of practical expedients described above, existing leases and related initial direct costs have</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been reassessed prior to the effective date, and therefore, adoption of the lease standard did</w:t>
      </w:r>
      <w:r>
        <w:rPr>
          <w:rStyle w:val="a6"/>
          <w:i w:val="0"/>
          <w:iCs w:val="0"/>
          <w:sz w:val="20"/>
          <w:szCs w:val="20"/>
        </w:rPr>
        <w:t xml:space="preserve"> </w:t>
      </w:r>
      <w:r>
        <w:rPr>
          <w:rStyle w:val="a6"/>
          <w:i w:val="0"/>
          <w:iCs w:val="0"/>
          <w:sz w:val="20"/>
          <w:szCs w:val="20"/>
        </w:rPr>
        <w:t>n</w:t>
      </w:r>
      <w:r>
        <w:rPr>
          <w:rStyle w:val="a6"/>
          <w:i w:val="0"/>
          <w:iCs w:val="0"/>
          <w:sz w:val="20"/>
          <w:szCs w:val="20"/>
        </w:rPr>
        <w:t>o</w:t>
      </w:r>
      <w:r>
        <w:rPr>
          <w:rStyle w:val="a6"/>
          <w:i w:val="0"/>
          <w:iCs w:val="0"/>
          <w:sz w:val="20"/>
          <w:szCs w:val="20"/>
        </w:rPr>
        <w:t>t</w:t>
      </w:r>
      <w:r>
        <w:rPr>
          <w:rStyle w:val="a6"/>
          <w:i w:val="0"/>
          <w:iCs w:val="0"/>
          <w:sz w:val="20"/>
          <w:szCs w:val="20"/>
        </w:rPr>
        <w:t xml:space="preserve"> have an impact on the Company’s previously reported Condensed Consolidated Statements of Income for initial direct costs.</w:t>
      </w:r>
    </w:p>
    <w:p w14:paraId="69FB7661"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6EF95BE7" w14:textId="77777777" w:rsidR="00000000" w:rsidRDefault="00527094">
      <w:pPr>
        <w:jc w:val="center"/>
        <w:rPr>
          <w:rFonts w:eastAsia="Times New Roman"/>
          <w:sz w:val="20"/>
          <w:szCs w:val="20"/>
        </w:rPr>
      </w:pPr>
      <w:r>
        <w:rPr>
          <w:rFonts w:eastAsia="Times New Roman"/>
          <w:sz w:val="20"/>
          <w:szCs w:val="20"/>
        </w:rPr>
        <w:t xml:space="preserve">10 </w:t>
      </w:r>
    </w:p>
    <w:p w14:paraId="6F478E06" w14:textId="77777777" w:rsidR="00000000" w:rsidRDefault="00527094">
      <w:pPr>
        <w:rPr>
          <w:rFonts w:eastAsia="Times New Roman"/>
          <w:sz w:val="20"/>
          <w:szCs w:val="20"/>
        </w:rPr>
      </w:pPr>
      <w:r>
        <w:rPr>
          <w:rFonts w:eastAsia="Times New Roman"/>
          <w:sz w:val="20"/>
          <w:szCs w:val="20"/>
        </w:rPr>
        <w:pict w14:anchorId="63967975">
          <v:rect id="_x0000_i1038" style="width:0;height:1.5pt" o:hralign="center" o:hrstd="t" o:hr="t" fillcolor="#a0a0a0" stroked="f"/>
        </w:pict>
      </w:r>
    </w:p>
    <w:p w14:paraId="2720659B"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0E6B4AA" w14:textId="77777777" w:rsidR="00000000" w:rsidRDefault="00527094">
      <w:pPr>
        <w:pStyle w:val="a3"/>
        <w:spacing w:before="0" w:beforeAutospacing="0" w:after="0" w:afterAutospacing="0"/>
        <w:rPr>
          <w:sz w:val="20"/>
          <w:szCs w:val="20"/>
        </w:rPr>
      </w:pPr>
      <w:r>
        <w:rPr>
          <w:sz w:val="20"/>
          <w:szCs w:val="20"/>
        </w:rPr>
        <w:t> </w:t>
      </w:r>
    </w:p>
    <w:p w14:paraId="4DADB0ED"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u w:val="single"/>
        </w:rPr>
        <w:t>Lessee</w:t>
      </w:r>
    </w:p>
    <w:p w14:paraId="1B6965C4"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3571D8BC"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The Company’</w:t>
      </w:r>
      <w:r>
        <w:rPr>
          <w:rStyle w:val="a6"/>
          <w:i w:val="0"/>
          <w:iCs w:val="0"/>
          <w:sz w:val="20"/>
          <w:szCs w:val="20"/>
        </w:rPr>
        <w:t>s leases where it is the lessee primarily consist of ground leases and administrative office leases. ROU assets represent the Company’s right to use an underlying asset for the lease term and lease liabilities represent the Company’s obligation to make lea</w:t>
      </w:r>
      <w:r>
        <w:rPr>
          <w:rStyle w:val="a6"/>
          <w:i w:val="0"/>
          <w:iCs w:val="0"/>
          <w:sz w:val="20"/>
          <w:szCs w:val="20"/>
        </w:rPr>
        <w:t xml:space="preserve">se payments arising from the lease. ROU assets and lease liabilities are recognized at the commencement date of the lease and are based on the present value of lease payments over the lease term. The Company utilized an incremental borrowing rate based on </w:t>
      </w:r>
      <w:r>
        <w:rPr>
          <w:rStyle w:val="a6"/>
          <w:i w:val="0"/>
          <w:iCs w:val="0"/>
          <w:sz w:val="20"/>
          <w:szCs w:val="20"/>
        </w:rPr>
        <w:t>the information available at adoption of Topic</w:t>
      </w:r>
      <w:r>
        <w:rPr>
          <w:rStyle w:val="a6"/>
          <w:i w:val="0"/>
          <w:iCs w:val="0"/>
          <w:sz w:val="20"/>
          <w:szCs w:val="20"/>
        </w:rPr>
        <w:t xml:space="preserve"> </w:t>
      </w:r>
      <w:r>
        <w:rPr>
          <w:rStyle w:val="a6"/>
          <w:i w:val="0"/>
          <w:iCs w:val="0"/>
          <w:sz w:val="20"/>
          <w:szCs w:val="20"/>
        </w:rPr>
        <w:t>84</w:t>
      </w:r>
      <w:r>
        <w:rPr>
          <w:rStyle w:val="a6"/>
          <w:i w:val="0"/>
          <w:iCs w:val="0"/>
          <w:sz w:val="20"/>
          <w:szCs w:val="20"/>
        </w:rPr>
        <w:t>2</w:t>
      </w:r>
      <w:r>
        <w:rPr>
          <w:rStyle w:val="a6"/>
          <w:i w:val="0"/>
          <w:iCs w:val="0"/>
          <w:sz w:val="20"/>
          <w:szCs w:val="20"/>
        </w:rPr>
        <w:t xml:space="preserve"> in determining the present value of lease payments since these leases do</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provide an implicit rate. Variable lease payments are excluded from the lease liabilities and corresponding ROU assets, as they </w:t>
      </w:r>
      <w:r>
        <w:rPr>
          <w:rStyle w:val="a6"/>
          <w:i w:val="0"/>
          <w:iCs w:val="0"/>
          <w:sz w:val="20"/>
          <w:szCs w:val="20"/>
        </w:rPr>
        <w:t>are recognized in the period in which the obligation for those payments is incurred. Many of the Company’s lessee agreements include options to extend the lease, which it did</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include in its minimum lease terms unless they are reasonably certain to be e</w:t>
      </w:r>
      <w:r>
        <w:rPr>
          <w:rStyle w:val="a6"/>
          <w:i w:val="0"/>
          <w:iCs w:val="0"/>
          <w:sz w:val="20"/>
          <w:szCs w:val="20"/>
        </w:rPr>
        <w:t>xercised. Rental expense for lease payments related to operating leases is recognized on a straight-line basis over the lease term. Upon the adoption of Topic</w:t>
      </w:r>
      <w:r>
        <w:rPr>
          <w:rStyle w:val="a6"/>
          <w:i w:val="0"/>
          <w:iCs w:val="0"/>
          <w:sz w:val="20"/>
          <w:szCs w:val="20"/>
        </w:rPr>
        <w:t xml:space="preserve"> </w:t>
      </w:r>
      <w:r>
        <w:rPr>
          <w:rStyle w:val="a6"/>
          <w:i w:val="0"/>
          <w:iCs w:val="0"/>
          <w:sz w:val="20"/>
          <w:szCs w:val="20"/>
        </w:rPr>
        <w:t>842</w:t>
      </w:r>
      <w:r>
        <w:rPr>
          <w:rStyle w:val="a6"/>
          <w:i w:val="0"/>
          <w:iCs w:val="0"/>
          <w:sz w:val="20"/>
          <w:szCs w:val="20"/>
        </w:rPr>
        <w:t>,</w:t>
      </w:r>
      <w:r>
        <w:rPr>
          <w:rStyle w:val="a6"/>
          <w:i w:val="0"/>
          <w:iCs w:val="0"/>
          <w:sz w:val="20"/>
          <w:szCs w:val="20"/>
        </w:rPr>
        <w:t xml:space="preserve"> the Company recognized </w:t>
      </w:r>
      <w:r>
        <w:rPr>
          <w:sz w:val="20"/>
          <w:szCs w:val="20"/>
        </w:rPr>
        <w:t>$106.</w:t>
      </w:r>
      <w:r>
        <w:rPr>
          <w:sz w:val="20"/>
          <w:szCs w:val="20"/>
        </w:rPr>
        <w:t>0</w:t>
      </w:r>
      <w:r>
        <w:rPr>
          <w:rStyle w:val="a6"/>
          <w:i w:val="0"/>
          <w:iCs w:val="0"/>
          <w:sz w:val="20"/>
          <w:szCs w:val="20"/>
        </w:rPr>
        <w:t xml:space="preserve"> million of ROU assets, including net intangible assets of </w:t>
      </w:r>
      <w:r>
        <w:rPr>
          <w:sz w:val="20"/>
          <w:szCs w:val="20"/>
        </w:rPr>
        <w:t>$7.</w:t>
      </w:r>
      <w:r>
        <w:rPr>
          <w:sz w:val="20"/>
          <w:szCs w:val="20"/>
        </w:rPr>
        <w:t>3</w:t>
      </w:r>
      <w:r>
        <w:rPr>
          <w:rStyle w:val="a6"/>
          <w:i w:val="0"/>
          <w:iCs w:val="0"/>
          <w:sz w:val="20"/>
          <w:szCs w:val="20"/>
        </w:rPr>
        <w:t xml:space="preserve"> million, which were reclassified from Real estate, net to Operating lease right-of-use assets, net and </w:t>
      </w:r>
      <w:r>
        <w:rPr>
          <w:sz w:val="20"/>
          <w:szCs w:val="20"/>
        </w:rPr>
        <w:t>$98.</w:t>
      </w:r>
      <w:r>
        <w:rPr>
          <w:sz w:val="20"/>
          <w:szCs w:val="20"/>
        </w:rPr>
        <w:t>7</w:t>
      </w:r>
      <w:r>
        <w:rPr>
          <w:rStyle w:val="a6"/>
          <w:i w:val="0"/>
          <w:iCs w:val="0"/>
          <w:sz w:val="20"/>
          <w:szCs w:val="20"/>
        </w:rPr>
        <w:t xml:space="preserve"> million of corresponding Operating lease liabilities for its operating leases on the Company’s Condensed Consolidated Balance Sheets. See Footnote</w:t>
      </w:r>
      <w:r>
        <w:rPr>
          <w:rStyle w:val="a6"/>
          <w:i w:val="0"/>
          <w:iCs w:val="0"/>
          <w:sz w:val="20"/>
          <w:szCs w:val="20"/>
        </w:rPr>
        <w:t xml:space="preserve"> </w:t>
      </w:r>
      <w:r>
        <w:rPr>
          <w:rStyle w:val="a6"/>
          <w:i w:val="0"/>
          <w:iCs w:val="0"/>
          <w:sz w:val="20"/>
          <w:szCs w:val="20"/>
        </w:rPr>
        <w:t>7</w:t>
      </w:r>
      <w:r>
        <w:rPr>
          <w:rStyle w:val="a6"/>
          <w:i w:val="0"/>
          <w:iCs w:val="0"/>
          <w:sz w:val="20"/>
          <w:szCs w:val="20"/>
        </w:rPr>
        <w:t xml:space="preserve"> to the Notes to the Company’s Condensed Consolidated Financial Statements for further details.</w:t>
      </w:r>
    </w:p>
    <w:p w14:paraId="6B94778A" w14:textId="77777777" w:rsidR="00000000" w:rsidRDefault="00527094">
      <w:pPr>
        <w:pStyle w:val="a3"/>
        <w:spacing w:before="0" w:beforeAutospacing="0" w:after="0" w:afterAutospacing="0"/>
        <w:jc w:val="both"/>
        <w:rPr>
          <w:sz w:val="20"/>
          <w:szCs w:val="20"/>
        </w:rPr>
      </w:pPr>
      <w:r>
        <w:rPr>
          <w:sz w:val="20"/>
          <w:szCs w:val="20"/>
        </w:rPr>
        <w:t> </w:t>
      </w:r>
    </w:p>
    <w:p w14:paraId="39BAE1C5" w14:textId="77777777" w:rsidR="00000000" w:rsidRDefault="00527094">
      <w:pPr>
        <w:pStyle w:val="a3"/>
        <w:spacing w:before="0" w:beforeAutospacing="0" w:after="0" w:afterAutospacing="0"/>
        <w:jc w:val="both"/>
        <w:rPr>
          <w:sz w:val="20"/>
          <w:szCs w:val="20"/>
        </w:rPr>
      </w:pPr>
      <w:r>
        <w:rPr>
          <w:rStyle w:val="a6"/>
          <w:i w:val="0"/>
          <w:iCs w:val="0"/>
          <w:sz w:val="20"/>
          <w:szCs w:val="20"/>
        </w:rPr>
        <w:t>Reclassification</w:t>
      </w:r>
      <w:r>
        <w:rPr>
          <w:rStyle w:val="a6"/>
          <w:i w:val="0"/>
          <w:iCs w:val="0"/>
          <w:sz w:val="20"/>
          <w:szCs w:val="20"/>
        </w:rPr>
        <w:t>s</w:t>
      </w:r>
      <w:r>
        <w:rPr>
          <w:rStyle w:val="a6"/>
          <w:i w:val="0"/>
          <w:iCs w:val="0"/>
          <w:sz w:val="20"/>
          <w:szCs w:val="20"/>
        </w:rPr>
        <w:t xml:space="preserve"> -</w:t>
      </w:r>
    </w:p>
    <w:p w14:paraId="51740720"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6B42382E" w14:textId="77777777" w:rsidR="00000000" w:rsidRDefault="00527094">
      <w:pPr>
        <w:pStyle w:val="a3"/>
        <w:spacing w:before="0" w:beforeAutospacing="0" w:after="0" w:afterAutospacing="0"/>
        <w:jc w:val="both"/>
        <w:rPr>
          <w:sz w:val="20"/>
          <w:szCs w:val="20"/>
        </w:rPr>
      </w:pPr>
      <w:r>
        <w:rPr>
          <w:rStyle w:val="a6"/>
          <w:i w:val="0"/>
          <w:iCs w:val="0"/>
          <w:sz w:val="20"/>
          <w:szCs w:val="20"/>
        </w:rPr>
        <w:t>      Certain amounts in the prior period have been reclassified in order to conform to the current period’s presentation. In conjunct</w:t>
      </w:r>
      <w:r>
        <w:rPr>
          <w:rStyle w:val="a6"/>
          <w:i w:val="0"/>
          <w:iCs w:val="0"/>
          <w:sz w:val="20"/>
          <w:szCs w:val="20"/>
        </w:rPr>
        <w:t>ion with the adoption of Topic</w:t>
      </w:r>
      <w:r>
        <w:rPr>
          <w:rStyle w:val="a6"/>
          <w:i w:val="0"/>
          <w:iCs w:val="0"/>
          <w:sz w:val="20"/>
          <w:szCs w:val="20"/>
        </w:rPr>
        <w:t xml:space="preserve"> </w:t>
      </w:r>
      <w:r>
        <w:rPr>
          <w:rStyle w:val="a6"/>
          <w:i w:val="0"/>
          <w:iCs w:val="0"/>
          <w:sz w:val="20"/>
          <w:szCs w:val="20"/>
        </w:rPr>
        <w:t>84</w:t>
      </w:r>
      <w:r>
        <w:rPr>
          <w:rStyle w:val="a6"/>
          <w:i w:val="0"/>
          <w:iCs w:val="0"/>
          <w:sz w:val="20"/>
          <w:szCs w:val="20"/>
        </w:rPr>
        <w:t>2</w:t>
      </w:r>
      <w:r>
        <w:rPr>
          <w:rStyle w:val="a6"/>
          <w:i w:val="0"/>
          <w:iCs w:val="0"/>
          <w:sz w:val="20"/>
          <w:szCs w:val="20"/>
        </w:rPr>
        <w:t xml:space="preserve"> discussed above, the Company reclassified during the</w:t>
      </w:r>
      <w:r>
        <w:rPr>
          <w:rStyle w:val="a6"/>
          <w:i w:val="0"/>
          <w:iCs w:val="0"/>
          <w:sz w:val="20"/>
          <w:szCs w:val="20"/>
        </w:rPr>
        <w:t xml:space="preserve"> </w:t>
      </w:r>
      <w:r>
        <w:rPr>
          <w:rStyle w:val="a6"/>
          <w:i w:val="0"/>
          <w:iCs w:val="0"/>
          <w:sz w:val="20"/>
          <w:szCs w:val="20"/>
        </w:rPr>
        <w:t>thre</w:t>
      </w:r>
      <w:r>
        <w:rPr>
          <w:rStyle w:val="a6"/>
          <w:i w:val="0"/>
          <w:iCs w:val="0"/>
          <w:sz w:val="20"/>
          <w:szCs w:val="20"/>
        </w:rPr>
        <w:t>e</w:t>
      </w:r>
      <w:r>
        <w:rPr>
          <w:rStyle w:val="a6"/>
          <w:i w:val="0"/>
          <w:iCs w:val="0"/>
          <w:sz w:val="20"/>
          <w:szCs w:val="20"/>
        </w:rPr>
        <w:t xml:space="preserve"> and</w:t>
      </w:r>
      <w:r>
        <w:rPr>
          <w:rStyle w:val="a6"/>
          <w:i w:val="0"/>
          <w:iCs w:val="0"/>
          <w:sz w:val="20"/>
          <w:szCs w:val="20"/>
        </w:rPr>
        <w:t xml:space="preserve"> </w:t>
      </w:r>
      <w:r>
        <w:rPr>
          <w:rStyle w:val="a6"/>
          <w:i w:val="0"/>
          <w:iCs w:val="0"/>
          <w:sz w:val="20"/>
          <w:szCs w:val="20"/>
        </w:rPr>
        <w:t>si</w:t>
      </w:r>
      <w:r>
        <w:rPr>
          <w:rStyle w:val="a6"/>
          <w:i w:val="0"/>
          <w:iCs w:val="0"/>
          <w:sz w:val="20"/>
          <w:szCs w:val="20"/>
        </w:rPr>
        <w:t>x</w:t>
      </w:r>
      <w:r>
        <w:rPr>
          <w:rStyle w:val="a6"/>
          <w:i w:val="0"/>
          <w:iCs w:val="0"/>
          <w:sz w:val="20"/>
          <w:szCs w:val="20"/>
        </w:rPr>
        <w:t xml:space="preserve"> months ended</w:t>
      </w:r>
      <w:r>
        <w:rPr>
          <w:rStyle w:val="a6"/>
          <w:i w:val="0"/>
          <w:iCs w:val="0"/>
          <w:sz w:val="20"/>
          <w:szCs w:val="20"/>
        </w:rPr>
        <w:t xml:space="preserve"> </w:t>
      </w:r>
      <w:r>
        <w:rPr>
          <w:rStyle w:val="a6"/>
          <w:i w:val="0"/>
          <w:iCs w:val="0"/>
          <w:sz w:val="20"/>
          <w:szCs w:val="20"/>
        </w:rPr>
        <w:t xml:space="preserve">June 30, 2018: </w:t>
      </w:r>
      <w:r>
        <w:rPr>
          <w:rStyle w:val="a6"/>
          <w:i w:val="0"/>
          <w:iCs w:val="0"/>
          <w:sz w:val="20"/>
          <w:szCs w:val="20"/>
        </w:rPr>
        <w:t>(</w:t>
      </w:r>
      <w:r>
        <w:rPr>
          <w:rStyle w:val="a6"/>
          <w:i w:val="0"/>
          <w:iCs w:val="0"/>
          <w:sz w:val="20"/>
          <w:szCs w:val="20"/>
        </w:rPr>
        <w:t xml:space="preserve">i) </w:t>
      </w:r>
      <w:r>
        <w:rPr>
          <w:sz w:val="20"/>
          <w:szCs w:val="20"/>
        </w:rPr>
        <w:t>$61.</w:t>
      </w:r>
      <w:r>
        <w:rPr>
          <w:sz w:val="20"/>
          <w:szCs w:val="20"/>
        </w:rPr>
        <w:t>2</w:t>
      </w:r>
      <w:r>
        <w:rPr>
          <w:rStyle w:val="a6"/>
          <w:i w:val="0"/>
          <w:iCs w:val="0"/>
          <w:sz w:val="20"/>
          <w:szCs w:val="20"/>
        </w:rPr>
        <w:t xml:space="preserve"> million and </w:t>
      </w:r>
      <w:r>
        <w:rPr>
          <w:sz w:val="20"/>
          <w:szCs w:val="20"/>
        </w:rPr>
        <w:t>$124.</w:t>
      </w:r>
      <w:r>
        <w:rPr>
          <w:sz w:val="20"/>
          <w:szCs w:val="20"/>
        </w:rPr>
        <w:t>9</w:t>
      </w:r>
      <w:r>
        <w:rPr>
          <w:rStyle w:val="a6"/>
          <w:i w:val="0"/>
          <w:iCs w:val="0"/>
          <w:sz w:val="20"/>
          <w:szCs w:val="20"/>
        </w:rPr>
        <w:t xml:space="preserve"> million of Reimbursement income, respectively, and (ii) </w:t>
      </w:r>
      <w:r>
        <w:rPr>
          <w:sz w:val="20"/>
          <w:szCs w:val="20"/>
        </w:rPr>
        <w:t>$5.</w:t>
      </w:r>
      <w:r>
        <w:rPr>
          <w:sz w:val="20"/>
          <w:szCs w:val="20"/>
        </w:rPr>
        <w:t>5</w:t>
      </w:r>
      <w:r>
        <w:rPr>
          <w:rStyle w:val="a6"/>
          <w:i w:val="0"/>
          <w:iCs w:val="0"/>
          <w:sz w:val="20"/>
          <w:szCs w:val="20"/>
        </w:rPr>
        <w:t xml:space="preserve"> million and </w:t>
      </w:r>
      <w:r>
        <w:rPr>
          <w:sz w:val="20"/>
          <w:szCs w:val="20"/>
        </w:rPr>
        <w:t>$11.</w:t>
      </w:r>
      <w:r>
        <w:rPr>
          <w:sz w:val="20"/>
          <w:szCs w:val="20"/>
        </w:rPr>
        <w:t>1</w:t>
      </w:r>
      <w:r>
        <w:rPr>
          <w:rStyle w:val="a6"/>
          <w:i w:val="0"/>
          <w:iCs w:val="0"/>
          <w:sz w:val="20"/>
          <w:szCs w:val="20"/>
        </w:rPr>
        <w:t xml:space="preserve"> million of Other r</w:t>
      </w:r>
      <w:r>
        <w:rPr>
          <w:rStyle w:val="a6"/>
          <w:i w:val="0"/>
          <w:iCs w:val="0"/>
          <w:sz w:val="20"/>
          <w:szCs w:val="20"/>
        </w:rPr>
        <w:t>ental property income, respectively, to Revenues from rental properties, net on the Company’s Condensed Consolidated Statement of Income. The reclassification is solely for comparative purposes as the Company has</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elected to adopt Topic</w:t>
      </w:r>
      <w:r>
        <w:rPr>
          <w:rStyle w:val="a6"/>
          <w:i w:val="0"/>
          <w:iCs w:val="0"/>
          <w:sz w:val="20"/>
          <w:szCs w:val="20"/>
        </w:rPr>
        <w:t xml:space="preserve"> </w:t>
      </w:r>
      <w:r>
        <w:rPr>
          <w:rStyle w:val="a6"/>
          <w:i w:val="0"/>
          <w:iCs w:val="0"/>
          <w:sz w:val="20"/>
          <w:szCs w:val="20"/>
        </w:rPr>
        <w:t>84</w:t>
      </w:r>
      <w:r>
        <w:rPr>
          <w:rStyle w:val="a6"/>
          <w:i w:val="0"/>
          <w:iCs w:val="0"/>
          <w:sz w:val="20"/>
          <w:szCs w:val="20"/>
        </w:rPr>
        <w:t>2</w:t>
      </w:r>
      <w:r>
        <w:rPr>
          <w:rStyle w:val="a6"/>
          <w:i w:val="0"/>
          <w:iCs w:val="0"/>
          <w:sz w:val="20"/>
          <w:szCs w:val="20"/>
        </w:rPr>
        <w:t xml:space="preserve"> retrospectiv</w:t>
      </w:r>
      <w:r>
        <w:rPr>
          <w:rStyle w:val="a6"/>
          <w:i w:val="0"/>
          <w:iCs w:val="0"/>
          <w:sz w:val="20"/>
          <w:szCs w:val="20"/>
        </w:rPr>
        <w:t>ely.</w:t>
      </w:r>
    </w:p>
    <w:p w14:paraId="66722994" w14:textId="77777777" w:rsidR="00000000" w:rsidRDefault="00527094">
      <w:pPr>
        <w:pStyle w:val="a3"/>
        <w:spacing w:before="0" w:beforeAutospacing="0" w:after="0" w:afterAutospacing="0"/>
        <w:jc w:val="both"/>
        <w:rPr>
          <w:sz w:val="20"/>
          <w:szCs w:val="20"/>
        </w:rPr>
      </w:pPr>
      <w:r>
        <w:rPr>
          <w:sz w:val="20"/>
          <w:szCs w:val="20"/>
        </w:rPr>
        <w:t> </w:t>
      </w:r>
    </w:p>
    <w:p w14:paraId="44B2101F" w14:textId="77777777" w:rsidR="00000000" w:rsidRDefault="00527094">
      <w:pPr>
        <w:pStyle w:val="a3"/>
        <w:spacing w:before="0" w:beforeAutospacing="0" w:after="0" w:afterAutospacing="0"/>
        <w:jc w:val="both"/>
        <w:rPr>
          <w:sz w:val="20"/>
          <w:szCs w:val="20"/>
        </w:rPr>
      </w:pPr>
      <w:r>
        <w:rPr>
          <w:rStyle w:val="a6"/>
          <w:i w:val="0"/>
          <w:iCs w:val="0"/>
          <w:sz w:val="20"/>
          <w:szCs w:val="20"/>
        </w:rPr>
        <w:t>Subsequent Events -</w:t>
      </w:r>
    </w:p>
    <w:p w14:paraId="7E214AAD"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5E3AD1BF"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The Company has evaluated subsequent events and transactions for potential recognition or disclosure in its condensed consolidated financial statements.</w:t>
      </w:r>
    </w:p>
    <w:p w14:paraId="118D72D1" w14:textId="77777777" w:rsidR="00000000" w:rsidRDefault="00527094">
      <w:pPr>
        <w:pStyle w:val="a3"/>
        <w:spacing w:before="0" w:beforeAutospacing="0" w:after="0" w:afterAutospacing="0"/>
        <w:jc w:val="both"/>
        <w:rPr>
          <w:sz w:val="20"/>
          <w:szCs w:val="20"/>
        </w:rPr>
      </w:pPr>
      <w:r>
        <w:rPr>
          <w:sz w:val="20"/>
          <w:szCs w:val="20"/>
        </w:rPr>
        <w:t> </w:t>
      </w:r>
    </w:p>
    <w:p w14:paraId="7A7A7B03" w14:textId="77777777" w:rsidR="00000000" w:rsidRDefault="00527094">
      <w:pPr>
        <w:pStyle w:val="a3"/>
        <w:spacing w:before="0" w:beforeAutospacing="0" w:after="0" w:afterAutospacing="0"/>
        <w:rPr>
          <w:sz w:val="20"/>
          <w:szCs w:val="20"/>
        </w:rPr>
      </w:pPr>
      <w:r>
        <w:rPr>
          <w:rStyle w:val="a6"/>
          <w:i w:val="0"/>
          <w:iCs w:val="0"/>
          <w:sz w:val="20"/>
          <w:szCs w:val="20"/>
        </w:rPr>
        <w:t>New Accounting Pronouncements</w:t>
      </w:r>
      <w:r>
        <w:rPr>
          <w:rStyle w:val="a6"/>
          <w:i w:val="0"/>
          <w:iCs w:val="0"/>
          <w:sz w:val="20"/>
          <w:szCs w:val="20"/>
        </w:rPr>
        <w:t xml:space="preserve"> </w:t>
      </w:r>
      <w:r>
        <w:rPr>
          <w:rStyle w:val="a6"/>
          <w:i w:val="0"/>
          <w:iCs w:val="0"/>
          <w:sz w:val="20"/>
          <w:szCs w:val="20"/>
        </w:rPr>
        <w:t>-</w:t>
      </w:r>
    </w:p>
    <w:p w14:paraId="47CE200B" w14:textId="77777777" w:rsidR="00000000" w:rsidRDefault="00527094">
      <w:pPr>
        <w:pStyle w:val="a3"/>
        <w:spacing w:before="0" w:beforeAutospacing="0" w:after="0" w:afterAutospacing="0"/>
        <w:rPr>
          <w:sz w:val="20"/>
          <w:szCs w:val="20"/>
        </w:rPr>
      </w:pPr>
      <w:r>
        <w:rPr>
          <w:rStyle w:val="a6"/>
          <w:i w:val="0"/>
          <w:iCs w:val="0"/>
          <w:sz w:val="20"/>
          <w:szCs w:val="20"/>
        </w:rPr>
        <w:t> </w:t>
      </w:r>
    </w:p>
    <w:p w14:paraId="49B02CDF" w14:textId="77777777" w:rsidR="00000000" w:rsidRDefault="00527094">
      <w:pPr>
        <w:pStyle w:val="a3"/>
        <w:spacing w:before="0" w:beforeAutospacing="0" w:after="0" w:afterAutospacing="0"/>
        <w:jc w:val="both"/>
        <w:rPr>
          <w:sz w:val="20"/>
          <w:szCs w:val="20"/>
        </w:rPr>
      </w:pPr>
      <w:r>
        <w:rPr>
          <w:rStyle w:val="a6"/>
          <w:i w:val="0"/>
          <w:iCs w:val="0"/>
          <w:sz w:val="20"/>
          <w:szCs w:val="20"/>
        </w:rPr>
        <w:t xml:space="preserve">       The following table represents ASUs to the FASB’s ASC that, </w:t>
      </w:r>
      <w:r>
        <w:rPr>
          <w:rStyle w:val="a6"/>
          <w:i w:val="0"/>
          <w:iCs w:val="0"/>
          <w:sz w:val="20"/>
          <w:szCs w:val="20"/>
        </w:rPr>
        <w:t>as of</w:t>
      </w:r>
      <w:r>
        <w:rPr>
          <w:rStyle w:val="a6"/>
          <w:i w:val="0"/>
          <w:iCs w:val="0"/>
          <w:sz w:val="20"/>
          <w:szCs w:val="20"/>
        </w:rPr>
        <w:t xml:space="preserve"> </w:t>
      </w:r>
      <w:r>
        <w:rPr>
          <w:rStyle w:val="a6"/>
          <w:i w:val="0"/>
          <w:iCs w:val="0"/>
          <w:sz w:val="20"/>
          <w:szCs w:val="20"/>
        </w:rPr>
        <w:t>June 30, 2019,</w:t>
      </w:r>
      <w:r>
        <w:rPr>
          <w:rStyle w:val="a6"/>
          <w:i w:val="0"/>
          <w:iCs w:val="0"/>
          <w:sz w:val="20"/>
          <w:szCs w:val="20"/>
        </w:rPr>
        <w:t xml:space="preserve"> </w:t>
      </w:r>
      <w:r>
        <w:rPr>
          <w:rStyle w:val="a6"/>
          <w:i w:val="0"/>
          <w:iCs w:val="0"/>
          <w:sz w:val="20"/>
          <w:szCs w:val="20"/>
        </w:rPr>
        <w:t>are</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yet effective for the Company and for which the Company has</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elected early adoption, where permitted:</w:t>
      </w:r>
    </w:p>
    <w:p w14:paraId="06B64FEA" w14:textId="77777777" w:rsidR="00000000" w:rsidRDefault="00527094">
      <w:pPr>
        <w:pStyle w:val="a3"/>
        <w:spacing w:before="0" w:beforeAutospacing="0" w:after="0" w:afterAutospacing="0"/>
        <w:jc w:val="both"/>
        <w:rPr>
          <w:sz w:val="20"/>
          <w:szCs w:val="20"/>
        </w:rPr>
      </w:pPr>
      <w:r>
        <w:rPr>
          <w:rStyle w:val="a6"/>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25"/>
        <w:gridCol w:w="3532"/>
        <w:gridCol w:w="917"/>
        <w:gridCol w:w="1816"/>
      </w:tblGrid>
      <w:tr w:rsidR="00000000" w14:paraId="001BEAF8" w14:textId="77777777">
        <w:trPr>
          <w:tblCellSpacing w:w="0" w:type="dxa"/>
        </w:trPr>
        <w:tc>
          <w:tcPr>
            <w:tcW w:w="1120" w:type="pct"/>
            <w:tcBorders>
              <w:top w:val="single" w:sz="6" w:space="0" w:color="000000"/>
              <w:left w:val="single" w:sz="6" w:space="0" w:color="000000"/>
              <w:bottom w:val="single" w:sz="6" w:space="0" w:color="000000"/>
              <w:right w:val="single" w:sz="6" w:space="0" w:color="000000"/>
            </w:tcBorders>
            <w:vAlign w:val="bottom"/>
            <w:hideMark/>
          </w:tcPr>
          <w:p w14:paraId="1B2482E0" w14:textId="77777777" w:rsidR="00000000" w:rsidRDefault="00527094">
            <w:pPr>
              <w:pStyle w:val="a3"/>
              <w:spacing w:before="0" w:beforeAutospacing="0" w:after="0" w:afterAutospacing="0"/>
              <w:jc w:val="center"/>
              <w:rPr>
                <w:sz w:val="20"/>
                <w:szCs w:val="20"/>
              </w:rPr>
            </w:pPr>
            <w:r>
              <w:rPr>
                <w:rStyle w:val="a6"/>
                <w:b/>
                <w:bCs/>
                <w:i w:val="0"/>
                <w:iCs w:val="0"/>
                <w:sz w:val="20"/>
                <w:szCs w:val="20"/>
              </w:rPr>
              <w:t>ASU</w:t>
            </w:r>
          </w:p>
        </w:tc>
        <w:tc>
          <w:tcPr>
            <w:tcW w:w="2190" w:type="pct"/>
            <w:tcBorders>
              <w:top w:val="single" w:sz="6" w:space="0" w:color="000000"/>
              <w:bottom w:val="single" w:sz="6" w:space="0" w:color="000000"/>
              <w:right w:val="single" w:sz="6" w:space="0" w:color="000000"/>
            </w:tcBorders>
            <w:vAlign w:val="bottom"/>
            <w:hideMark/>
          </w:tcPr>
          <w:p w14:paraId="62BD8E0F" w14:textId="77777777" w:rsidR="00000000" w:rsidRDefault="00527094">
            <w:pPr>
              <w:pStyle w:val="a3"/>
              <w:spacing w:before="0" w:beforeAutospacing="0" w:after="0" w:afterAutospacing="0"/>
              <w:jc w:val="center"/>
              <w:rPr>
                <w:sz w:val="20"/>
                <w:szCs w:val="20"/>
              </w:rPr>
            </w:pPr>
            <w:r>
              <w:rPr>
                <w:rStyle w:val="a6"/>
                <w:b/>
                <w:bCs/>
                <w:i w:val="0"/>
                <w:iCs w:val="0"/>
                <w:sz w:val="20"/>
                <w:szCs w:val="20"/>
              </w:rPr>
              <w:t>Description</w:t>
            </w:r>
          </w:p>
        </w:tc>
        <w:tc>
          <w:tcPr>
            <w:tcW w:w="535" w:type="pct"/>
            <w:tcBorders>
              <w:top w:val="single" w:sz="6" w:space="0" w:color="000000"/>
              <w:bottom w:val="single" w:sz="6" w:space="0" w:color="000000"/>
            </w:tcBorders>
            <w:vAlign w:val="bottom"/>
            <w:hideMark/>
          </w:tcPr>
          <w:p w14:paraId="1CFFC89E" w14:textId="77777777" w:rsidR="00000000" w:rsidRDefault="00527094">
            <w:pPr>
              <w:pStyle w:val="a3"/>
              <w:spacing w:before="0" w:beforeAutospacing="0" w:after="0" w:afterAutospacing="0"/>
              <w:jc w:val="center"/>
              <w:rPr>
                <w:sz w:val="20"/>
                <w:szCs w:val="20"/>
              </w:rPr>
            </w:pPr>
            <w:r>
              <w:rPr>
                <w:rStyle w:val="a6"/>
                <w:b/>
                <w:bCs/>
                <w:i w:val="0"/>
                <w:iCs w:val="0"/>
                <w:sz w:val="20"/>
                <w:szCs w:val="20"/>
              </w:rPr>
              <w:t xml:space="preserve">Effective </w:t>
            </w:r>
          </w:p>
          <w:p w14:paraId="1BC00FD8" w14:textId="77777777" w:rsidR="00000000" w:rsidRDefault="00527094">
            <w:pPr>
              <w:pStyle w:val="a3"/>
              <w:spacing w:before="0" w:beforeAutospacing="0" w:after="0" w:afterAutospacing="0"/>
              <w:jc w:val="center"/>
              <w:rPr>
                <w:sz w:val="20"/>
                <w:szCs w:val="20"/>
              </w:rPr>
            </w:pPr>
            <w:r>
              <w:rPr>
                <w:rStyle w:val="a6"/>
                <w:b/>
                <w:bCs/>
                <w:i w:val="0"/>
                <w:iCs w:val="0"/>
                <w:sz w:val="20"/>
                <w:szCs w:val="20"/>
              </w:rPr>
              <w:t>Date</w:t>
            </w:r>
          </w:p>
        </w:tc>
        <w:tc>
          <w:tcPr>
            <w:tcW w:w="1160" w:type="pct"/>
            <w:tcBorders>
              <w:top w:val="single" w:sz="6" w:space="0" w:color="000000"/>
              <w:left w:val="single" w:sz="6" w:space="0" w:color="000000"/>
              <w:bottom w:val="single" w:sz="6" w:space="0" w:color="000000"/>
              <w:right w:val="single" w:sz="6" w:space="0" w:color="000000"/>
            </w:tcBorders>
            <w:vAlign w:val="bottom"/>
            <w:hideMark/>
          </w:tcPr>
          <w:p w14:paraId="322C9F05" w14:textId="77777777" w:rsidR="00000000" w:rsidRDefault="00527094">
            <w:pPr>
              <w:pStyle w:val="a3"/>
              <w:spacing w:before="0" w:beforeAutospacing="0" w:after="0" w:afterAutospacing="0"/>
              <w:jc w:val="center"/>
              <w:rPr>
                <w:sz w:val="20"/>
                <w:szCs w:val="20"/>
              </w:rPr>
            </w:pPr>
            <w:r>
              <w:rPr>
                <w:rStyle w:val="a6"/>
                <w:b/>
                <w:bCs/>
                <w:i w:val="0"/>
                <w:iCs w:val="0"/>
                <w:sz w:val="20"/>
                <w:szCs w:val="20"/>
              </w:rPr>
              <w:t xml:space="preserve">Effect on the financial </w:t>
            </w:r>
          </w:p>
          <w:p w14:paraId="74DD5C94" w14:textId="77777777" w:rsidR="00000000" w:rsidRDefault="00527094">
            <w:pPr>
              <w:pStyle w:val="a3"/>
              <w:spacing w:before="0" w:beforeAutospacing="0" w:after="0" w:afterAutospacing="0"/>
              <w:jc w:val="center"/>
              <w:rPr>
                <w:sz w:val="20"/>
                <w:szCs w:val="20"/>
              </w:rPr>
            </w:pPr>
            <w:r>
              <w:rPr>
                <w:rStyle w:val="a6"/>
                <w:b/>
                <w:bCs/>
                <w:i w:val="0"/>
                <w:iCs w:val="0"/>
                <w:sz w:val="20"/>
                <w:szCs w:val="20"/>
              </w:rPr>
              <w:t>statements or other significant</w:t>
            </w:r>
          </w:p>
          <w:p w14:paraId="6B358AD5" w14:textId="77777777" w:rsidR="00000000" w:rsidRDefault="00527094">
            <w:pPr>
              <w:pStyle w:val="a3"/>
              <w:spacing w:before="0" w:beforeAutospacing="0" w:after="0" w:afterAutospacing="0"/>
              <w:jc w:val="center"/>
              <w:rPr>
                <w:sz w:val="20"/>
                <w:szCs w:val="20"/>
              </w:rPr>
            </w:pPr>
            <w:r>
              <w:rPr>
                <w:rStyle w:val="a6"/>
                <w:b/>
                <w:bCs/>
                <w:i w:val="0"/>
                <w:iCs w:val="0"/>
                <w:sz w:val="20"/>
                <w:szCs w:val="20"/>
              </w:rPr>
              <w:t>matters</w:t>
            </w:r>
          </w:p>
        </w:tc>
      </w:tr>
      <w:tr w:rsidR="00000000" w14:paraId="4D7428D3" w14:textId="77777777">
        <w:trPr>
          <w:tblCellSpacing w:w="0" w:type="dxa"/>
        </w:trPr>
        <w:tc>
          <w:tcPr>
            <w:tcW w:w="1100" w:type="pct"/>
            <w:tcBorders>
              <w:left w:val="single" w:sz="6" w:space="0" w:color="000000"/>
              <w:bottom w:val="single" w:sz="6" w:space="0" w:color="000000"/>
              <w:right w:val="single" w:sz="6" w:space="0" w:color="000000"/>
            </w:tcBorders>
            <w:shd w:val="clear" w:color="auto" w:fill="CCEEFF"/>
            <w:tcMar>
              <w:top w:w="0" w:type="dxa"/>
              <w:left w:w="75" w:type="dxa"/>
              <w:bottom w:w="0" w:type="dxa"/>
              <w:right w:w="75" w:type="dxa"/>
            </w:tcMar>
            <w:hideMark/>
          </w:tcPr>
          <w:p w14:paraId="4A11DAA0" w14:textId="77777777" w:rsidR="00000000" w:rsidRDefault="00527094">
            <w:pPr>
              <w:pStyle w:val="a3"/>
              <w:spacing w:before="0" w:beforeAutospacing="0" w:after="0" w:afterAutospacing="0"/>
              <w:rPr>
                <w:sz w:val="20"/>
                <w:szCs w:val="20"/>
              </w:rPr>
            </w:pPr>
            <w:r>
              <w:rPr>
                <w:rStyle w:val="a6"/>
                <w:i w:val="0"/>
                <w:iCs w:val="0"/>
                <w:sz w:val="20"/>
                <w:szCs w:val="20"/>
              </w:rPr>
              <w:t>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17</w:t>
            </w:r>
            <w:r>
              <w:rPr>
                <w:rStyle w:val="a6"/>
                <w:i w:val="0"/>
                <w:iCs w:val="0"/>
                <w:sz w:val="20"/>
                <w:szCs w:val="20"/>
              </w:rPr>
              <w:t>,</w:t>
            </w:r>
            <w:r>
              <w:rPr>
                <w:rStyle w:val="a6"/>
                <w:i w:val="0"/>
                <w:iCs w:val="0"/>
                <w:sz w:val="20"/>
                <w:szCs w:val="20"/>
              </w:rPr>
              <w:t xml:space="preserve"> Consolida</w:t>
            </w:r>
            <w:r>
              <w:rPr>
                <w:rStyle w:val="a6"/>
                <w:i w:val="0"/>
                <w:iCs w:val="0"/>
                <w:sz w:val="20"/>
                <w:szCs w:val="20"/>
              </w:rPr>
              <w:t>tion (Topic</w:t>
            </w:r>
            <w:r>
              <w:rPr>
                <w:rStyle w:val="a6"/>
                <w:i w:val="0"/>
                <w:iCs w:val="0"/>
                <w:sz w:val="20"/>
                <w:szCs w:val="20"/>
              </w:rPr>
              <w:t xml:space="preserve"> </w:t>
            </w:r>
            <w:r>
              <w:rPr>
                <w:rStyle w:val="a6"/>
                <w:i w:val="0"/>
                <w:iCs w:val="0"/>
                <w:sz w:val="20"/>
                <w:szCs w:val="20"/>
              </w:rPr>
              <w:t>81</w:t>
            </w:r>
            <w:r>
              <w:rPr>
                <w:rStyle w:val="a6"/>
                <w:i w:val="0"/>
                <w:iCs w:val="0"/>
                <w:sz w:val="20"/>
                <w:szCs w:val="20"/>
              </w:rPr>
              <w:t>0</w:t>
            </w:r>
            <w:r>
              <w:rPr>
                <w:rStyle w:val="a6"/>
                <w:i w:val="0"/>
                <w:iCs w:val="0"/>
                <w:sz w:val="20"/>
                <w:szCs w:val="20"/>
              </w:rPr>
              <w:t>) – Targeted Improvements to Related Party Guidance for Variable Interest Entities</w:t>
            </w:r>
          </w:p>
        </w:tc>
        <w:tc>
          <w:tcPr>
            <w:tcW w:w="2190" w:type="pct"/>
            <w:tcBorders>
              <w:bottom w:val="single" w:sz="6" w:space="0" w:color="000000"/>
              <w:right w:val="single" w:sz="6" w:space="0" w:color="000000"/>
            </w:tcBorders>
            <w:shd w:val="clear" w:color="auto" w:fill="CCEEFF"/>
            <w:tcMar>
              <w:top w:w="0" w:type="dxa"/>
              <w:left w:w="75" w:type="dxa"/>
              <w:bottom w:w="0" w:type="dxa"/>
              <w:right w:w="75" w:type="dxa"/>
            </w:tcMar>
            <w:hideMark/>
          </w:tcPr>
          <w:p w14:paraId="29FCFE40" w14:textId="77777777" w:rsidR="00000000" w:rsidRDefault="00527094">
            <w:pPr>
              <w:pStyle w:val="a3"/>
              <w:spacing w:before="0" w:beforeAutospacing="0" w:after="0" w:afterAutospacing="0"/>
              <w:jc w:val="both"/>
              <w:rPr>
                <w:sz w:val="20"/>
                <w:szCs w:val="20"/>
              </w:rPr>
            </w:pPr>
            <w:r>
              <w:rPr>
                <w:rStyle w:val="a6"/>
                <w:i w:val="0"/>
                <w:iCs w:val="0"/>
                <w:sz w:val="20"/>
                <w:szCs w:val="20"/>
              </w:rPr>
              <w:t>The amendment to Topic</w:t>
            </w:r>
            <w:r>
              <w:rPr>
                <w:rStyle w:val="a6"/>
                <w:i w:val="0"/>
                <w:iCs w:val="0"/>
                <w:sz w:val="20"/>
                <w:szCs w:val="20"/>
              </w:rPr>
              <w:t xml:space="preserve"> </w:t>
            </w:r>
            <w:r>
              <w:rPr>
                <w:rStyle w:val="a6"/>
                <w:i w:val="0"/>
                <w:iCs w:val="0"/>
                <w:sz w:val="20"/>
                <w:szCs w:val="20"/>
              </w:rPr>
              <w:t>81</w:t>
            </w:r>
            <w:r>
              <w:rPr>
                <w:rStyle w:val="a6"/>
                <w:i w:val="0"/>
                <w:iCs w:val="0"/>
                <w:sz w:val="20"/>
                <w:szCs w:val="20"/>
              </w:rPr>
              <w:t>0</w:t>
            </w:r>
            <w:r>
              <w:rPr>
                <w:rStyle w:val="a6"/>
                <w:i w:val="0"/>
                <w:iCs w:val="0"/>
                <w:sz w:val="20"/>
                <w:szCs w:val="20"/>
              </w:rPr>
              <w:t xml:space="preserve"> clarifies the following areas:</w:t>
            </w:r>
          </w:p>
          <w:p w14:paraId="69B2A21B" w14:textId="77777777" w:rsidR="00000000" w:rsidRDefault="00527094">
            <w:pPr>
              <w:pStyle w:val="a3"/>
              <w:spacing w:before="0" w:beforeAutospacing="0" w:after="0" w:afterAutospacing="0"/>
              <w:ind w:left="360" w:hanging="360"/>
              <w:jc w:val="both"/>
              <w:rPr>
                <w:sz w:val="20"/>
                <w:szCs w:val="20"/>
              </w:rPr>
            </w:pPr>
            <w:r>
              <w:rPr>
                <w:rStyle w:val="a6"/>
                <w:i w:val="0"/>
                <w:iCs w:val="0"/>
                <w:sz w:val="20"/>
                <w:szCs w:val="20"/>
              </w:rPr>
              <w:t>(i)  Applying the variable interest entity (VIE) guidance to private companies under common control,</w:t>
            </w:r>
            <w:r>
              <w:rPr>
                <w:rStyle w:val="a6"/>
                <w:i w:val="0"/>
                <w:iCs w:val="0"/>
                <w:sz w:val="20"/>
                <w:szCs w:val="20"/>
              </w:rPr>
              <w:t xml:space="preserve"> and</w:t>
            </w:r>
          </w:p>
          <w:p w14:paraId="0501E33E" w14:textId="77777777" w:rsidR="00000000" w:rsidRDefault="00527094">
            <w:pPr>
              <w:pStyle w:val="a3"/>
              <w:spacing w:before="0" w:beforeAutospacing="0" w:after="0" w:afterAutospacing="0"/>
              <w:ind w:left="360" w:hanging="360"/>
              <w:jc w:val="both"/>
              <w:rPr>
                <w:sz w:val="20"/>
                <w:szCs w:val="20"/>
              </w:rPr>
            </w:pPr>
            <w:r>
              <w:rPr>
                <w:rStyle w:val="a6"/>
                <w:i w:val="0"/>
                <w:iCs w:val="0"/>
                <w:sz w:val="20"/>
                <w:szCs w:val="20"/>
              </w:rPr>
              <w:t>(ii)  Considering indirect interests held through related parties under common control, and for determining whether fees paid to decision makers and service providers are variable interests.</w:t>
            </w:r>
          </w:p>
          <w:p w14:paraId="3477778C"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66320E46" w14:textId="77777777" w:rsidR="00000000" w:rsidRDefault="00527094">
            <w:pPr>
              <w:pStyle w:val="a3"/>
              <w:spacing w:before="0" w:beforeAutospacing="0" w:after="0" w:afterAutospacing="0"/>
              <w:jc w:val="both"/>
              <w:rPr>
                <w:sz w:val="20"/>
                <w:szCs w:val="20"/>
              </w:rPr>
            </w:pPr>
            <w:r>
              <w:rPr>
                <w:rStyle w:val="a6"/>
                <w:i w:val="0"/>
                <w:iCs w:val="0"/>
                <w:sz w:val="20"/>
                <w:szCs w:val="20"/>
              </w:rPr>
              <w:t>This update improves the accounting for those areas, thereby improving general purpose financial reporting. Retrospective adoption is required.</w:t>
            </w:r>
          </w:p>
          <w:p w14:paraId="295A7A28" w14:textId="77777777" w:rsidR="00000000" w:rsidRDefault="00527094">
            <w:pPr>
              <w:pStyle w:val="a3"/>
              <w:spacing w:before="0" w:beforeAutospacing="0" w:after="0" w:afterAutospacing="0"/>
              <w:jc w:val="both"/>
              <w:rPr>
                <w:sz w:val="20"/>
                <w:szCs w:val="20"/>
              </w:rPr>
            </w:pPr>
            <w:r>
              <w:rPr>
                <w:rStyle w:val="a6"/>
                <w:i w:val="0"/>
                <w:iCs w:val="0"/>
                <w:sz w:val="20"/>
                <w:szCs w:val="20"/>
              </w:rPr>
              <w:t> </w:t>
            </w:r>
          </w:p>
        </w:tc>
        <w:tc>
          <w:tcPr>
            <w:tcW w:w="535" w:type="pct"/>
            <w:tcBorders>
              <w:bottom w:val="single" w:sz="6" w:space="0" w:color="000000"/>
            </w:tcBorders>
            <w:shd w:val="clear" w:color="auto" w:fill="CCEEFF"/>
            <w:tcMar>
              <w:top w:w="0" w:type="dxa"/>
              <w:left w:w="75" w:type="dxa"/>
              <w:bottom w:w="0" w:type="dxa"/>
              <w:right w:w="75" w:type="dxa"/>
            </w:tcMar>
            <w:hideMark/>
          </w:tcPr>
          <w:p w14:paraId="0F0D2B7F" w14:textId="77777777" w:rsidR="00000000" w:rsidRDefault="00527094">
            <w:pPr>
              <w:pStyle w:val="a3"/>
              <w:spacing w:before="0" w:beforeAutospacing="0" w:after="0" w:afterAutospacing="0"/>
              <w:jc w:val="center"/>
              <w:rPr>
                <w:sz w:val="20"/>
                <w:szCs w:val="20"/>
              </w:rPr>
            </w:pPr>
            <w:r>
              <w:rPr>
                <w:rStyle w:val="a6"/>
                <w:i w:val="0"/>
                <w:iCs w:val="0"/>
                <w:sz w:val="20"/>
                <w:szCs w:val="20"/>
              </w:rPr>
              <w:t>January 1, 2020;</w:t>
            </w:r>
            <w:r>
              <w:rPr>
                <w:rStyle w:val="a6"/>
                <w:i w:val="0"/>
                <w:iCs w:val="0"/>
                <w:sz w:val="20"/>
                <w:szCs w:val="20"/>
              </w:rPr>
              <w:t xml:space="preserve"> </w:t>
            </w:r>
            <w:r>
              <w:rPr>
                <w:rStyle w:val="a6"/>
                <w:i w:val="0"/>
                <w:iCs w:val="0"/>
                <w:sz w:val="20"/>
                <w:szCs w:val="20"/>
              </w:rPr>
              <w:t>Early adoption permitted</w:t>
            </w:r>
          </w:p>
        </w:tc>
        <w:tc>
          <w:tcPr>
            <w:tcW w:w="1160" w:type="pct"/>
            <w:tcBorders>
              <w:left w:val="single" w:sz="6" w:space="0" w:color="000000"/>
              <w:bottom w:val="single" w:sz="6" w:space="0" w:color="000000"/>
              <w:right w:val="single" w:sz="6" w:space="0" w:color="000000"/>
            </w:tcBorders>
            <w:shd w:val="clear" w:color="auto" w:fill="CCEEFF"/>
            <w:tcMar>
              <w:top w:w="0" w:type="dxa"/>
              <w:left w:w="75" w:type="dxa"/>
              <w:bottom w:w="0" w:type="dxa"/>
              <w:right w:w="75" w:type="dxa"/>
            </w:tcMar>
            <w:hideMark/>
          </w:tcPr>
          <w:p w14:paraId="074A6E3F" w14:textId="77777777" w:rsidR="00000000" w:rsidRDefault="00527094">
            <w:pPr>
              <w:pStyle w:val="a3"/>
              <w:spacing w:before="0" w:beforeAutospacing="0" w:after="0" w:afterAutospacing="0"/>
              <w:rPr>
                <w:sz w:val="20"/>
                <w:szCs w:val="20"/>
              </w:rPr>
            </w:pPr>
            <w:r>
              <w:rPr>
                <w:rStyle w:val="a6"/>
                <w:i w:val="0"/>
                <w:iCs w:val="0"/>
                <w:sz w:val="20"/>
                <w:szCs w:val="20"/>
              </w:rPr>
              <w:t>The adoption of this ASU is</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expected to have a material impact o</w:t>
            </w:r>
            <w:r>
              <w:rPr>
                <w:rStyle w:val="a6"/>
                <w:i w:val="0"/>
                <w:iCs w:val="0"/>
                <w:sz w:val="20"/>
                <w:szCs w:val="20"/>
              </w:rPr>
              <w:t>n the Company’s financial position and/or results of operations.</w:t>
            </w:r>
          </w:p>
        </w:tc>
      </w:tr>
      <w:tr w:rsidR="00000000" w14:paraId="1F6A1370" w14:textId="77777777">
        <w:trPr>
          <w:tblCellSpacing w:w="0" w:type="dxa"/>
        </w:trPr>
        <w:tc>
          <w:tcPr>
            <w:tcW w:w="1120" w:type="pct"/>
            <w:tcBorders>
              <w:left w:val="single" w:sz="6" w:space="0" w:color="000000"/>
              <w:bottom w:val="single" w:sz="6" w:space="0" w:color="000000"/>
              <w:right w:val="single" w:sz="6" w:space="0" w:color="000000"/>
            </w:tcBorders>
            <w:shd w:val="clear" w:color="auto" w:fill="FFFFFF"/>
            <w:tcMar>
              <w:top w:w="0" w:type="dxa"/>
              <w:left w:w="75" w:type="dxa"/>
              <w:bottom w:w="0" w:type="dxa"/>
              <w:right w:w="75" w:type="dxa"/>
            </w:tcMar>
            <w:hideMark/>
          </w:tcPr>
          <w:p w14:paraId="7C4EFA7E" w14:textId="77777777" w:rsidR="00000000" w:rsidRDefault="00527094">
            <w:pPr>
              <w:pStyle w:val="a3"/>
              <w:spacing w:before="0" w:beforeAutospacing="0" w:after="0" w:afterAutospacing="0"/>
              <w:rPr>
                <w:sz w:val="20"/>
                <w:szCs w:val="20"/>
              </w:rPr>
            </w:pPr>
            <w:r>
              <w:rPr>
                <w:rStyle w:val="a6"/>
                <w:i w:val="0"/>
                <w:iCs w:val="0"/>
                <w:sz w:val="20"/>
                <w:szCs w:val="20"/>
              </w:rPr>
              <w:t>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15</w:t>
            </w:r>
            <w:r>
              <w:rPr>
                <w:rStyle w:val="a6"/>
                <w:i w:val="0"/>
                <w:iCs w:val="0"/>
                <w:sz w:val="20"/>
                <w:szCs w:val="20"/>
              </w:rPr>
              <w:t>,</w:t>
            </w:r>
            <w:r>
              <w:rPr>
                <w:rStyle w:val="a6"/>
                <w:i w:val="0"/>
                <w:iCs w:val="0"/>
                <w:sz w:val="20"/>
                <w:szCs w:val="20"/>
              </w:rPr>
              <w:t xml:space="preserve"> Intangibles – Goodwill and Other – Internal-Use Software (Subtopic</w:t>
            </w:r>
            <w:r>
              <w:rPr>
                <w:rStyle w:val="a6"/>
                <w:i w:val="0"/>
                <w:iCs w:val="0"/>
                <w:sz w:val="20"/>
                <w:szCs w:val="20"/>
              </w:rPr>
              <w:t xml:space="preserve"> </w:t>
            </w:r>
            <w:r>
              <w:rPr>
                <w:rStyle w:val="a6"/>
                <w:i w:val="0"/>
                <w:iCs w:val="0"/>
                <w:sz w:val="20"/>
                <w:szCs w:val="20"/>
              </w:rPr>
              <w:t>35</w:t>
            </w:r>
            <w:r>
              <w:rPr>
                <w:rStyle w:val="a6"/>
                <w:i w:val="0"/>
                <w:iCs w:val="0"/>
                <w:sz w:val="20"/>
                <w:szCs w:val="20"/>
              </w:rPr>
              <w:t>0</w:t>
            </w:r>
            <w:r>
              <w:rPr>
                <w:rStyle w:val="a6"/>
                <w:i w:val="0"/>
                <w:iCs w:val="0"/>
                <w:sz w:val="20"/>
                <w:szCs w:val="20"/>
              </w:rPr>
              <w:t>-</w:t>
            </w:r>
            <w:r>
              <w:rPr>
                <w:rStyle w:val="a6"/>
                <w:i w:val="0"/>
                <w:iCs w:val="0"/>
                <w:sz w:val="20"/>
                <w:szCs w:val="20"/>
              </w:rPr>
              <w:t>4</w:t>
            </w:r>
            <w:r>
              <w:rPr>
                <w:rStyle w:val="a6"/>
                <w:i w:val="0"/>
                <w:iCs w:val="0"/>
                <w:sz w:val="20"/>
                <w:szCs w:val="20"/>
              </w:rPr>
              <w:t>0</w:t>
            </w:r>
            <w:r>
              <w:rPr>
                <w:rStyle w:val="a6"/>
                <w:i w:val="0"/>
                <w:iCs w:val="0"/>
                <w:sz w:val="20"/>
                <w:szCs w:val="20"/>
              </w:rPr>
              <w:t>): Customer’s Accounting for Implementation Costs Incurred in a Cloud Computing Arrangement that is a Se</w:t>
            </w:r>
            <w:r>
              <w:rPr>
                <w:rStyle w:val="a6"/>
                <w:i w:val="0"/>
                <w:iCs w:val="0"/>
                <w:sz w:val="20"/>
                <w:szCs w:val="20"/>
              </w:rPr>
              <w:t>rvice Contract</w:t>
            </w:r>
          </w:p>
          <w:p w14:paraId="7CECBDCA" w14:textId="77777777" w:rsidR="00000000" w:rsidRDefault="00527094">
            <w:pPr>
              <w:pStyle w:val="a3"/>
              <w:spacing w:before="0" w:beforeAutospacing="0" w:after="0" w:afterAutospacing="0"/>
              <w:rPr>
                <w:sz w:val="20"/>
                <w:szCs w:val="20"/>
              </w:rPr>
            </w:pPr>
            <w:r>
              <w:rPr>
                <w:rStyle w:val="a6"/>
                <w:i w:val="0"/>
                <w:iCs w:val="0"/>
                <w:sz w:val="20"/>
                <w:szCs w:val="20"/>
              </w:rPr>
              <w:t> </w:t>
            </w:r>
          </w:p>
        </w:tc>
        <w:tc>
          <w:tcPr>
            <w:tcW w:w="2190" w:type="pct"/>
            <w:tcBorders>
              <w:bottom w:val="single" w:sz="6" w:space="0" w:color="000000"/>
              <w:right w:val="single" w:sz="6" w:space="0" w:color="000000"/>
            </w:tcBorders>
            <w:shd w:val="clear" w:color="auto" w:fill="FFFFFF"/>
            <w:tcMar>
              <w:top w:w="0" w:type="dxa"/>
              <w:left w:w="75" w:type="dxa"/>
              <w:bottom w:w="0" w:type="dxa"/>
              <w:right w:w="75" w:type="dxa"/>
            </w:tcMar>
            <w:hideMark/>
          </w:tcPr>
          <w:p w14:paraId="2139DEB4" w14:textId="77777777" w:rsidR="00000000" w:rsidRDefault="00527094">
            <w:pPr>
              <w:pStyle w:val="a3"/>
              <w:spacing w:before="0" w:beforeAutospacing="0" w:after="0" w:afterAutospacing="0"/>
              <w:jc w:val="both"/>
              <w:rPr>
                <w:sz w:val="20"/>
                <w:szCs w:val="20"/>
              </w:rPr>
            </w:pPr>
            <w:r>
              <w:rPr>
                <w:rStyle w:val="a6"/>
                <w:i w:val="0"/>
                <w:iCs w:val="0"/>
                <w:sz w:val="20"/>
                <w:szCs w:val="20"/>
              </w:rPr>
              <w:t>The amendment aligns the requirements for capitalizing implementation costs incurred in a hosting arrangement that is a service contract with the requirements for capitalizing implementation costs incurred to develop or obtain internal-use</w:t>
            </w:r>
            <w:r>
              <w:rPr>
                <w:rStyle w:val="a6"/>
                <w:i w:val="0"/>
                <w:iCs w:val="0"/>
                <w:sz w:val="20"/>
                <w:szCs w:val="20"/>
              </w:rPr>
              <w:t xml:space="preserve"> software.</w:t>
            </w:r>
          </w:p>
        </w:tc>
        <w:tc>
          <w:tcPr>
            <w:tcW w:w="535" w:type="pct"/>
            <w:tcBorders>
              <w:bottom w:val="single" w:sz="6" w:space="0" w:color="000000"/>
            </w:tcBorders>
            <w:shd w:val="clear" w:color="auto" w:fill="FFFFFF"/>
            <w:tcMar>
              <w:top w:w="0" w:type="dxa"/>
              <w:left w:w="75" w:type="dxa"/>
              <w:bottom w:w="0" w:type="dxa"/>
              <w:right w:w="75" w:type="dxa"/>
            </w:tcMar>
            <w:hideMark/>
          </w:tcPr>
          <w:p w14:paraId="44215DA8" w14:textId="77777777" w:rsidR="00000000" w:rsidRDefault="00527094">
            <w:pPr>
              <w:pStyle w:val="a3"/>
              <w:spacing w:before="0" w:beforeAutospacing="0" w:after="0" w:afterAutospacing="0"/>
              <w:jc w:val="center"/>
              <w:rPr>
                <w:sz w:val="20"/>
                <w:szCs w:val="20"/>
              </w:rPr>
            </w:pPr>
            <w:r>
              <w:rPr>
                <w:rStyle w:val="a6"/>
                <w:i w:val="0"/>
                <w:iCs w:val="0"/>
                <w:sz w:val="20"/>
                <w:szCs w:val="20"/>
              </w:rPr>
              <w:t>January 1, 2020;</w:t>
            </w:r>
            <w:r>
              <w:rPr>
                <w:rStyle w:val="a6"/>
                <w:i w:val="0"/>
                <w:iCs w:val="0"/>
                <w:sz w:val="20"/>
                <w:szCs w:val="20"/>
              </w:rPr>
              <w:t xml:space="preserve"> </w:t>
            </w:r>
            <w:r>
              <w:rPr>
                <w:rStyle w:val="a6"/>
                <w:i w:val="0"/>
                <w:iCs w:val="0"/>
                <w:sz w:val="20"/>
                <w:szCs w:val="20"/>
              </w:rPr>
              <w:t>Early adoption permitted</w:t>
            </w:r>
          </w:p>
        </w:tc>
        <w:tc>
          <w:tcPr>
            <w:tcW w:w="1160" w:type="pct"/>
            <w:tcBorders>
              <w:left w:val="single" w:sz="6" w:space="0" w:color="000000"/>
              <w:bottom w:val="single" w:sz="6" w:space="0" w:color="000000"/>
              <w:right w:val="single" w:sz="6" w:space="0" w:color="000000"/>
            </w:tcBorders>
            <w:shd w:val="clear" w:color="auto" w:fill="FFFFFF"/>
            <w:tcMar>
              <w:top w:w="0" w:type="dxa"/>
              <w:left w:w="75" w:type="dxa"/>
              <w:bottom w:w="0" w:type="dxa"/>
              <w:right w:w="75" w:type="dxa"/>
            </w:tcMar>
            <w:hideMark/>
          </w:tcPr>
          <w:p w14:paraId="4F12CDB2" w14:textId="77777777" w:rsidR="00000000" w:rsidRDefault="00527094">
            <w:pPr>
              <w:pStyle w:val="a3"/>
              <w:spacing w:before="0" w:beforeAutospacing="0" w:after="0" w:afterAutospacing="0"/>
              <w:rPr>
                <w:sz w:val="20"/>
                <w:szCs w:val="20"/>
              </w:rPr>
            </w:pPr>
            <w:r>
              <w:rPr>
                <w:rStyle w:val="a6"/>
                <w:i w:val="0"/>
                <w:iCs w:val="0"/>
                <w:sz w:val="20"/>
                <w:szCs w:val="20"/>
              </w:rPr>
              <w:t>The adoption of this ASU is</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expected to have a material impact on the Company’s financial position and/or results of operations.</w:t>
            </w:r>
          </w:p>
        </w:tc>
      </w:tr>
    </w:tbl>
    <w:p w14:paraId="43786722" w14:textId="77777777" w:rsidR="00000000" w:rsidRDefault="00527094">
      <w:pPr>
        <w:pStyle w:val="a3"/>
        <w:spacing w:before="0" w:beforeAutospacing="0" w:after="0" w:afterAutospacing="0"/>
        <w:rPr>
          <w:sz w:val="20"/>
          <w:szCs w:val="20"/>
        </w:rPr>
      </w:pPr>
      <w:r>
        <w:rPr>
          <w:rStyle w:val="a6"/>
          <w:i w:val="0"/>
          <w:iCs w:val="0"/>
          <w:sz w:val="20"/>
          <w:szCs w:val="20"/>
        </w:rPr>
        <w:t> </w:t>
      </w:r>
    </w:p>
    <w:p w14:paraId="7D196D12" w14:textId="77777777" w:rsidR="00000000" w:rsidRDefault="00527094">
      <w:pPr>
        <w:jc w:val="center"/>
        <w:rPr>
          <w:rFonts w:eastAsia="Times New Roman"/>
          <w:sz w:val="20"/>
          <w:szCs w:val="20"/>
        </w:rPr>
      </w:pPr>
      <w:r>
        <w:rPr>
          <w:rStyle w:val="a6"/>
          <w:rFonts w:eastAsia="Times New Roman"/>
          <w:i w:val="0"/>
          <w:iCs w:val="0"/>
          <w:sz w:val="20"/>
          <w:szCs w:val="20"/>
        </w:rPr>
        <w:t xml:space="preserve">11 </w:t>
      </w:r>
    </w:p>
    <w:p w14:paraId="537A570E" w14:textId="77777777" w:rsidR="00000000" w:rsidRDefault="00527094">
      <w:pPr>
        <w:rPr>
          <w:rFonts w:eastAsia="Times New Roman"/>
          <w:sz w:val="20"/>
          <w:szCs w:val="20"/>
        </w:rPr>
      </w:pPr>
      <w:r>
        <w:rPr>
          <w:rFonts w:eastAsia="Times New Roman"/>
          <w:sz w:val="20"/>
          <w:szCs w:val="20"/>
        </w:rPr>
        <w:pict w14:anchorId="1EBE69A1">
          <v:rect id="_x0000_i1039" style="width:0;height:1.5pt" o:hralign="center" o:hrstd="t" o:hr="t" fillcolor="#a0a0a0" stroked="f"/>
        </w:pict>
      </w:r>
    </w:p>
    <w:p w14:paraId="176A9652" w14:textId="77777777" w:rsidR="00000000" w:rsidRDefault="00527094">
      <w:pPr>
        <w:rPr>
          <w:rFonts w:eastAsia="Times New Roman"/>
          <w:sz w:val="20"/>
          <w:szCs w:val="20"/>
        </w:rPr>
      </w:pPr>
      <w:hyperlink w:anchor="toc" w:history="1">
        <w:r>
          <w:rPr>
            <w:rStyle w:val="a6"/>
            <w:rFonts w:eastAsia="Times New Roman"/>
            <w:i w:val="0"/>
            <w:iCs w:val="0"/>
            <w:color w:val="0000FF"/>
            <w:sz w:val="20"/>
            <w:szCs w:val="20"/>
            <w:u w:val="single"/>
          </w:rPr>
          <w:t>Table of Contents</w:t>
        </w:r>
      </w:hyperlink>
      <w:r>
        <w:rPr>
          <w:rFonts w:eastAsia="Times New Roman"/>
          <w:sz w:val="20"/>
          <w:szCs w:val="20"/>
        </w:rPr>
        <w:t xml:space="preserve"> </w:t>
      </w:r>
    </w:p>
    <w:p w14:paraId="6F158048" w14:textId="77777777" w:rsidR="00000000" w:rsidRDefault="00527094">
      <w:pPr>
        <w:pStyle w:val="a3"/>
        <w:spacing w:before="0" w:beforeAutospacing="0" w:after="0" w:afterAutospacing="0"/>
        <w:rPr>
          <w:sz w:val="20"/>
          <w:szCs w:val="20"/>
        </w:rPr>
      </w:pPr>
      <w:r>
        <w:rPr>
          <w:rStyle w:val="a6"/>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57"/>
        <w:gridCol w:w="3631"/>
        <w:gridCol w:w="887"/>
        <w:gridCol w:w="1915"/>
      </w:tblGrid>
      <w:tr w:rsidR="00000000" w14:paraId="70795379" w14:textId="77777777">
        <w:trPr>
          <w:tblCellSpacing w:w="0" w:type="dxa"/>
        </w:trPr>
        <w:tc>
          <w:tcPr>
            <w:tcW w:w="1120" w:type="pct"/>
            <w:tcBorders>
              <w:top w:val="single" w:sz="6" w:space="0" w:color="000000"/>
              <w:left w:val="single" w:sz="6" w:space="0" w:color="000000"/>
              <w:bottom w:val="single" w:sz="6" w:space="0" w:color="000000"/>
              <w:right w:val="single" w:sz="6" w:space="0" w:color="000000"/>
            </w:tcBorders>
            <w:shd w:val="clear" w:color="auto" w:fill="CCEEFF"/>
            <w:tcMar>
              <w:top w:w="0" w:type="dxa"/>
              <w:left w:w="75" w:type="dxa"/>
              <w:bottom w:w="0" w:type="dxa"/>
              <w:right w:w="75" w:type="dxa"/>
            </w:tcMar>
            <w:hideMark/>
          </w:tcPr>
          <w:p w14:paraId="26E748B6" w14:textId="77777777" w:rsidR="00000000" w:rsidRDefault="00527094">
            <w:pPr>
              <w:pStyle w:val="a3"/>
              <w:spacing w:before="0" w:beforeAutospacing="0" w:after="0" w:afterAutospacing="0"/>
              <w:rPr>
                <w:sz w:val="20"/>
                <w:szCs w:val="20"/>
              </w:rPr>
            </w:pPr>
            <w:r>
              <w:rPr>
                <w:rStyle w:val="a6"/>
                <w:i w:val="0"/>
                <w:iCs w:val="0"/>
                <w:sz w:val="20"/>
                <w:szCs w:val="20"/>
              </w:rPr>
              <w:t>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13</w:t>
            </w:r>
            <w:r>
              <w:rPr>
                <w:rStyle w:val="a6"/>
                <w:i w:val="0"/>
                <w:iCs w:val="0"/>
                <w:sz w:val="20"/>
                <w:szCs w:val="20"/>
              </w:rPr>
              <w:t>,</w:t>
            </w:r>
            <w:r>
              <w:rPr>
                <w:rStyle w:val="a6"/>
                <w:i w:val="0"/>
                <w:iCs w:val="0"/>
                <w:sz w:val="20"/>
                <w:szCs w:val="20"/>
              </w:rPr>
              <w:t xml:space="preserve"> Fair Value Measurement (Topic</w:t>
            </w:r>
            <w:r>
              <w:rPr>
                <w:rStyle w:val="a6"/>
                <w:i w:val="0"/>
                <w:iCs w:val="0"/>
                <w:sz w:val="20"/>
                <w:szCs w:val="20"/>
              </w:rPr>
              <w:t xml:space="preserve"> </w:t>
            </w:r>
            <w:r>
              <w:rPr>
                <w:rStyle w:val="a6"/>
                <w:i w:val="0"/>
                <w:iCs w:val="0"/>
                <w:sz w:val="20"/>
                <w:szCs w:val="20"/>
              </w:rPr>
              <w:t>82</w:t>
            </w:r>
            <w:r>
              <w:rPr>
                <w:rStyle w:val="a6"/>
                <w:i w:val="0"/>
                <w:iCs w:val="0"/>
                <w:sz w:val="20"/>
                <w:szCs w:val="20"/>
              </w:rPr>
              <w:t>0</w:t>
            </w:r>
            <w:r>
              <w:rPr>
                <w:rStyle w:val="a6"/>
                <w:i w:val="0"/>
                <w:iCs w:val="0"/>
                <w:sz w:val="20"/>
                <w:szCs w:val="20"/>
              </w:rPr>
              <w:t>): Disclosure Framework – Changes to the Disclosure Requirements for Fair Value Measurement</w:t>
            </w:r>
          </w:p>
          <w:p w14:paraId="11DD4004" w14:textId="77777777" w:rsidR="00000000" w:rsidRDefault="00527094">
            <w:pPr>
              <w:pStyle w:val="a3"/>
              <w:spacing w:before="0" w:beforeAutospacing="0" w:after="0" w:afterAutospacing="0"/>
              <w:rPr>
                <w:sz w:val="20"/>
                <w:szCs w:val="20"/>
              </w:rPr>
            </w:pPr>
            <w:r>
              <w:rPr>
                <w:rStyle w:val="a6"/>
                <w:i w:val="0"/>
                <w:iCs w:val="0"/>
                <w:sz w:val="20"/>
                <w:szCs w:val="20"/>
              </w:rPr>
              <w:t> </w:t>
            </w:r>
          </w:p>
        </w:tc>
        <w:tc>
          <w:tcPr>
            <w:tcW w:w="2190" w:type="pct"/>
            <w:tcBorders>
              <w:top w:val="single" w:sz="6" w:space="0" w:color="000000"/>
              <w:bottom w:val="single" w:sz="6" w:space="0" w:color="000000"/>
            </w:tcBorders>
            <w:shd w:val="clear" w:color="auto" w:fill="CCEEFF"/>
            <w:tcMar>
              <w:top w:w="0" w:type="dxa"/>
              <w:left w:w="75" w:type="dxa"/>
              <w:bottom w:w="0" w:type="dxa"/>
              <w:right w:w="75" w:type="dxa"/>
            </w:tcMar>
            <w:hideMark/>
          </w:tcPr>
          <w:p w14:paraId="6FEDA162" w14:textId="77777777" w:rsidR="00000000" w:rsidRDefault="00527094">
            <w:pPr>
              <w:pStyle w:val="a3"/>
              <w:spacing w:before="0" w:beforeAutospacing="0" w:after="0" w:afterAutospacing="0"/>
              <w:jc w:val="both"/>
              <w:rPr>
                <w:sz w:val="20"/>
                <w:szCs w:val="20"/>
              </w:rPr>
            </w:pPr>
            <w:r>
              <w:rPr>
                <w:rStyle w:val="a6"/>
                <w:i w:val="0"/>
                <w:iCs w:val="0"/>
                <w:sz w:val="20"/>
                <w:szCs w:val="20"/>
              </w:rPr>
              <w:t>The amendment modifies the disclosure requirements for fair value measurements in Topic</w:t>
            </w:r>
            <w:r>
              <w:rPr>
                <w:rStyle w:val="a6"/>
                <w:i w:val="0"/>
                <w:iCs w:val="0"/>
                <w:sz w:val="20"/>
                <w:szCs w:val="20"/>
              </w:rPr>
              <w:t xml:space="preserve"> </w:t>
            </w:r>
            <w:r>
              <w:rPr>
                <w:rStyle w:val="a6"/>
                <w:i w:val="0"/>
                <w:iCs w:val="0"/>
                <w:sz w:val="20"/>
                <w:szCs w:val="20"/>
              </w:rPr>
              <w:t>820</w:t>
            </w:r>
            <w:r>
              <w:rPr>
                <w:rStyle w:val="a6"/>
                <w:i w:val="0"/>
                <w:iCs w:val="0"/>
                <w:sz w:val="20"/>
                <w:szCs w:val="20"/>
              </w:rPr>
              <w:t>,</w:t>
            </w:r>
            <w:r>
              <w:rPr>
                <w:rStyle w:val="a6"/>
                <w:i w:val="0"/>
                <w:iCs w:val="0"/>
                <w:sz w:val="20"/>
                <w:szCs w:val="20"/>
              </w:rPr>
              <w:t xml:space="preserve"> based on the concepts in the FASB Concepts Statement,</w:t>
            </w:r>
            <w:r>
              <w:rPr>
                <w:rStyle w:val="a6"/>
                <w:i w:val="0"/>
                <w:iCs w:val="0"/>
                <w:sz w:val="20"/>
                <w:szCs w:val="20"/>
              </w:rPr>
              <w:t xml:space="preserve"> </w:t>
            </w:r>
            <w:r>
              <w:rPr>
                <w:rStyle w:val="a6"/>
                <w:i w:val="0"/>
                <w:iCs w:val="0"/>
                <w:sz w:val="20"/>
                <w:szCs w:val="20"/>
              </w:rPr>
              <w:t>Conceptual Framework for Financial Reporting – Chapter</w:t>
            </w:r>
            <w:r>
              <w:rPr>
                <w:rStyle w:val="a6"/>
                <w:i w:val="0"/>
                <w:iCs w:val="0"/>
                <w:sz w:val="20"/>
                <w:szCs w:val="20"/>
              </w:rPr>
              <w:t xml:space="preserve"> </w:t>
            </w:r>
            <w:r>
              <w:rPr>
                <w:rStyle w:val="a6"/>
                <w:i w:val="0"/>
                <w:iCs w:val="0"/>
                <w:sz w:val="20"/>
                <w:szCs w:val="20"/>
              </w:rPr>
              <w:t>8</w:t>
            </w:r>
            <w:r>
              <w:rPr>
                <w:rStyle w:val="a6"/>
                <w:i w:val="0"/>
                <w:iCs w:val="0"/>
                <w:sz w:val="20"/>
                <w:szCs w:val="20"/>
              </w:rPr>
              <w:t>:</w:t>
            </w:r>
            <w:r>
              <w:rPr>
                <w:rStyle w:val="a6"/>
                <w:i w:val="0"/>
                <w:iCs w:val="0"/>
                <w:sz w:val="20"/>
                <w:szCs w:val="20"/>
              </w:rPr>
              <w:t xml:space="preserve"> Notes to Financial Statement</w:t>
            </w:r>
            <w:r>
              <w:rPr>
                <w:rStyle w:val="a6"/>
                <w:i w:val="0"/>
                <w:iCs w:val="0"/>
                <w:sz w:val="20"/>
                <w:szCs w:val="20"/>
              </w:rPr>
              <w:t>s</w:t>
            </w:r>
            <w:r>
              <w:rPr>
                <w:rStyle w:val="a6"/>
                <w:i w:val="0"/>
                <w:iCs w:val="0"/>
                <w:sz w:val="20"/>
                <w:szCs w:val="20"/>
              </w:rPr>
              <w:t>, including the consid</w:t>
            </w:r>
            <w:r>
              <w:rPr>
                <w:rStyle w:val="a6"/>
                <w:i w:val="0"/>
                <w:iCs w:val="0"/>
                <w:sz w:val="20"/>
                <w:szCs w:val="20"/>
              </w:rPr>
              <w:t>eration of costs and benefits.</w:t>
            </w:r>
          </w:p>
        </w:tc>
        <w:tc>
          <w:tcPr>
            <w:tcW w:w="535" w:type="pct"/>
            <w:tcBorders>
              <w:top w:val="single" w:sz="6" w:space="0" w:color="000000"/>
              <w:left w:val="single" w:sz="6" w:space="0" w:color="000000"/>
              <w:bottom w:val="single" w:sz="6" w:space="0" w:color="000000"/>
              <w:right w:val="single" w:sz="6" w:space="0" w:color="000000"/>
            </w:tcBorders>
            <w:shd w:val="clear" w:color="auto" w:fill="CCEEFF"/>
            <w:hideMark/>
          </w:tcPr>
          <w:p w14:paraId="0A5514D5" w14:textId="77777777" w:rsidR="00000000" w:rsidRDefault="00527094">
            <w:pPr>
              <w:pStyle w:val="a3"/>
              <w:spacing w:before="0" w:beforeAutospacing="0" w:after="0" w:afterAutospacing="0"/>
              <w:jc w:val="center"/>
              <w:rPr>
                <w:sz w:val="20"/>
                <w:szCs w:val="20"/>
              </w:rPr>
            </w:pPr>
            <w:r>
              <w:rPr>
                <w:rStyle w:val="a6"/>
                <w:i w:val="0"/>
                <w:iCs w:val="0"/>
                <w:sz w:val="20"/>
                <w:szCs w:val="20"/>
              </w:rPr>
              <w:t>January 1, 2020;</w:t>
            </w:r>
            <w:r>
              <w:rPr>
                <w:rStyle w:val="a6"/>
                <w:i w:val="0"/>
                <w:iCs w:val="0"/>
                <w:sz w:val="20"/>
                <w:szCs w:val="20"/>
              </w:rPr>
              <w:t xml:space="preserve"> </w:t>
            </w:r>
            <w:r>
              <w:rPr>
                <w:rStyle w:val="a6"/>
                <w:i w:val="0"/>
                <w:iCs w:val="0"/>
                <w:sz w:val="20"/>
                <w:szCs w:val="20"/>
              </w:rPr>
              <w:t>Early adoption permitted</w:t>
            </w:r>
          </w:p>
        </w:tc>
        <w:tc>
          <w:tcPr>
            <w:tcW w:w="1160" w:type="pct"/>
            <w:tcBorders>
              <w:top w:val="single" w:sz="6" w:space="0" w:color="000000"/>
              <w:bottom w:val="single" w:sz="6" w:space="0" w:color="000000"/>
              <w:right w:val="single" w:sz="6" w:space="0" w:color="000000"/>
            </w:tcBorders>
            <w:shd w:val="clear" w:color="auto" w:fill="CCEEFF"/>
            <w:tcMar>
              <w:top w:w="0" w:type="dxa"/>
              <w:left w:w="75" w:type="dxa"/>
              <w:bottom w:w="0" w:type="dxa"/>
              <w:right w:w="75" w:type="dxa"/>
            </w:tcMar>
            <w:hideMark/>
          </w:tcPr>
          <w:p w14:paraId="7D0CD5F7" w14:textId="77777777" w:rsidR="00000000" w:rsidRDefault="00527094">
            <w:pPr>
              <w:pStyle w:val="a3"/>
              <w:spacing w:before="0" w:beforeAutospacing="0" w:after="0" w:afterAutospacing="0"/>
              <w:rPr>
                <w:sz w:val="20"/>
                <w:szCs w:val="20"/>
              </w:rPr>
            </w:pPr>
            <w:r>
              <w:rPr>
                <w:rStyle w:val="a6"/>
                <w:i w:val="0"/>
                <w:iCs w:val="0"/>
                <w:sz w:val="20"/>
                <w:szCs w:val="20"/>
              </w:rPr>
              <w:t>The adoption of this ASU is</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expected to have a material impact on the Company’s financial position and/or results of operations.</w:t>
            </w:r>
          </w:p>
        </w:tc>
      </w:tr>
      <w:tr w:rsidR="00000000" w14:paraId="1B23222D" w14:textId="77777777">
        <w:trPr>
          <w:tblCellSpacing w:w="0" w:type="dxa"/>
        </w:trPr>
        <w:tc>
          <w:tcPr>
            <w:tcW w:w="1120" w:type="pct"/>
            <w:tcBorders>
              <w:left w:val="single" w:sz="6" w:space="0" w:color="000000"/>
              <w:bottom w:val="single" w:sz="6" w:space="0" w:color="000000"/>
              <w:right w:val="single" w:sz="6" w:space="0" w:color="000000"/>
            </w:tcBorders>
            <w:shd w:val="clear" w:color="auto" w:fill="FFFFFF"/>
            <w:tcMar>
              <w:top w:w="0" w:type="dxa"/>
              <w:left w:w="75" w:type="dxa"/>
              <w:bottom w:w="0" w:type="dxa"/>
              <w:right w:w="75" w:type="dxa"/>
            </w:tcMar>
            <w:hideMark/>
          </w:tcPr>
          <w:p w14:paraId="798434C7" w14:textId="77777777" w:rsidR="00000000" w:rsidRDefault="00527094">
            <w:pPr>
              <w:pStyle w:val="a3"/>
              <w:spacing w:before="0" w:beforeAutospacing="0" w:after="0" w:afterAutospacing="0"/>
              <w:rPr>
                <w:sz w:val="20"/>
                <w:szCs w:val="20"/>
              </w:rPr>
            </w:pPr>
            <w:r>
              <w:rPr>
                <w:rStyle w:val="a6"/>
                <w:i w:val="0"/>
                <w:iCs w:val="0"/>
                <w:sz w:val="20"/>
                <w:szCs w:val="20"/>
              </w:rPr>
              <w:t>ASU</w:t>
            </w:r>
            <w:r>
              <w:rPr>
                <w:rStyle w:val="a6"/>
                <w:i w:val="0"/>
                <w:iCs w:val="0"/>
                <w:sz w:val="20"/>
                <w:szCs w:val="20"/>
              </w:rPr>
              <w:t xml:space="preserve"> </w:t>
            </w:r>
            <w:r>
              <w:rPr>
                <w:rStyle w:val="a6"/>
                <w:i w:val="0"/>
                <w:iCs w:val="0"/>
                <w:sz w:val="20"/>
                <w:szCs w:val="20"/>
              </w:rPr>
              <w:t>201</w:t>
            </w:r>
            <w:r>
              <w:rPr>
                <w:rStyle w:val="a6"/>
                <w:i w:val="0"/>
                <w:iCs w:val="0"/>
                <w:sz w:val="20"/>
                <w:szCs w:val="20"/>
              </w:rPr>
              <w:t>6</w:t>
            </w:r>
            <w:r>
              <w:rPr>
                <w:rStyle w:val="a6"/>
                <w:i w:val="0"/>
                <w:iCs w:val="0"/>
                <w:sz w:val="20"/>
                <w:szCs w:val="20"/>
              </w:rPr>
              <w:t>-</w:t>
            </w:r>
            <w:r>
              <w:rPr>
                <w:rStyle w:val="a6"/>
                <w:i w:val="0"/>
                <w:iCs w:val="0"/>
                <w:sz w:val="20"/>
                <w:szCs w:val="20"/>
              </w:rPr>
              <w:t>13</w:t>
            </w:r>
            <w:r>
              <w:rPr>
                <w:rStyle w:val="a6"/>
                <w:i w:val="0"/>
                <w:iCs w:val="0"/>
                <w:sz w:val="20"/>
                <w:szCs w:val="20"/>
              </w:rPr>
              <w:t>,</w:t>
            </w:r>
            <w:r>
              <w:rPr>
                <w:rStyle w:val="a6"/>
                <w:i w:val="0"/>
                <w:iCs w:val="0"/>
                <w:sz w:val="20"/>
                <w:szCs w:val="20"/>
              </w:rPr>
              <w:t xml:space="preserve"> Financial Instruments – Credit Losse</w:t>
            </w:r>
            <w:r>
              <w:rPr>
                <w:rStyle w:val="a6"/>
                <w:i w:val="0"/>
                <w:iCs w:val="0"/>
                <w:sz w:val="20"/>
                <w:szCs w:val="20"/>
              </w:rPr>
              <w:t>s (Topic</w:t>
            </w:r>
            <w:r>
              <w:rPr>
                <w:rStyle w:val="a6"/>
                <w:i w:val="0"/>
                <w:iCs w:val="0"/>
                <w:sz w:val="20"/>
                <w:szCs w:val="20"/>
              </w:rPr>
              <w:t xml:space="preserve"> </w:t>
            </w:r>
            <w:r>
              <w:rPr>
                <w:rStyle w:val="a6"/>
                <w:i w:val="0"/>
                <w:iCs w:val="0"/>
                <w:sz w:val="20"/>
                <w:szCs w:val="20"/>
              </w:rPr>
              <w:t>32</w:t>
            </w:r>
            <w:r>
              <w:rPr>
                <w:rStyle w:val="a6"/>
                <w:i w:val="0"/>
                <w:iCs w:val="0"/>
                <w:sz w:val="20"/>
                <w:szCs w:val="20"/>
              </w:rPr>
              <w:t>6</w:t>
            </w:r>
            <w:r>
              <w:rPr>
                <w:rStyle w:val="a6"/>
                <w:i w:val="0"/>
                <w:iCs w:val="0"/>
                <w:sz w:val="20"/>
                <w:szCs w:val="20"/>
              </w:rPr>
              <w:t>): Measurement of Credit Losses on Financial Instruments</w:t>
            </w:r>
          </w:p>
          <w:p w14:paraId="5FE99ED1" w14:textId="77777777" w:rsidR="00000000" w:rsidRDefault="00527094">
            <w:pPr>
              <w:pStyle w:val="a3"/>
              <w:spacing w:before="0" w:beforeAutospacing="0" w:after="0" w:afterAutospacing="0"/>
              <w:rPr>
                <w:sz w:val="20"/>
                <w:szCs w:val="20"/>
              </w:rPr>
            </w:pPr>
            <w:r>
              <w:rPr>
                <w:rStyle w:val="a6"/>
                <w:i w:val="0"/>
                <w:iCs w:val="0"/>
                <w:sz w:val="20"/>
                <w:szCs w:val="20"/>
              </w:rPr>
              <w:t> </w:t>
            </w:r>
          </w:p>
          <w:p w14:paraId="207EA0C1" w14:textId="77777777" w:rsidR="00000000" w:rsidRDefault="00527094">
            <w:pPr>
              <w:pStyle w:val="a3"/>
              <w:spacing w:before="0" w:beforeAutospacing="0" w:after="0" w:afterAutospacing="0"/>
              <w:rPr>
                <w:sz w:val="20"/>
                <w:szCs w:val="20"/>
              </w:rPr>
            </w:pPr>
            <w:r>
              <w:rPr>
                <w:rStyle w:val="a6"/>
                <w:i w:val="0"/>
                <w:iCs w:val="0"/>
                <w:sz w:val="20"/>
                <w:szCs w:val="20"/>
              </w:rPr>
              <w:t>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19</w:t>
            </w:r>
            <w:r>
              <w:rPr>
                <w:rStyle w:val="a6"/>
                <w:i w:val="0"/>
                <w:iCs w:val="0"/>
                <w:sz w:val="20"/>
                <w:szCs w:val="20"/>
              </w:rPr>
              <w:t>,</w:t>
            </w:r>
            <w:r>
              <w:rPr>
                <w:rStyle w:val="a6"/>
                <w:i w:val="0"/>
                <w:iCs w:val="0"/>
                <w:sz w:val="20"/>
                <w:szCs w:val="20"/>
              </w:rPr>
              <w:t xml:space="preserve"> Codification Improvements to Topic</w:t>
            </w:r>
            <w:r>
              <w:rPr>
                <w:rStyle w:val="a6"/>
                <w:i w:val="0"/>
                <w:iCs w:val="0"/>
                <w:sz w:val="20"/>
                <w:szCs w:val="20"/>
              </w:rPr>
              <w:t xml:space="preserve"> </w:t>
            </w:r>
            <w:r>
              <w:rPr>
                <w:rStyle w:val="a6"/>
                <w:i w:val="0"/>
                <w:iCs w:val="0"/>
                <w:sz w:val="20"/>
                <w:szCs w:val="20"/>
              </w:rPr>
              <w:t>326</w:t>
            </w:r>
            <w:r>
              <w:rPr>
                <w:rStyle w:val="a6"/>
                <w:i w:val="0"/>
                <w:iCs w:val="0"/>
                <w:sz w:val="20"/>
                <w:szCs w:val="20"/>
              </w:rPr>
              <w:t>,</w:t>
            </w:r>
            <w:r>
              <w:rPr>
                <w:rStyle w:val="a6"/>
                <w:i w:val="0"/>
                <w:iCs w:val="0"/>
                <w:sz w:val="20"/>
                <w:szCs w:val="20"/>
              </w:rPr>
              <w:t> Financial Instruments – Credit Losses</w:t>
            </w:r>
          </w:p>
          <w:p w14:paraId="34E9C403" w14:textId="77777777" w:rsidR="00000000" w:rsidRDefault="00527094">
            <w:pPr>
              <w:pStyle w:val="a3"/>
              <w:spacing w:before="0" w:beforeAutospacing="0" w:after="0" w:afterAutospacing="0"/>
              <w:rPr>
                <w:sz w:val="20"/>
                <w:szCs w:val="20"/>
              </w:rPr>
            </w:pPr>
            <w:r>
              <w:rPr>
                <w:rStyle w:val="a6"/>
                <w:i w:val="0"/>
                <w:iCs w:val="0"/>
                <w:sz w:val="20"/>
                <w:szCs w:val="20"/>
              </w:rPr>
              <w:t> </w:t>
            </w:r>
          </w:p>
          <w:p w14:paraId="07116DE7" w14:textId="77777777" w:rsidR="00000000" w:rsidRDefault="00527094">
            <w:pPr>
              <w:pStyle w:val="a3"/>
              <w:spacing w:before="0" w:beforeAutospacing="0" w:after="0" w:afterAutospacing="0"/>
              <w:rPr>
                <w:sz w:val="20"/>
                <w:szCs w:val="20"/>
              </w:rPr>
            </w:pPr>
            <w:r>
              <w:rPr>
                <w:rStyle w:val="a6"/>
                <w:i w:val="0"/>
                <w:iCs w:val="0"/>
                <w:sz w:val="20"/>
                <w:szCs w:val="20"/>
              </w:rPr>
              <w:t>ASU</w:t>
            </w:r>
            <w:r>
              <w:rPr>
                <w:rStyle w:val="a6"/>
                <w:i w:val="0"/>
                <w:iCs w:val="0"/>
                <w:sz w:val="20"/>
                <w:szCs w:val="20"/>
              </w:rPr>
              <w:t xml:space="preserve"> </w:t>
            </w:r>
            <w:r>
              <w:rPr>
                <w:rStyle w:val="a6"/>
                <w:i w:val="0"/>
                <w:iCs w:val="0"/>
                <w:sz w:val="20"/>
                <w:szCs w:val="20"/>
              </w:rPr>
              <w:t>201</w:t>
            </w:r>
            <w:r>
              <w:rPr>
                <w:rStyle w:val="a6"/>
                <w:i w:val="0"/>
                <w:iCs w:val="0"/>
                <w:sz w:val="20"/>
                <w:szCs w:val="20"/>
              </w:rPr>
              <w:t>9</w:t>
            </w:r>
            <w:r>
              <w:rPr>
                <w:rStyle w:val="a6"/>
                <w:i w:val="0"/>
                <w:iCs w:val="0"/>
                <w:sz w:val="20"/>
                <w:szCs w:val="20"/>
              </w:rPr>
              <w:t>-</w:t>
            </w:r>
            <w:r>
              <w:rPr>
                <w:rStyle w:val="a6"/>
                <w:i w:val="0"/>
                <w:iCs w:val="0"/>
                <w:sz w:val="20"/>
                <w:szCs w:val="20"/>
              </w:rPr>
              <w:t>05</w:t>
            </w:r>
            <w:r>
              <w:rPr>
                <w:rStyle w:val="a6"/>
                <w:i w:val="0"/>
                <w:iCs w:val="0"/>
                <w:sz w:val="20"/>
                <w:szCs w:val="20"/>
              </w:rPr>
              <w:t>,</w:t>
            </w:r>
            <w:r>
              <w:rPr>
                <w:rStyle w:val="a6"/>
                <w:i w:val="0"/>
                <w:iCs w:val="0"/>
                <w:sz w:val="20"/>
                <w:szCs w:val="20"/>
              </w:rPr>
              <w:t xml:space="preserve"> Financial Instruments – Credit Losses (Topic</w:t>
            </w:r>
            <w:r>
              <w:rPr>
                <w:rStyle w:val="a6"/>
                <w:i w:val="0"/>
                <w:iCs w:val="0"/>
                <w:sz w:val="20"/>
                <w:szCs w:val="20"/>
              </w:rPr>
              <w:t xml:space="preserve"> </w:t>
            </w:r>
            <w:r>
              <w:rPr>
                <w:rStyle w:val="a6"/>
                <w:i w:val="0"/>
                <w:iCs w:val="0"/>
                <w:sz w:val="20"/>
                <w:szCs w:val="20"/>
              </w:rPr>
              <w:t>32</w:t>
            </w:r>
            <w:r>
              <w:rPr>
                <w:rStyle w:val="a6"/>
                <w:i w:val="0"/>
                <w:iCs w:val="0"/>
                <w:sz w:val="20"/>
                <w:szCs w:val="20"/>
              </w:rPr>
              <w:t>6</w:t>
            </w:r>
            <w:r>
              <w:rPr>
                <w:rStyle w:val="a6"/>
                <w:i w:val="0"/>
                <w:iCs w:val="0"/>
                <w:sz w:val="20"/>
                <w:szCs w:val="20"/>
              </w:rPr>
              <w:t>), Targeted Transition Relief</w:t>
            </w:r>
          </w:p>
        </w:tc>
        <w:tc>
          <w:tcPr>
            <w:tcW w:w="2190" w:type="pct"/>
            <w:tcBorders>
              <w:bottom w:val="single" w:sz="6" w:space="0" w:color="000000"/>
            </w:tcBorders>
            <w:shd w:val="clear" w:color="auto" w:fill="FFFFFF"/>
            <w:tcMar>
              <w:top w:w="0" w:type="dxa"/>
              <w:left w:w="75" w:type="dxa"/>
              <w:bottom w:w="0" w:type="dxa"/>
              <w:right w:w="75" w:type="dxa"/>
            </w:tcMar>
            <w:hideMark/>
          </w:tcPr>
          <w:p w14:paraId="42B1DCFB" w14:textId="77777777" w:rsidR="00000000" w:rsidRDefault="00527094">
            <w:pPr>
              <w:pStyle w:val="a3"/>
              <w:spacing w:before="0" w:beforeAutospacing="0" w:after="0" w:afterAutospacing="0"/>
              <w:jc w:val="both"/>
              <w:rPr>
                <w:sz w:val="20"/>
                <w:szCs w:val="20"/>
              </w:rPr>
            </w:pPr>
            <w:r>
              <w:rPr>
                <w:rStyle w:val="a6"/>
                <w:i w:val="0"/>
                <w:iCs w:val="0"/>
                <w:sz w:val="20"/>
                <w:szCs w:val="20"/>
              </w:rPr>
              <w:t>T</w:t>
            </w:r>
            <w:r>
              <w:rPr>
                <w:rStyle w:val="a6"/>
                <w:i w:val="0"/>
                <w:iCs w:val="0"/>
                <w:sz w:val="20"/>
                <w:szCs w:val="20"/>
              </w:rPr>
              <w:t>he new guidance introduces a new model for estimating credit losses for certain types of financial instruments, including loans receivable, held-to-maturity debt securities, and net investments in direct financing leases, amongst other financial instrument</w:t>
            </w:r>
            <w:r>
              <w:rPr>
                <w:rStyle w:val="a6"/>
                <w:i w:val="0"/>
                <w:iCs w:val="0"/>
                <w:sz w:val="20"/>
                <w:szCs w:val="20"/>
              </w:rPr>
              <w:t>s. ASU</w:t>
            </w:r>
            <w:r>
              <w:rPr>
                <w:rStyle w:val="a6"/>
                <w:i w:val="0"/>
                <w:iCs w:val="0"/>
                <w:sz w:val="20"/>
                <w:szCs w:val="20"/>
              </w:rPr>
              <w:t xml:space="preserve"> </w:t>
            </w:r>
            <w:r>
              <w:rPr>
                <w:rStyle w:val="a6"/>
                <w:i w:val="0"/>
                <w:iCs w:val="0"/>
                <w:sz w:val="20"/>
                <w:szCs w:val="20"/>
              </w:rPr>
              <w:t>201</w:t>
            </w:r>
            <w:r>
              <w:rPr>
                <w:rStyle w:val="a6"/>
                <w:i w:val="0"/>
                <w:iCs w:val="0"/>
                <w:sz w:val="20"/>
                <w:szCs w:val="20"/>
              </w:rPr>
              <w:t>6</w:t>
            </w:r>
            <w:r>
              <w:rPr>
                <w:rStyle w:val="a6"/>
                <w:i w:val="0"/>
                <w:iCs w:val="0"/>
                <w:sz w:val="20"/>
                <w:szCs w:val="20"/>
              </w:rPr>
              <w:t>-</w:t>
            </w:r>
            <w:r>
              <w:rPr>
                <w:rStyle w:val="a6"/>
                <w:i w:val="0"/>
                <w:iCs w:val="0"/>
                <w:sz w:val="20"/>
                <w:szCs w:val="20"/>
              </w:rPr>
              <w:t>1</w:t>
            </w:r>
            <w:r>
              <w:rPr>
                <w:rStyle w:val="a6"/>
                <w:i w:val="0"/>
                <w:iCs w:val="0"/>
                <w:sz w:val="20"/>
                <w:szCs w:val="20"/>
              </w:rPr>
              <w:t>3</w:t>
            </w:r>
            <w:r>
              <w:rPr>
                <w:rStyle w:val="a6"/>
                <w:i w:val="0"/>
                <w:iCs w:val="0"/>
                <w:sz w:val="20"/>
                <w:szCs w:val="20"/>
              </w:rPr>
              <w:t xml:space="preserve"> also modifies the impairment model for available-for-sale debt securities and expands the disclosure requirements regarding an entity’s assumptions, models, and methods for estimating the allowance for losses.</w:t>
            </w:r>
          </w:p>
          <w:p w14:paraId="3C776D83"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4CB11CBF" w14:textId="77777777" w:rsidR="00000000" w:rsidRDefault="00527094">
            <w:pPr>
              <w:pStyle w:val="a3"/>
              <w:spacing w:before="0" w:beforeAutospacing="0" w:after="0" w:afterAutospacing="0"/>
              <w:jc w:val="both"/>
              <w:rPr>
                <w:sz w:val="20"/>
                <w:szCs w:val="20"/>
              </w:rPr>
            </w:pPr>
            <w:r>
              <w:rPr>
                <w:rStyle w:val="a6"/>
                <w:i w:val="0"/>
                <w:iCs w:val="0"/>
                <w:sz w:val="20"/>
                <w:szCs w:val="20"/>
              </w:rPr>
              <w:t>In</w:t>
            </w:r>
            <w:r>
              <w:rPr>
                <w:rStyle w:val="a6"/>
                <w:i w:val="0"/>
                <w:iCs w:val="0"/>
                <w:sz w:val="20"/>
                <w:szCs w:val="20"/>
              </w:rPr>
              <w:t xml:space="preserve"> </w:t>
            </w:r>
            <w:r>
              <w:rPr>
                <w:rStyle w:val="a6"/>
                <w:i w:val="0"/>
                <w:iCs w:val="0"/>
                <w:sz w:val="20"/>
                <w:szCs w:val="20"/>
              </w:rPr>
              <w:t>November 2018,</w:t>
            </w:r>
            <w:r>
              <w:rPr>
                <w:rStyle w:val="a6"/>
                <w:i w:val="0"/>
                <w:iCs w:val="0"/>
                <w:sz w:val="20"/>
                <w:szCs w:val="20"/>
              </w:rPr>
              <w:t xml:space="preserve"> </w:t>
            </w:r>
            <w:r>
              <w:rPr>
                <w:rStyle w:val="a6"/>
                <w:i w:val="0"/>
                <w:iCs w:val="0"/>
                <w:sz w:val="20"/>
                <w:szCs w:val="20"/>
              </w:rPr>
              <w:t>the FASB is</w:t>
            </w:r>
            <w:r>
              <w:rPr>
                <w:rStyle w:val="a6"/>
                <w:i w:val="0"/>
                <w:iCs w:val="0"/>
                <w:sz w:val="20"/>
                <w:szCs w:val="20"/>
              </w:rPr>
              <w:t>sued ASU</w:t>
            </w:r>
            <w:r>
              <w:rPr>
                <w:rStyle w:val="a6"/>
                <w:i w:val="0"/>
                <w:iCs w:val="0"/>
                <w:sz w:val="20"/>
                <w:szCs w:val="20"/>
              </w:rPr>
              <w:t xml:space="preserve"> </w:t>
            </w:r>
            <w:r>
              <w:rPr>
                <w:rStyle w:val="a6"/>
                <w:i w:val="0"/>
                <w:iCs w:val="0"/>
                <w:sz w:val="20"/>
                <w:szCs w:val="20"/>
              </w:rPr>
              <w:t>201</w:t>
            </w:r>
            <w:r>
              <w:rPr>
                <w:rStyle w:val="a6"/>
                <w:i w:val="0"/>
                <w:iCs w:val="0"/>
                <w:sz w:val="20"/>
                <w:szCs w:val="20"/>
              </w:rPr>
              <w:t>8</w:t>
            </w:r>
            <w:r>
              <w:rPr>
                <w:rStyle w:val="a6"/>
                <w:i w:val="0"/>
                <w:iCs w:val="0"/>
                <w:sz w:val="20"/>
                <w:szCs w:val="20"/>
              </w:rPr>
              <w:t>-</w:t>
            </w:r>
            <w:r>
              <w:rPr>
                <w:rStyle w:val="a6"/>
                <w:i w:val="0"/>
                <w:iCs w:val="0"/>
                <w:sz w:val="20"/>
                <w:szCs w:val="20"/>
              </w:rPr>
              <w:t>19</w:t>
            </w:r>
            <w:r>
              <w:rPr>
                <w:rStyle w:val="a6"/>
                <w:i w:val="0"/>
                <w:iCs w:val="0"/>
                <w:sz w:val="20"/>
                <w:szCs w:val="20"/>
              </w:rPr>
              <w:t>,</w:t>
            </w:r>
            <w:r>
              <w:rPr>
                <w:rStyle w:val="a6"/>
                <w:i w:val="0"/>
                <w:iCs w:val="0"/>
                <w:sz w:val="20"/>
                <w:szCs w:val="20"/>
              </w:rPr>
              <w:t xml:space="preserve"> which includes amendments to (i) clarify receivables arising from operating leases are within the scope of the new leasing standard (Topic</w:t>
            </w:r>
            <w:r>
              <w:rPr>
                <w:rStyle w:val="a6"/>
                <w:i w:val="0"/>
                <w:iCs w:val="0"/>
                <w:sz w:val="20"/>
                <w:szCs w:val="20"/>
              </w:rPr>
              <w:t xml:space="preserve"> </w:t>
            </w:r>
            <w:r>
              <w:rPr>
                <w:rStyle w:val="a6"/>
                <w:i w:val="0"/>
                <w:iCs w:val="0"/>
                <w:sz w:val="20"/>
                <w:szCs w:val="20"/>
              </w:rPr>
              <w:t>84</w:t>
            </w:r>
            <w:r>
              <w:rPr>
                <w:rStyle w:val="a6"/>
                <w:i w:val="0"/>
                <w:iCs w:val="0"/>
                <w:sz w:val="20"/>
                <w:szCs w:val="20"/>
              </w:rPr>
              <w:t>2</w:t>
            </w:r>
            <w:r>
              <w:rPr>
                <w:rStyle w:val="a6"/>
                <w:i w:val="0"/>
                <w:iCs w:val="0"/>
                <w:sz w:val="20"/>
                <w:szCs w:val="20"/>
              </w:rPr>
              <w:t>) discussed below and (ii) align the implementation date for nonpublic entities’ annual financia</w:t>
            </w:r>
            <w:r>
              <w:rPr>
                <w:rStyle w:val="a6"/>
                <w:i w:val="0"/>
                <w:iCs w:val="0"/>
                <w:sz w:val="20"/>
                <w:szCs w:val="20"/>
              </w:rPr>
              <w:t>l statements with the implementation date for their interim financial statements. Early adoption is permitted as of the original effective date.</w:t>
            </w:r>
          </w:p>
          <w:p w14:paraId="41A8A347"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7D8CB71A" w14:textId="77777777" w:rsidR="00000000" w:rsidRDefault="00527094">
            <w:pPr>
              <w:pStyle w:val="a3"/>
              <w:spacing w:before="0" w:beforeAutospacing="0" w:after="0" w:afterAutospacing="0"/>
              <w:jc w:val="both"/>
              <w:rPr>
                <w:sz w:val="20"/>
                <w:szCs w:val="20"/>
              </w:rPr>
            </w:pPr>
            <w:r>
              <w:rPr>
                <w:rStyle w:val="a6"/>
                <w:i w:val="0"/>
                <w:iCs w:val="0"/>
                <w:sz w:val="20"/>
                <w:szCs w:val="20"/>
              </w:rPr>
              <w:t>In</w:t>
            </w:r>
            <w:r>
              <w:rPr>
                <w:rStyle w:val="a6"/>
                <w:i w:val="0"/>
                <w:iCs w:val="0"/>
                <w:sz w:val="20"/>
                <w:szCs w:val="20"/>
              </w:rPr>
              <w:t xml:space="preserve"> </w:t>
            </w:r>
            <w:r>
              <w:rPr>
                <w:rStyle w:val="a6"/>
                <w:i w:val="0"/>
                <w:iCs w:val="0"/>
                <w:sz w:val="20"/>
                <w:szCs w:val="20"/>
              </w:rPr>
              <w:t>May</w:t>
            </w:r>
            <w:r>
              <w:rPr>
                <w:rStyle w:val="a6"/>
                <w:i w:val="0"/>
                <w:iCs w:val="0"/>
                <w:sz w:val="20"/>
                <w:szCs w:val="20"/>
              </w:rPr>
              <w:t> </w:t>
            </w:r>
            <w:r>
              <w:rPr>
                <w:rStyle w:val="a6"/>
                <w:i w:val="0"/>
                <w:iCs w:val="0"/>
                <w:sz w:val="20"/>
                <w:szCs w:val="20"/>
              </w:rPr>
              <w:t>2019</w:t>
            </w:r>
            <w:r>
              <w:rPr>
                <w:rStyle w:val="a6"/>
                <w:i w:val="0"/>
                <w:iCs w:val="0"/>
                <w:sz w:val="20"/>
                <w:szCs w:val="20"/>
              </w:rPr>
              <w:t>,</w:t>
            </w:r>
            <w:r>
              <w:rPr>
                <w:rStyle w:val="a6"/>
                <w:i w:val="0"/>
                <w:iCs w:val="0"/>
                <w:sz w:val="20"/>
                <w:szCs w:val="20"/>
              </w:rPr>
              <w:t xml:space="preserve"> the FASB issued ASU</w:t>
            </w:r>
            <w:r>
              <w:rPr>
                <w:rStyle w:val="a6"/>
                <w:i w:val="0"/>
                <w:iCs w:val="0"/>
                <w:sz w:val="20"/>
                <w:szCs w:val="20"/>
              </w:rPr>
              <w:t> </w:t>
            </w:r>
            <w:r>
              <w:rPr>
                <w:rStyle w:val="a6"/>
                <w:i w:val="0"/>
                <w:iCs w:val="0"/>
                <w:sz w:val="20"/>
                <w:szCs w:val="20"/>
              </w:rPr>
              <w:t>201</w:t>
            </w:r>
            <w:r>
              <w:rPr>
                <w:rStyle w:val="a6"/>
                <w:i w:val="0"/>
                <w:iCs w:val="0"/>
                <w:sz w:val="20"/>
                <w:szCs w:val="20"/>
              </w:rPr>
              <w:t>9</w:t>
            </w:r>
            <w:r>
              <w:rPr>
                <w:rStyle w:val="a6"/>
                <w:i w:val="0"/>
                <w:iCs w:val="0"/>
                <w:sz w:val="20"/>
                <w:szCs w:val="20"/>
              </w:rPr>
              <w:t>-</w:t>
            </w:r>
            <w:r>
              <w:rPr>
                <w:rStyle w:val="a6"/>
                <w:i w:val="0"/>
                <w:iCs w:val="0"/>
                <w:sz w:val="20"/>
                <w:szCs w:val="20"/>
              </w:rPr>
              <w:t>0</w:t>
            </w:r>
            <w:r>
              <w:rPr>
                <w:rStyle w:val="a6"/>
                <w:i w:val="0"/>
                <w:iCs w:val="0"/>
                <w:sz w:val="20"/>
                <w:szCs w:val="20"/>
              </w:rPr>
              <w:t>5</w:t>
            </w:r>
            <w:r>
              <w:rPr>
                <w:rStyle w:val="a6"/>
                <w:i w:val="0"/>
                <w:iCs w:val="0"/>
                <w:sz w:val="20"/>
                <w:szCs w:val="20"/>
              </w:rPr>
              <w:t> which amends ASU</w:t>
            </w:r>
            <w:r>
              <w:rPr>
                <w:rStyle w:val="a6"/>
                <w:i w:val="0"/>
                <w:iCs w:val="0"/>
                <w:sz w:val="20"/>
                <w:szCs w:val="20"/>
              </w:rPr>
              <w:t> </w:t>
            </w:r>
            <w:r>
              <w:rPr>
                <w:rStyle w:val="a6"/>
                <w:i w:val="0"/>
                <w:iCs w:val="0"/>
                <w:sz w:val="20"/>
                <w:szCs w:val="20"/>
              </w:rPr>
              <w:t>201</w:t>
            </w:r>
            <w:r>
              <w:rPr>
                <w:rStyle w:val="a6"/>
                <w:i w:val="0"/>
                <w:iCs w:val="0"/>
                <w:sz w:val="20"/>
                <w:szCs w:val="20"/>
              </w:rPr>
              <w:t>6</w:t>
            </w:r>
            <w:r>
              <w:rPr>
                <w:rStyle w:val="a6"/>
                <w:i w:val="0"/>
                <w:iCs w:val="0"/>
                <w:sz w:val="20"/>
                <w:szCs w:val="20"/>
              </w:rPr>
              <w:t>-</w:t>
            </w:r>
            <w:r>
              <w:rPr>
                <w:rStyle w:val="a6"/>
                <w:i w:val="0"/>
                <w:iCs w:val="0"/>
                <w:sz w:val="20"/>
                <w:szCs w:val="20"/>
              </w:rPr>
              <w:t>1</w:t>
            </w:r>
            <w:r>
              <w:rPr>
                <w:rStyle w:val="a6"/>
                <w:i w:val="0"/>
                <w:iCs w:val="0"/>
                <w:sz w:val="20"/>
                <w:szCs w:val="20"/>
              </w:rPr>
              <w:t>3</w:t>
            </w:r>
            <w:r>
              <w:rPr>
                <w:rStyle w:val="a6"/>
                <w:i w:val="0"/>
                <w:iCs w:val="0"/>
                <w:sz w:val="20"/>
                <w:szCs w:val="20"/>
              </w:rPr>
              <w:t xml:space="preserve"> to allow companies to irrevocably elect, up</w:t>
            </w:r>
            <w:r>
              <w:rPr>
                <w:rStyle w:val="a6"/>
                <w:i w:val="0"/>
                <w:iCs w:val="0"/>
                <w:sz w:val="20"/>
                <w:szCs w:val="20"/>
              </w:rPr>
              <w:t>on adoption of ASU</w:t>
            </w:r>
            <w:r>
              <w:rPr>
                <w:rStyle w:val="a6"/>
                <w:i w:val="0"/>
                <w:iCs w:val="0"/>
                <w:sz w:val="20"/>
                <w:szCs w:val="20"/>
              </w:rPr>
              <w:t xml:space="preserve"> </w:t>
            </w:r>
            <w:r>
              <w:rPr>
                <w:rStyle w:val="a6"/>
                <w:i w:val="0"/>
                <w:iCs w:val="0"/>
                <w:sz w:val="20"/>
                <w:szCs w:val="20"/>
              </w:rPr>
              <w:t>201</w:t>
            </w:r>
            <w:r>
              <w:rPr>
                <w:rStyle w:val="a6"/>
                <w:i w:val="0"/>
                <w:iCs w:val="0"/>
                <w:sz w:val="20"/>
                <w:szCs w:val="20"/>
              </w:rPr>
              <w:t>6</w:t>
            </w:r>
            <w:r>
              <w:rPr>
                <w:rStyle w:val="a6"/>
                <w:i w:val="0"/>
                <w:iCs w:val="0"/>
                <w:sz w:val="20"/>
                <w:szCs w:val="20"/>
              </w:rPr>
              <w:t>-</w:t>
            </w:r>
            <w:r>
              <w:rPr>
                <w:rStyle w:val="a6"/>
                <w:i w:val="0"/>
                <w:iCs w:val="0"/>
                <w:sz w:val="20"/>
                <w:szCs w:val="20"/>
              </w:rPr>
              <w:t>13</w:t>
            </w:r>
            <w:r>
              <w:rPr>
                <w:rStyle w:val="a6"/>
                <w:i w:val="0"/>
                <w:iCs w:val="0"/>
                <w:sz w:val="20"/>
                <w:szCs w:val="20"/>
              </w:rPr>
              <w:t>,</w:t>
            </w:r>
            <w:r>
              <w:rPr>
                <w:rStyle w:val="a6"/>
                <w:i w:val="0"/>
                <w:iCs w:val="0"/>
                <w:sz w:val="20"/>
                <w:szCs w:val="20"/>
              </w:rPr>
              <w:t xml:space="preserve"> the fair value option on financial instruments that (i) were previously recorded at amortized cost and (ii) are within the scope of ASC</w:t>
            </w:r>
            <w:r>
              <w:rPr>
                <w:rStyle w:val="a6"/>
                <w:i w:val="0"/>
                <w:iCs w:val="0"/>
                <w:sz w:val="20"/>
                <w:szCs w:val="20"/>
              </w:rPr>
              <w:t xml:space="preserve"> </w:t>
            </w:r>
            <w:r>
              <w:rPr>
                <w:rStyle w:val="a6"/>
                <w:i w:val="0"/>
                <w:iCs w:val="0"/>
                <w:sz w:val="20"/>
                <w:szCs w:val="20"/>
              </w:rPr>
              <w:t>32</w:t>
            </w:r>
            <w:r>
              <w:rPr>
                <w:rStyle w:val="a6"/>
                <w:i w:val="0"/>
                <w:iCs w:val="0"/>
                <w:sz w:val="20"/>
                <w:szCs w:val="20"/>
              </w:rPr>
              <w:t>6</w:t>
            </w:r>
            <w:r>
              <w:rPr>
                <w:rStyle w:val="a6"/>
                <w:i w:val="0"/>
                <w:iCs w:val="0"/>
                <w:sz w:val="20"/>
                <w:szCs w:val="20"/>
              </w:rPr>
              <w:t>-</w:t>
            </w:r>
            <w:r>
              <w:rPr>
                <w:rStyle w:val="a6"/>
                <w:i w:val="0"/>
                <w:iCs w:val="0"/>
                <w:sz w:val="20"/>
                <w:szCs w:val="20"/>
              </w:rPr>
              <w:t>20</w:t>
            </w:r>
            <w:r>
              <w:rPr>
                <w:rStyle w:val="a6"/>
                <w:i w:val="0"/>
                <w:iCs w:val="0"/>
                <w:sz w:val="20"/>
                <w:szCs w:val="20"/>
              </w:rPr>
              <w:t>3</w:t>
            </w:r>
            <w:r>
              <w:rPr>
                <w:rStyle w:val="a6"/>
                <w:i w:val="0"/>
                <w:iCs w:val="0"/>
                <w:sz w:val="20"/>
                <w:szCs w:val="20"/>
              </w:rPr>
              <w:t xml:space="preserve"> if the instruments are eligible for the fair value option under ASC</w:t>
            </w:r>
            <w:r>
              <w:rPr>
                <w:rStyle w:val="a6"/>
                <w:i w:val="0"/>
                <w:iCs w:val="0"/>
                <w:sz w:val="20"/>
                <w:szCs w:val="20"/>
              </w:rPr>
              <w:t xml:space="preserve"> </w:t>
            </w:r>
            <w:r>
              <w:rPr>
                <w:rStyle w:val="a6"/>
                <w:i w:val="0"/>
                <w:iCs w:val="0"/>
                <w:sz w:val="20"/>
                <w:szCs w:val="20"/>
              </w:rPr>
              <w:t>82</w:t>
            </w:r>
            <w:r>
              <w:rPr>
                <w:rStyle w:val="a6"/>
                <w:i w:val="0"/>
                <w:iCs w:val="0"/>
                <w:sz w:val="20"/>
                <w:szCs w:val="20"/>
              </w:rPr>
              <w:t>5</w:t>
            </w:r>
            <w:r>
              <w:rPr>
                <w:rStyle w:val="a6"/>
                <w:i w:val="0"/>
                <w:iCs w:val="0"/>
                <w:sz w:val="20"/>
                <w:szCs w:val="20"/>
              </w:rPr>
              <w:t>-</w:t>
            </w:r>
            <w:r>
              <w:rPr>
                <w:rStyle w:val="a6"/>
                <w:i w:val="0"/>
                <w:iCs w:val="0"/>
                <w:sz w:val="20"/>
                <w:szCs w:val="20"/>
              </w:rPr>
              <w:t>10.4</w:t>
            </w:r>
            <w:r>
              <w:rPr>
                <w:rStyle w:val="a6"/>
                <w:i w:val="0"/>
                <w:iCs w:val="0"/>
                <w:sz w:val="20"/>
                <w:szCs w:val="20"/>
              </w:rPr>
              <w:t>.</w:t>
            </w:r>
            <w:r>
              <w:rPr>
                <w:rStyle w:val="a6"/>
                <w:i w:val="0"/>
                <w:iCs w:val="0"/>
                <w:sz w:val="20"/>
                <w:szCs w:val="20"/>
              </w:rPr>
              <w:t xml:space="preserve"> The fa</w:t>
            </w:r>
            <w:r>
              <w:rPr>
                <w:rStyle w:val="a6"/>
                <w:i w:val="0"/>
                <w:iCs w:val="0"/>
                <w:sz w:val="20"/>
                <w:szCs w:val="20"/>
              </w:rPr>
              <w:t>ir value option election does</w:t>
            </w:r>
            <w:r>
              <w:rPr>
                <w:rStyle w:val="a6"/>
                <w:i w:val="0"/>
                <w:iCs w:val="0"/>
                <w:sz w:val="20"/>
                <w:szCs w:val="20"/>
              </w:rPr>
              <w:t xml:space="preserve"> </w:t>
            </w:r>
            <w:r>
              <w:rPr>
                <w:rStyle w:val="a6"/>
                <w:i w:val="0"/>
                <w:iCs w:val="0"/>
                <w:sz w:val="20"/>
                <w:szCs w:val="20"/>
              </w:rPr>
              <w:t>no</w:t>
            </w:r>
            <w:r>
              <w:rPr>
                <w:rStyle w:val="a6"/>
                <w:i w:val="0"/>
                <w:iCs w:val="0"/>
                <w:sz w:val="20"/>
                <w:szCs w:val="20"/>
              </w:rPr>
              <w:t>t</w:t>
            </w:r>
            <w:r>
              <w:rPr>
                <w:rStyle w:val="a6"/>
                <w:i w:val="0"/>
                <w:iCs w:val="0"/>
                <w:sz w:val="20"/>
                <w:szCs w:val="20"/>
              </w:rPr>
              <w:t xml:space="preserve"> apply to held-to-maturity debt securities. Entities are required to make this election on an instrument-by-instrument basis. These amendments should be applied on a modified-retrospective basis by means of a cumulative-eff</w:t>
            </w:r>
            <w:r>
              <w:rPr>
                <w:rStyle w:val="a6"/>
                <w:i w:val="0"/>
                <w:iCs w:val="0"/>
                <w:sz w:val="20"/>
                <w:szCs w:val="20"/>
              </w:rPr>
              <w:t>ect adjustment to the opening balance of retained earnings balance in the statement of financial position as of the date that an entity adopted the amendments in ASU</w:t>
            </w:r>
            <w:r>
              <w:rPr>
                <w:rStyle w:val="a6"/>
                <w:i w:val="0"/>
                <w:iCs w:val="0"/>
                <w:sz w:val="20"/>
                <w:szCs w:val="20"/>
              </w:rPr>
              <w:t xml:space="preserve"> </w:t>
            </w:r>
            <w:r>
              <w:rPr>
                <w:rStyle w:val="a6"/>
                <w:i w:val="0"/>
                <w:iCs w:val="0"/>
                <w:sz w:val="20"/>
                <w:szCs w:val="20"/>
              </w:rPr>
              <w:t>201</w:t>
            </w:r>
            <w:r>
              <w:rPr>
                <w:rStyle w:val="a6"/>
                <w:i w:val="0"/>
                <w:iCs w:val="0"/>
                <w:sz w:val="20"/>
                <w:szCs w:val="20"/>
              </w:rPr>
              <w:t>6</w:t>
            </w:r>
            <w:r>
              <w:rPr>
                <w:rStyle w:val="a6"/>
                <w:i w:val="0"/>
                <w:iCs w:val="0"/>
                <w:sz w:val="20"/>
                <w:szCs w:val="20"/>
              </w:rPr>
              <w:t>-</w:t>
            </w:r>
            <w:r>
              <w:rPr>
                <w:rStyle w:val="a6"/>
                <w:i w:val="0"/>
                <w:iCs w:val="0"/>
                <w:sz w:val="20"/>
                <w:szCs w:val="20"/>
              </w:rPr>
              <w:t>13</w:t>
            </w:r>
            <w:r>
              <w:rPr>
                <w:rStyle w:val="a6"/>
                <w:i w:val="0"/>
                <w:iCs w:val="0"/>
                <w:sz w:val="20"/>
                <w:szCs w:val="20"/>
              </w:rPr>
              <w:t>.</w:t>
            </w:r>
            <w:r>
              <w:rPr>
                <w:rStyle w:val="a6"/>
                <w:i w:val="0"/>
                <w:iCs w:val="0"/>
                <w:sz w:val="20"/>
                <w:szCs w:val="20"/>
              </w:rPr>
              <w:t xml:space="preserve"> Certain disclosures are required. The effective date will be the same as the effe</w:t>
            </w:r>
            <w:r>
              <w:rPr>
                <w:rStyle w:val="a6"/>
                <w:i w:val="0"/>
                <w:iCs w:val="0"/>
                <w:sz w:val="20"/>
                <w:szCs w:val="20"/>
              </w:rPr>
              <w:t>ctive date in ASU</w:t>
            </w:r>
            <w:r>
              <w:rPr>
                <w:rStyle w:val="a6"/>
                <w:i w:val="0"/>
                <w:iCs w:val="0"/>
                <w:sz w:val="20"/>
                <w:szCs w:val="20"/>
              </w:rPr>
              <w:t xml:space="preserve"> </w:t>
            </w:r>
            <w:r>
              <w:rPr>
                <w:rStyle w:val="a6"/>
                <w:i w:val="0"/>
                <w:iCs w:val="0"/>
                <w:sz w:val="20"/>
                <w:szCs w:val="20"/>
              </w:rPr>
              <w:t>201</w:t>
            </w:r>
            <w:r>
              <w:rPr>
                <w:rStyle w:val="a6"/>
                <w:i w:val="0"/>
                <w:iCs w:val="0"/>
                <w:sz w:val="20"/>
                <w:szCs w:val="20"/>
              </w:rPr>
              <w:t>6</w:t>
            </w:r>
            <w:r>
              <w:rPr>
                <w:rStyle w:val="a6"/>
                <w:i w:val="0"/>
                <w:iCs w:val="0"/>
                <w:sz w:val="20"/>
                <w:szCs w:val="20"/>
              </w:rPr>
              <w:t>-</w:t>
            </w:r>
            <w:r>
              <w:rPr>
                <w:rStyle w:val="a6"/>
                <w:i w:val="0"/>
                <w:iCs w:val="0"/>
                <w:sz w:val="20"/>
                <w:szCs w:val="20"/>
              </w:rPr>
              <w:t>13</w:t>
            </w:r>
            <w:r>
              <w:rPr>
                <w:rStyle w:val="a6"/>
                <w:i w:val="0"/>
                <w:iCs w:val="0"/>
                <w:sz w:val="20"/>
                <w:szCs w:val="20"/>
              </w:rPr>
              <w:t>.</w:t>
            </w:r>
            <w:r>
              <w:rPr>
                <w:rStyle w:val="a6"/>
                <w:i w:val="0"/>
                <w:iCs w:val="0"/>
                <w:sz w:val="20"/>
                <w:szCs w:val="20"/>
              </w:rPr>
              <w:t> </w:t>
            </w:r>
          </w:p>
          <w:p w14:paraId="1A595842" w14:textId="77777777" w:rsidR="00000000" w:rsidRDefault="00527094">
            <w:pPr>
              <w:pStyle w:val="a3"/>
              <w:spacing w:before="0" w:beforeAutospacing="0" w:after="0" w:afterAutospacing="0"/>
              <w:jc w:val="both"/>
              <w:rPr>
                <w:sz w:val="20"/>
                <w:szCs w:val="20"/>
              </w:rPr>
            </w:pPr>
            <w:r>
              <w:rPr>
                <w:rStyle w:val="a6"/>
                <w:i w:val="0"/>
                <w:iCs w:val="0"/>
                <w:sz w:val="20"/>
                <w:szCs w:val="20"/>
              </w:rPr>
              <w:t> </w:t>
            </w:r>
          </w:p>
        </w:tc>
        <w:tc>
          <w:tcPr>
            <w:tcW w:w="535" w:type="pct"/>
            <w:tcBorders>
              <w:left w:val="single" w:sz="6" w:space="0" w:color="000000"/>
              <w:bottom w:val="single" w:sz="6" w:space="0" w:color="000000"/>
              <w:right w:val="single" w:sz="6" w:space="0" w:color="000000"/>
            </w:tcBorders>
            <w:shd w:val="clear" w:color="auto" w:fill="FFFFFF"/>
            <w:hideMark/>
          </w:tcPr>
          <w:p w14:paraId="709BA089" w14:textId="77777777" w:rsidR="00000000" w:rsidRDefault="00527094">
            <w:pPr>
              <w:pStyle w:val="a3"/>
              <w:spacing w:before="0" w:beforeAutospacing="0" w:after="0" w:afterAutospacing="0"/>
              <w:jc w:val="center"/>
              <w:rPr>
                <w:sz w:val="20"/>
                <w:szCs w:val="20"/>
              </w:rPr>
            </w:pPr>
            <w:r>
              <w:rPr>
                <w:rStyle w:val="a6"/>
                <w:i w:val="0"/>
                <w:iCs w:val="0"/>
                <w:sz w:val="20"/>
                <w:szCs w:val="20"/>
              </w:rPr>
              <w:t>January 1, 2020;</w:t>
            </w:r>
            <w:r>
              <w:rPr>
                <w:rStyle w:val="a6"/>
                <w:i w:val="0"/>
                <w:iCs w:val="0"/>
                <w:sz w:val="20"/>
                <w:szCs w:val="20"/>
              </w:rPr>
              <w:t xml:space="preserve"> </w:t>
            </w:r>
            <w:r>
              <w:rPr>
                <w:rStyle w:val="a6"/>
                <w:i w:val="0"/>
                <w:iCs w:val="0"/>
                <w:sz w:val="20"/>
                <w:szCs w:val="20"/>
              </w:rPr>
              <w:t>Early adoption permitted</w:t>
            </w:r>
          </w:p>
        </w:tc>
        <w:tc>
          <w:tcPr>
            <w:tcW w:w="1160" w:type="pct"/>
            <w:tcBorders>
              <w:bottom w:val="single" w:sz="6" w:space="0" w:color="000000"/>
              <w:right w:val="single" w:sz="6" w:space="0" w:color="000000"/>
            </w:tcBorders>
            <w:shd w:val="clear" w:color="auto" w:fill="FFFFFF"/>
            <w:tcMar>
              <w:top w:w="0" w:type="dxa"/>
              <w:left w:w="75" w:type="dxa"/>
              <w:bottom w:w="0" w:type="dxa"/>
              <w:right w:w="75" w:type="dxa"/>
            </w:tcMar>
            <w:hideMark/>
          </w:tcPr>
          <w:p w14:paraId="1D6A8954" w14:textId="77777777" w:rsidR="00000000" w:rsidRDefault="00527094">
            <w:pPr>
              <w:pStyle w:val="a3"/>
              <w:spacing w:before="0" w:beforeAutospacing="0" w:after="0" w:afterAutospacing="0"/>
              <w:rPr>
                <w:sz w:val="20"/>
                <w:szCs w:val="20"/>
              </w:rPr>
            </w:pPr>
            <w:r>
              <w:rPr>
                <w:rStyle w:val="a6"/>
                <w:i w:val="0"/>
                <w:iCs w:val="0"/>
                <w:sz w:val="20"/>
                <w:szCs w:val="20"/>
              </w:rPr>
              <w:t>The Company is still assessing the impact on its financial position and/or results of operations.</w:t>
            </w:r>
          </w:p>
        </w:tc>
      </w:tr>
    </w:tbl>
    <w:p w14:paraId="2DE2D6D7" w14:textId="77777777" w:rsidR="00000000" w:rsidRDefault="00527094">
      <w:pPr>
        <w:pStyle w:val="a3"/>
        <w:spacing w:before="0" w:beforeAutospacing="0" w:after="0" w:afterAutospacing="0"/>
        <w:ind w:firstLine="360"/>
        <w:jc w:val="both"/>
        <w:rPr>
          <w:sz w:val="20"/>
          <w:szCs w:val="20"/>
        </w:rPr>
      </w:pPr>
      <w:r>
        <w:rPr>
          <w:rStyle w:val="a6"/>
          <w:i w:val="0"/>
          <w:iCs w:val="0"/>
          <w:sz w:val="20"/>
          <w:szCs w:val="20"/>
        </w:rPr>
        <w:t> </w:t>
      </w:r>
    </w:p>
    <w:p w14:paraId="7258BC4F" w14:textId="77777777" w:rsidR="00000000" w:rsidRDefault="00527094">
      <w:pPr>
        <w:jc w:val="center"/>
        <w:rPr>
          <w:rFonts w:eastAsia="Times New Roman"/>
          <w:sz w:val="20"/>
          <w:szCs w:val="20"/>
        </w:rPr>
      </w:pPr>
      <w:r>
        <w:rPr>
          <w:rStyle w:val="a6"/>
          <w:rFonts w:eastAsia="Times New Roman"/>
          <w:i w:val="0"/>
          <w:iCs w:val="0"/>
          <w:sz w:val="20"/>
          <w:szCs w:val="20"/>
        </w:rPr>
        <w:t xml:space="preserve">12 </w:t>
      </w:r>
    </w:p>
    <w:p w14:paraId="513D2A78" w14:textId="77777777" w:rsidR="00000000" w:rsidRDefault="00527094">
      <w:pPr>
        <w:rPr>
          <w:rFonts w:eastAsia="Times New Roman"/>
          <w:sz w:val="20"/>
          <w:szCs w:val="20"/>
        </w:rPr>
      </w:pPr>
      <w:r>
        <w:rPr>
          <w:rFonts w:eastAsia="Times New Roman"/>
          <w:sz w:val="20"/>
          <w:szCs w:val="20"/>
        </w:rPr>
        <w:pict w14:anchorId="09E6FD17">
          <v:rect id="_x0000_i1040" style="width:0;height:1.5pt" o:hralign="center" o:hrstd="t" o:hr="t" fillcolor="#a0a0a0" stroked="f"/>
        </w:pict>
      </w:r>
    </w:p>
    <w:p w14:paraId="32931C87" w14:textId="77777777" w:rsidR="00000000" w:rsidRDefault="00527094">
      <w:pPr>
        <w:rPr>
          <w:rFonts w:eastAsia="Times New Roman"/>
          <w:sz w:val="20"/>
          <w:szCs w:val="20"/>
        </w:rPr>
      </w:pPr>
      <w:hyperlink w:anchor="toc" w:history="1">
        <w:r>
          <w:rPr>
            <w:rStyle w:val="a6"/>
            <w:rFonts w:eastAsia="Times New Roman"/>
            <w:i w:val="0"/>
            <w:iCs w:val="0"/>
            <w:color w:val="0000FF"/>
            <w:sz w:val="20"/>
            <w:szCs w:val="20"/>
            <w:u w:val="single"/>
          </w:rPr>
          <w:t>Table of Contents</w:t>
        </w:r>
      </w:hyperlink>
      <w:r>
        <w:rPr>
          <w:rFonts w:eastAsia="Times New Roman"/>
          <w:sz w:val="20"/>
          <w:szCs w:val="20"/>
        </w:rPr>
        <w:t xml:space="preserve"> </w:t>
      </w:r>
    </w:p>
    <w:p w14:paraId="50BA4634" w14:textId="77777777" w:rsidR="00000000" w:rsidRDefault="00527094">
      <w:pPr>
        <w:pStyle w:val="a3"/>
        <w:spacing w:before="0" w:beforeAutospacing="0" w:after="0" w:afterAutospacing="0"/>
        <w:rPr>
          <w:sz w:val="20"/>
          <w:szCs w:val="20"/>
        </w:rPr>
      </w:pPr>
      <w:r>
        <w:rPr>
          <w:rStyle w:val="a6"/>
          <w:i w:val="0"/>
          <w:iCs w:val="0"/>
          <w:sz w:val="20"/>
          <w:szCs w:val="20"/>
        </w:rPr>
        <w:t> </w:t>
      </w:r>
    </w:p>
    <w:p w14:paraId="15240698" w14:textId="77777777" w:rsidR="00000000" w:rsidRDefault="00527094">
      <w:pPr>
        <w:pStyle w:val="a3"/>
        <w:spacing w:before="0" w:beforeAutospacing="0" w:after="0" w:afterAutospacing="0"/>
        <w:ind w:left="360"/>
        <w:jc w:val="both"/>
        <w:rPr>
          <w:sz w:val="20"/>
          <w:szCs w:val="20"/>
        </w:rPr>
      </w:pPr>
      <w:r>
        <w:rPr>
          <w:rStyle w:val="a6"/>
          <w:i w:val="0"/>
          <w:iCs w:val="0"/>
          <w:sz w:val="20"/>
          <w:szCs w:val="20"/>
        </w:rPr>
        <w:t>The following ASUs to the FASB’s ASC have been adopted by the Company as of</w:t>
      </w:r>
      <w:r>
        <w:rPr>
          <w:rStyle w:val="a6"/>
          <w:i w:val="0"/>
          <w:iCs w:val="0"/>
          <w:sz w:val="20"/>
          <w:szCs w:val="20"/>
        </w:rPr>
        <w:t xml:space="preserve"> </w:t>
      </w:r>
      <w:r>
        <w:rPr>
          <w:rStyle w:val="a6"/>
          <w:i w:val="0"/>
          <w:iCs w:val="0"/>
          <w:sz w:val="20"/>
          <w:szCs w:val="20"/>
        </w:rPr>
        <w:t>January 1, 2019:</w:t>
      </w:r>
    </w:p>
    <w:p w14:paraId="221DB68F" w14:textId="77777777" w:rsidR="00000000" w:rsidRDefault="00527094">
      <w:pPr>
        <w:pStyle w:val="a3"/>
        <w:spacing w:before="0" w:beforeAutospacing="0" w:after="0" w:afterAutospacing="0"/>
        <w:rPr>
          <w:sz w:val="20"/>
          <w:szCs w:val="20"/>
        </w:rPr>
      </w:pPr>
      <w:r>
        <w:rPr>
          <w:rStyle w:val="a6"/>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58"/>
        <w:gridCol w:w="3813"/>
        <w:gridCol w:w="912"/>
        <w:gridCol w:w="1907"/>
      </w:tblGrid>
      <w:tr w:rsidR="00000000" w14:paraId="380C1CF8" w14:textId="77777777">
        <w:trPr>
          <w:tblCellSpacing w:w="0" w:type="dxa"/>
        </w:trPr>
        <w:tc>
          <w:tcPr>
            <w:tcW w:w="1000" w:type="pct"/>
            <w:tcBorders>
              <w:top w:val="single" w:sz="6" w:space="0" w:color="000000"/>
              <w:left w:val="single" w:sz="6" w:space="0" w:color="000000"/>
              <w:bottom w:val="single" w:sz="6" w:space="0" w:color="000000"/>
              <w:right w:val="single" w:sz="6" w:space="0" w:color="000000"/>
            </w:tcBorders>
            <w:vAlign w:val="bottom"/>
            <w:hideMark/>
          </w:tcPr>
          <w:p w14:paraId="68F14E69" w14:textId="77777777" w:rsidR="00000000" w:rsidRDefault="00527094">
            <w:pPr>
              <w:pStyle w:val="a3"/>
              <w:spacing w:before="0" w:beforeAutospacing="0" w:after="0" w:afterAutospacing="0"/>
              <w:jc w:val="center"/>
              <w:rPr>
                <w:sz w:val="18"/>
                <w:szCs w:val="18"/>
              </w:rPr>
            </w:pPr>
            <w:r>
              <w:rPr>
                <w:rStyle w:val="a6"/>
                <w:b/>
                <w:bCs/>
                <w:i w:val="0"/>
                <w:iCs w:val="0"/>
                <w:sz w:val="18"/>
                <w:szCs w:val="18"/>
              </w:rPr>
              <w:t>ASU</w:t>
            </w:r>
          </w:p>
        </w:tc>
        <w:tc>
          <w:tcPr>
            <w:tcW w:w="2300" w:type="pct"/>
            <w:tcBorders>
              <w:top w:val="single" w:sz="6" w:space="0" w:color="000000"/>
              <w:bottom w:val="single" w:sz="6" w:space="0" w:color="000000"/>
              <w:right w:val="single" w:sz="6" w:space="0" w:color="000000"/>
            </w:tcBorders>
            <w:vAlign w:val="bottom"/>
            <w:hideMark/>
          </w:tcPr>
          <w:p w14:paraId="0C59F068" w14:textId="77777777" w:rsidR="00000000" w:rsidRDefault="00527094">
            <w:pPr>
              <w:pStyle w:val="a3"/>
              <w:spacing w:before="0" w:beforeAutospacing="0" w:after="0" w:afterAutospacing="0"/>
              <w:jc w:val="center"/>
              <w:rPr>
                <w:sz w:val="18"/>
                <w:szCs w:val="18"/>
              </w:rPr>
            </w:pPr>
            <w:r>
              <w:rPr>
                <w:rStyle w:val="a6"/>
                <w:b/>
                <w:bCs/>
                <w:i w:val="0"/>
                <w:iCs w:val="0"/>
                <w:sz w:val="18"/>
                <w:szCs w:val="18"/>
              </w:rPr>
              <w:t>Description</w:t>
            </w:r>
          </w:p>
        </w:tc>
        <w:tc>
          <w:tcPr>
            <w:tcW w:w="550" w:type="pct"/>
            <w:tcBorders>
              <w:top w:val="single" w:sz="6" w:space="0" w:color="000000"/>
              <w:bottom w:val="single" w:sz="6" w:space="0" w:color="000000"/>
            </w:tcBorders>
            <w:vAlign w:val="bottom"/>
            <w:hideMark/>
          </w:tcPr>
          <w:p w14:paraId="71688C96" w14:textId="77777777" w:rsidR="00000000" w:rsidRDefault="00527094">
            <w:pPr>
              <w:pStyle w:val="a3"/>
              <w:spacing w:before="0" w:beforeAutospacing="0" w:after="0" w:afterAutospacing="0"/>
              <w:jc w:val="center"/>
              <w:rPr>
                <w:sz w:val="18"/>
                <w:szCs w:val="18"/>
              </w:rPr>
            </w:pPr>
            <w:r>
              <w:rPr>
                <w:rStyle w:val="a6"/>
                <w:b/>
                <w:bCs/>
                <w:i w:val="0"/>
                <w:iCs w:val="0"/>
                <w:sz w:val="18"/>
                <w:szCs w:val="18"/>
              </w:rPr>
              <w:t xml:space="preserve">Adoption </w:t>
            </w:r>
          </w:p>
          <w:p w14:paraId="52E64948" w14:textId="77777777" w:rsidR="00000000" w:rsidRDefault="00527094">
            <w:pPr>
              <w:pStyle w:val="a3"/>
              <w:spacing w:before="0" w:beforeAutospacing="0" w:after="0" w:afterAutospacing="0"/>
              <w:jc w:val="center"/>
              <w:rPr>
                <w:sz w:val="18"/>
                <w:szCs w:val="18"/>
              </w:rPr>
            </w:pPr>
            <w:r>
              <w:rPr>
                <w:rStyle w:val="a6"/>
                <w:b/>
                <w:bCs/>
                <w:i w:val="0"/>
                <w:iCs w:val="0"/>
                <w:sz w:val="18"/>
                <w:szCs w:val="18"/>
              </w:rPr>
              <w:t>Date</w:t>
            </w:r>
          </w:p>
        </w:tc>
        <w:tc>
          <w:tcPr>
            <w:tcW w:w="1150" w:type="pct"/>
            <w:tcBorders>
              <w:top w:val="single" w:sz="6" w:space="0" w:color="000000"/>
              <w:left w:val="single" w:sz="6" w:space="0" w:color="000000"/>
              <w:bottom w:val="single" w:sz="6" w:space="0" w:color="000000"/>
              <w:right w:val="single" w:sz="6" w:space="0" w:color="000000"/>
            </w:tcBorders>
            <w:vAlign w:val="bottom"/>
            <w:hideMark/>
          </w:tcPr>
          <w:p w14:paraId="6796337C" w14:textId="77777777" w:rsidR="00000000" w:rsidRDefault="00527094">
            <w:pPr>
              <w:pStyle w:val="a3"/>
              <w:spacing w:before="0" w:beforeAutospacing="0" w:after="0" w:afterAutospacing="0"/>
              <w:jc w:val="center"/>
              <w:rPr>
                <w:sz w:val="18"/>
                <w:szCs w:val="18"/>
              </w:rPr>
            </w:pPr>
            <w:r>
              <w:rPr>
                <w:rStyle w:val="a6"/>
                <w:b/>
                <w:bCs/>
                <w:i w:val="0"/>
                <w:iCs w:val="0"/>
                <w:sz w:val="18"/>
                <w:szCs w:val="18"/>
              </w:rPr>
              <w:t xml:space="preserve">Effect on the financial </w:t>
            </w:r>
          </w:p>
          <w:p w14:paraId="0841FE35" w14:textId="77777777" w:rsidR="00000000" w:rsidRDefault="00527094">
            <w:pPr>
              <w:pStyle w:val="a3"/>
              <w:spacing w:before="0" w:beforeAutospacing="0" w:after="0" w:afterAutospacing="0"/>
              <w:jc w:val="center"/>
              <w:rPr>
                <w:sz w:val="18"/>
                <w:szCs w:val="18"/>
              </w:rPr>
            </w:pPr>
            <w:r>
              <w:rPr>
                <w:rStyle w:val="a6"/>
                <w:b/>
                <w:bCs/>
                <w:i w:val="0"/>
                <w:iCs w:val="0"/>
                <w:sz w:val="18"/>
                <w:szCs w:val="18"/>
              </w:rPr>
              <w:t xml:space="preserve">statements or other significant </w:t>
            </w:r>
          </w:p>
          <w:p w14:paraId="66C1E8C8" w14:textId="77777777" w:rsidR="00000000" w:rsidRDefault="00527094">
            <w:pPr>
              <w:pStyle w:val="a3"/>
              <w:spacing w:before="0" w:beforeAutospacing="0" w:after="0" w:afterAutospacing="0"/>
              <w:jc w:val="center"/>
              <w:rPr>
                <w:sz w:val="18"/>
                <w:szCs w:val="18"/>
              </w:rPr>
            </w:pPr>
            <w:r>
              <w:rPr>
                <w:rStyle w:val="a6"/>
                <w:b/>
                <w:bCs/>
                <w:i w:val="0"/>
                <w:iCs w:val="0"/>
                <w:sz w:val="18"/>
                <w:szCs w:val="18"/>
              </w:rPr>
              <w:t>matters</w:t>
            </w:r>
          </w:p>
        </w:tc>
      </w:tr>
      <w:tr w:rsidR="00000000" w14:paraId="26828C03" w14:textId="77777777">
        <w:trPr>
          <w:tblCellSpacing w:w="0" w:type="dxa"/>
        </w:trPr>
        <w:tc>
          <w:tcPr>
            <w:tcW w:w="1000" w:type="pct"/>
            <w:tcBorders>
              <w:left w:val="single" w:sz="6" w:space="0" w:color="000000"/>
              <w:bottom w:val="single" w:sz="6" w:space="0" w:color="000000"/>
              <w:right w:val="single" w:sz="6" w:space="0" w:color="000000"/>
            </w:tcBorders>
            <w:shd w:val="clear" w:color="auto" w:fill="CCEEFF"/>
            <w:tcMar>
              <w:top w:w="0" w:type="dxa"/>
              <w:left w:w="75" w:type="dxa"/>
              <w:bottom w:w="0" w:type="dxa"/>
              <w:right w:w="75" w:type="dxa"/>
            </w:tcMar>
            <w:hideMark/>
          </w:tcPr>
          <w:p w14:paraId="43C0278A" w14:textId="77777777" w:rsidR="00000000" w:rsidRDefault="00527094">
            <w:pPr>
              <w:pStyle w:val="a3"/>
              <w:spacing w:before="0" w:beforeAutospacing="0" w:after="0" w:afterAutospacing="0"/>
              <w:rPr>
                <w:sz w:val="18"/>
                <w:szCs w:val="18"/>
              </w:rPr>
            </w:pPr>
            <w:r>
              <w:rPr>
                <w:rStyle w:val="a6"/>
                <w:i w:val="0"/>
                <w:iCs w:val="0"/>
                <w:sz w:val="18"/>
                <w:szCs w:val="18"/>
              </w:rPr>
              <w:t>ASU</w:t>
            </w:r>
            <w:r>
              <w:rPr>
                <w:rStyle w:val="a6"/>
                <w:i w:val="0"/>
                <w:iCs w:val="0"/>
                <w:sz w:val="18"/>
                <w:szCs w:val="18"/>
              </w:rPr>
              <w:t xml:space="preserve"> </w:t>
            </w:r>
            <w:r>
              <w:rPr>
                <w:rStyle w:val="a6"/>
                <w:i w:val="0"/>
                <w:iCs w:val="0"/>
                <w:sz w:val="18"/>
                <w:szCs w:val="18"/>
              </w:rPr>
              <w:t>201</w:t>
            </w:r>
            <w:r>
              <w:rPr>
                <w:rStyle w:val="a6"/>
                <w:i w:val="0"/>
                <w:iCs w:val="0"/>
                <w:sz w:val="18"/>
                <w:szCs w:val="18"/>
              </w:rPr>
              <w:t>6</w:t>
            </w:r>
            <w:r>
              <w:rPr>
                <w:rStyle w:val="a6"/>
                <w:i w:val="0"/>
                <w:iCs w:val="0"/>
                <w:sz w:val="18"/>
                <w:szCs w:val="18"/>
              </w:rPr>
              <w:t>-</w:t>
            </w:r>
            <w:r>
              <w:rPr>
                <w:rStyle w:val="a6"/>
                <w:i w:val="0"/>
                <w:iCs w:val="0"/>
                <w:sz w:val="18"/>
                <w:szCs w:val="18"/>
              </w:rPr>
              <w:t>02</w:t>
            </w:r>
            <w:r>
              <w:rPr>
                <w:rStyle w:val="a6"/>
                <w:i w:val="0"/>
                <w:iCs w:val="0"/>
                <w:sz w:val="18"/>
                <w:szCs w:val="18"/>
              </w:rPr>
              <w:t>,</w:t>
            </w:r>
            <w:r>
              <w:rPr>
                <w:rStyle w:val="a6"/>
                <w:i w:val="0"/>
                <w:iCs w:val="0"/>
                <w:sz w:val="18"/>
                <w:szCs w:val="18"/>
              </w:rPr>
              <w:t xml:space="preserve"> Leases (Topic</w:t>
            </w:r>
            <w:r>
              <w:rPr>
                <w:rStyle w:val="a6"/>
                <w:i w:val="0"/>
                <w:iCs w:val="0"/>
                <w:sz w:val="18"/>
                <w:szCs w:val="18"/>
              </w:rPr>
              <w:t xml:space="preserve"> </w:t>
            </w:r>
            <w:r>
              <w:rPr>
                <w:rStyle w:val="a6"/>
                <w:i w:val="0"/>
                <w:iCs w:val="0"/>
                <w:sz w:val="18"/>
                <w:szCs w:val="18"/>
              </w:rPr>
              <w:t>84</w:t>
            </w:r>
            <w:r>
              <w:rPr>
                <w:rStyle w:val="a6"/>
                <w:i w:val="0"/>
                <w:iCs w:val="0"/>
                <w:sz w:val="18"/>
                <w:szCs w:val="18"/>
              </w:rPr>
              <w:t>2</w:t>
            </w:r>
            <w:r>
              <w:rPr>
                <w:rStyle w:val="a6"/>
                <w:i w:val="0"/>
                <w:iCs w:val="0"/>
                <w:sz w:val="18"/>
                <w:szCs w:val="18"/>
              </w:rPr>
              <w:t>)</w:t>
            </w:r>
          </w:p>
          <w:p w14:paraId="3DB9C3FB" w14:textId="77777777" w:rsidR="00000000" w:rsidRDefault="00527094">
            <w:pPr>
              <w:pStyle w:val="a3"/>
              <w:spacing w:before="0" w:beforeAutospacing="0" w:after="0" w:afterAutospacing="0"/>
              <w:rPr>
                <w:sz w:val="18"/>
                <w:szCs w:val="18"/>
              </w:rPr>
            </w:pPr>
            <w:r>
              <w:rPr>
                <w:rStyle w:val="a6"/>
                <w:i w:val="0"/>
                <w:iCs w:val="0"/>
                <w:sz w:val="18"/>
                <w:szCs w:val="18"/>
              </w:rPr>
              <w:t> </w:t>
            </w:r>
          </w:p>
          <w:p w14:paraId="1AA04EC6" w14:textId="77777777" w:rsidR="00000000" w:rsidRDefault="00527094">
            <w:pPr>
              <w:pStyle w:val="a3"/>
              <w:spacing w:before="0" w:beforeAutospacing="0" w:after="0" w:afterAutospacing="0"/>
              <w:rPr>
                <w:sz w:val="18"/>
                <w:szCs w:val="18"/>
              </w:rPr>
            </w:pPr>
            <w:r>
              <w:rPr>
                <w:rStyle w:val="a6"/>
                <w:i w:val="0"/>
                <w:iCs w:val="0"/>
                <w:sz w:val="18"/>
                <w:szCs w:val="18"/>
              </w:rPr>
              <w:t>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01</w:t>
            </w:r>
            <w:r>
              <w:rPr>
                <w:rStyle w:val="a6"/>
                <w:i w:val="0"/>
                <w:iCs w:val="0"/>
                <w:sz w:val="18"/>
                <w:szCs w:val="18"/>
              </w:rPr>
              <w:t>,</w:t>
            </w:r>
            <w:r>
              <w:rPr>
                <w:rStyle w:val="a6"/>
                <w:i w:val="0"/>
                <w:iCs w:val="0"/>
                <w:sz w:val="18"/>
                <w:szCs w:val="18"/>
              </w:rPr>
              <w:t xml:space="preserve"> Leases (Topic</w:t>
            </w:r>
            <w:r>
              <w:rPr>
                <w:rStyle w:val="a6"/>
                <w:i w:val="0"/>
                <w:iCs w:val="0"/>
                <w:sz w:val="18"/>
                <w:szCs w:val="18"/>
              </w:rPr>
              <w:t xml:space="preserve"> </w:t>
            </w:r>
            <w:r>
              <w:rPr>
                <w:rStyle w:val="a6"/>
                <w:i w:val="0"/>
                <w:iCs w:val="0"/>
                <w:sz w:val="18"/>
                <w:szCs w:val="18"/>
              </w:rPr>
              <w:t>84</w:t>
            </w:r>
            <w:r>
              <w:rPr>
                <w:rStyle w:val="a6"/>
                <w:i w:val="0"/>
                <w:iCs w:val="0"/>
                <w:sz w:val="18"/>
                <w:szCs w:val="18"/>
              </w:rPr>
              <w:t>2</w:t>
            </w:r>
            <w:r>
              <w:rPr>
                <w:rStyle w:val="a6"/>
                <w:i w:val="0"/>
                <w:iCs w:val="0"/>
                <w:sz w:val="18"/>
                <w:szCs w:val="18"/>
              </w:rPr>
              <w:t>): Land Easement Practical Expedient for</w:t>
            </w:r>
          </w:p>
          <w:p w14:paraId="12FACC90" w14:textId="77777777" w:rsidR="00000000" w:rsidRDefault="00527094">
            <w:pPr>
              <w:pStyle w:val="a3"/>
              <w:spacing w:before="0" w:beforeAutospacing="0" w:after="0" w:afterAutospacing="0"/>
              <w:rPr>
                <w:sz w:val="18"/>
                <w:szCs w:val="18"/>
              </w:rPr>
            </w:pPr>
            <w:r>
              <w:rPr>
                <w:rStyle w:val="a6"/>
                <w:i w:val="0"/>
                <w:iCs w:val="0"/>
                <w:sz w:val="18"/>
                <w:szCs w:val="18"/>
              </w:rPr>
              <w:t>Transition to Topic</w:t>
            </w:r>
            <w:r>
              <w:rPr>
                <w:rStyle w:val="a6"/>
                <w:i w:val="0"/>
                <w:iCs w:val="0"/>
                <w:sz w:val="18"/>
                <w:szCs w:val="18"/>
              </w:rPr>
              <w:t xml:space="preserve"> </w:t>
            </w:r>
            <w:r>
              <w:rPr>
                <w:rStyle w:val="a6"/>
                <w:i w:val="0"/>
                <w:iCs w:val="0"/>
                <w:sz w:val="18"/>
                <w:szCs w:val="18"/>
              </w:rPr>
              <w:t>842</w:t>
            </w:r>
          </w:p>
          <w:p w14:paraId="3A86607E" w14:textId="77777777" w:rsidR="00000000" w:rsidRDefault="00527094">
            <w:pPr>
              <w:pStyle w:val="a3"/>
              <w:spacing w:before="0" w:beforeAutospacing="0" w:after="0" w:afterAutospacing="0"/>
              <w:rPr>
                <w:sz w:val="18"/>
                <w:szCs w:val="18"/>
              </w:rPr>
            </w:pPr>
            <w:r>
              <w:rPr>
                <w:rStyle w:val="a6"/>
                <w:i w:val="0"/>
                <w:iCs w:val="0"/>
                <w:sz w:val="18"/>
                <w:szCs w:val="18"/>
              </w:rPr>
              <w:t> </w:t>
            </w:r>
          </w:p>
          <w:p w14:paraId="503093BF" w14:textId="77777777" w:rsidR="00000000" w:rsidRDefault="00527094">
            <w:pPr>
              <w:pStyle w:val="a3"/>
              <w:spacing w:before="0" w:beforeAutospacing="0" w:after="0" w:afterAutospacing="0"/>
              <w:rPr>
                <w:sz w:val="18"/>
                <w:szCs w:val="18"/>
              </w:rPr>
            </w:pPr>
            <w:r>
              <w:rPr>
                <w:rStyle w:val="a6"/>
                <w:i w:val="0"/>
                <w:iCs w:val="0"/>
                <w:sz w:val="18"/>
                <w:szCs w:val="18"/>
              </w:rPr>
              <w:t>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10</w:t>
            </w:r>
            <w:r>
              <w:rPr>
                <w:rStyle w:val="a6"/>
                <w:i w:val="0"/>
                <w:iCs w:val="0"/>
                <w:sz w:val="18"/>
                <w:szCs w:val="18"/>
              </w:rPr>
              <w:t>,</w:t>
            </w:r>
            <w:r>
              <w:rPr>
                <w:rStyle w:val="a6"/>
                <w:i w:val="0"/>
                <w:iCs w:val="0"/>
                <w:sz w:val="18"/>
                <w:szCs w:val="18"/>
              </w:rPr>
              <w:t xml:space="preserve"> Codification Improvements to Topic</w:t>
            </w:r>
            <w:r>
              <w:rPr>
                <w:rStyle w:val="a6"/>
                <w:i w:val="0"/>
                <w:iCs w:val="0"/>
                <w:sz w:val="18"/>
                <w:szCs w:val="18"/>
              </w:rPr>
              <w:t xml:space="preserve"> </w:t>
            </w:r>
            <w:r>
              <w:rPr>
                <w:rStyle w:val="a6"/>
                <w:i w:val="0"/>
                <w:iCs w:val="0"/>
                <w:sz w:val="18"/>
                <w:szCs w:val="18"/>
              </w:rPr>
              <w:t>842</w:t>
            </w:r>
            <w:r>
              <w:rPr>
                <w:rStyle w:val="a6"/>
                <w:i w:val="0"/>
                <w:iCs w:val="0"/>
                <w:sz w:val="18"/>
                <w:szCs w:val="18"/>
              </w:rPr>
              <w:t>,</w:t>
            </w:r>
            <w:r>
              <w:rPr>
                <w:rStyle w:val="a6"/>
                <w:i w:val="0"/>
                <w:iCs w:val="0"/>
                <w:sz w:val="18"/>
                <w:szCs w:val="18"/>
              </w:rPr>
              <w:t xml:space="preserve"> Leases</w:t>
            </w:r>
          </w:p>
          <w:p w14:paraId="72A0D549" w14:textId="77777777" w:rsidR="00000000" w:rsidRDefault="00527094">
            <w:pPr>
              <w:pStyle w:val="a3"/>
              <w:spacing w:before="0" w:beforeAutospacing="0" w:after="0" w:afterAutospacing="0"/>
              <w:rPr>
                <w:sz w:val="18"/>
                <w:szCs w:val="18"/>
              </w:rPr>
            </w:pPr>
            <w:r>
              <w:rPr>
                <w:rStyle w:val="a6"/>
                <w:i w:val="0"/>
                <w:iCs w:val="0"/>
                <w:sz w:val="18"/>
                <w:szCs w:val="18"/>
              </w:rPr>
              <w:t> </w:t>
            </w:r>
          </w:p>
          <w:p w14:paraId="1F2335A0" w14:textId="77777777" w:rsidR="00000000" w:rsidRDefault="00527094">
            <w:pPr>
              <w:pStyle w:val="a3"/>
              <w:spacing w:before="0" w:beforeAutospacing="0" w:after="0" w:afterAutospacing="0"/>
              <w:rPr>
                <w:sz w:val="18"/>
                <w:szCs w:val="18"/>
              </w:rPr>
            </w:pPr>
            <w:r>
              <w:rPr>
                <w:rStyle w:val="a6"/>
                <w:i w:val="0"/>
                <w:iCs w:val="0"/>
                <w:sz w:val="18"/>
                <w:szCs w:val="18"/>
              </w:rPr>
              <w:t>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11</w:t>
            </w:r>
            <w:r>
              <w:rPr>
                <w:rStyle w:val="a6"/>
                <w:i w:val="0"/>
                <w:iCs w:val="0"/>
                <w:sz w:val="18"/>
                <w:szCs w:val="18"/>
              </w:rPr>
              <w:t>,</w:t>
            </w:r>
            <w:r>
              <w:rPr>
                <w:rStyle w:val="a6"/>
                <w:i w:val="0"/>
                <w:iCs w:val="0"/>
                <w:sz w:val="18"/>
                <w:szCs w:val="18"/>
              </w:rPr>
              <w:t xml:space="preserve"> </w:t>
            </w:r>
            <w:r>
              <w:rPr>
                <w:rStyle w:val="a6"/>
                <w:i w:val="0"/>
                <w:iCs w:val="0"/>
                <w:sz w:val="18"/>
                <w:szCs w:val="18"/>
              </w:rPr>
              <w:t>Leases (Topic</w:t>
            </w:r>
            <w:r>
              <w:rPr>
                <w:rStyle w:val="a6"/>
                <w:i w:val="0"/>
                <w:iCs w:val="0"/>
                <w:sz w:val="18"/>
                <w:szCs w:val="18"/>
              </w:rPr>
              <w:t xml:space="preserve"> </w:t>
            </w:r>
            <w:r>
              <w:rPr>
                <w:rStyle w:val="a6"/>
                <w:i w:val="0"/>
                <w:iCs w:val="0"/>
                <w:sz w:val="18"/>
                <w:szCs w:val="18"/>
              </w:rPr>
              <w:t>84</w:t>
            </w:r>
            <w:r>
              <w:rPr>
                <w:rStyle w:val="a6"/>
                <w:i w:val="0"/>
                <w:iCs w:val="0"/>
                <w:sz w:val="18"/>
                <w:szCs w:val="18"/>
              </w:rPr>
              <w:t>2</w:t>
            </w:r>
            <w:r>
              <w:rPr>
                <w:rStyle w:val="a6"/>
                <w:i w:val="0"/>
                <w:iCs w:val="0"/>
                <w:sz w:val="18"/>
                <w:szCs w:val="18"/>
              </w:rPr>
              <w:t>): Targeted Improvements</w:t>
            </w:r>
          </w:p>
          <w:p w14:paraId="24CD0861" w14:textId="77777777" w:rsidR="00000000" w:rsidRDefault="00527094">
            <w:pPr>
              <w:pStyle w:val="a3"/>
              <w:spacing w:before="0" w:beforeAutospacing="0" w:after="0" w:afterAutospacing="0"/>
              <w:rPr>
                <w:sz w:val="18"/>
                <w:szCs w:val="18"/>
              </w:rPr>
            </w:pPr>
            <w:r>
              <w:rPr>
                <w:rStyle w:val="a6"/>
                <w:i w:val="0"/>
                <w:iCs w:val="0"/>
                <w:sz w:val="18"/>
                <w:szCs w:val="18"/>
              </w:rPr>
              <w:t> </w:t>
            </w:r>
          </w:p>
          <w:p w14:paraId="68C72F20" w14:textId="77777777" w:rsidR="00000000" w:rsidRDefault="00527094">
            <w:pPr>
              <w:pStyle w:val="a3"/>
              <w:spacing w:before="0" w:beforeAutospacing="0" w:after="0" w:afterAutospacing="0"/>
              <w:rPr>
                <w:sz w:val="18"/>
                <w:szCs w:val="18"/>
              </w:rPr>
            </w:pPr>
            <w:r>
              <w:rPr>
                <w:rStyle w:val="a6"/>
                <w:i w:val="0"/>
                <w:iCs w:val="0"/>
                <w:sz w:val="18"/>
                <w:szCs w:val="18"/>
              </w:rPr>
              <w:t>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20</w:t>
            </w:r>
            <w:r>
              <w:rPr>
                <w:rStyle w:val="a6"/>
                <w:i w:val="0"/>
                <w:iCs w:val="0"/>
                <w:sz w:val="18"/>
                <w:szCs w:val="18"/>
              </w:rPr>
              <w:t>,</w:t>
            </w:r>
            <w:r>
              <w:rPr>
                <w:rStyle w:val="a6"/>
                <w:i w:val="0"/>
                <w:iCs w:val="0"/>
                <w:sz w:val="18"/>
                <w:szCs w:val="18"/>
              </w:rPr>
              <w:t xml:space="preserve"> Leases (Topic</w:t>
            </w:r>
            <w:r>
              <w:rPr>
                <w:rStyle w:val="a6"/>
                <w:i w:val="0"/>
                <w:iCs w:val="0"/>
                <w:sz w:val="18"/>
                <w:szCs w:val="18"/>
              </w:rPr>
              <w:t xml:space="preserve"> </w:t>
            </w:r>
            <w:r>
              <w:rPr>
                <w:rStyle w:val="a6"/>
                <w:i w:val="0"/>
                <w:iCs w:val="0"/>
                <w:sz w:val="18"/>
                <w:szCs w:val="18"/>
              </w:rPr>
              <w:t>84</w:t>
            </w:r>
            <w:r>
              <w:rPr>
                <w:rStyle w:val="a6"/>
                <w:i w:val="0"/>
                <w:iCs w:val="0"/>
                <w:sz w:val="18"/>
                <w:szCs w:val="18"/>
              </w:rPr>
              <w:t>2</w:t>
            </w:r>
            <w:r>
              <w:rPr>
                <w:rStyle w:val="a6"/>
                <w:i w:val="0"/>
                <w:iCs w:val="0"/>
                <w:sz w:val="18"/>
                <w:szCs w:val="18"/>
              </w:rPr>
              <w:t>): Narrow-Scope Improvements for Lessors</w:t>
            </w:r>
          </w:p>
          <w:p w14:paraId="3C67E02D" w14:textId="77777777" w:rsidR="00000000" w:rsidRDefault="00527094">
            <w:pPr>
              <w:pStyle w:val="a3"/>
              <w:spacing w:before="0" w:beforeAutospacing="0" w:after="0" w:afterAutospacing="0"/>
              <w:rPr>
                <w:sz w:val="18"/>
                <w:szCs w:val="18"/>
              </w:rPr>
            </w:pPr>
            <w:r>
              <w:rPr>
                <w:rStyle w:val="a6"/>
                <w:i w:val="0"/>
                <w:iCs w:val="0"/>
                <w:sz w:val="18"/>
                <w:szCs w:val="18"/>
              </w:rPr>
              <w:t> </w:t>
            </w:r>
          </w:p>
          <w:p w14:paraId="780FFA5B" w14:textId="77777777" w:rsidR="00000000" w:rsidRDefault="00527094">
            <w:pPr>
              <w:pStyle w:val="a3"/>
              <w:spacing w:before="0" w:beforeAutospacing="0" w:after="0" w:afterAutospacing="0"/>
              <w:rPr>
                <w:sz w:val="18"/>
                <w:szCs w:val="18"/>
              </w:rPr>
            </w:pPr>
            <w:r>
              <w:rPr>
                <w:rStyle w:val="a6"/>
                <w:i w:val="0"/>
                <w:iCs w:val="0"/>
                <w:sz w:val="18"/>
                <w:szCs w:val="18"/>
              </w:rPr>
              <w:t>ASU</w:t>
            </w:r>
            <w:r>
              <w:rPr>
                <w:rStyle w:val="a6"/>
                <w:i w:val="0"/>
                <w:iCs w:val="0"/>
                <w:sz w:val="18"/>
                <w:szCs w:val="18"/>
              </w:rPr>
              <w:t xml:space="preserve"> </w:t>
            </w:r>
            <w:r>
              <w:rPr>
                <w:rStyle w:val="a6"/>
                <w:i w:val="0"/>
                <w:iCs w:val="0"/>
                <w:sz w:val="18"/>
                <w:szCs w:val="18"/>
              </w:rPr>
              <w:t>201</w:t>
            </w:r>
            <w:r>
              <w:rPr>
                <w:rStyle w:val="a6"/>
                <w:i w:val="0"/>
                <w:iCs w:val="0"/>
                <w:sz w:val="18"/>
                <w:szCs w:val="18"/>
              </w:rPr>
              <w:t>9</w:t>
            </w:r>
            <w:r>
              <w:rPr>
                <w:rStyle w:val="a6"/>
                <w:i w:val="0"/>
                <w:iCs w:val="0"/>
                <w:sz w:val="18"/>
                <w:szCs w:val="18"/>
              </w:rPr>
              <w:t>-</w:t>
            </w:r>
            <w:r>
              <w:rPr>
                <w:rStyle w:val="a6"/>
                <w:i w:val="0"/>
                <w:iCs w:val="0"/>
                <w:sz w:val="18"/>
                <w:szCs w:val="18"/>
              </w:rPr>
              <w:t>01</w:t>
            </w:r>
            <w:r>
              <w:rPr>
                <w:rStyle w:val="a6"/>
                <w:i w:val="0"/>
                <w:iCs w:val="0"/>
                <w:sz w:val="18"/>
                <w:szCs w:val="18"/>
              </w:rPr>
              <w:t>,</w:t>
            </w:r>
            <w:r>
              <w:rPr>
                <w:rStyle w:val="a6"/>
                <w:i w:val="0"/>
                <w:iCs w:val="0"/>
                <w:sz w:val="18"/>
                <w:szCs w:val="18"/>
              </w:rPr>
              <w:t xml:space="preserve"> Leases (Topic</w:t>
            </w:r>
            <w:r>
              <w:rPr>
                <w:rStyle w:val="a6"/>
                <w:i w:val="0"/>
                <w:iCs w:val="0"/>
                <w:sz w:val="18"/>
                <w:szCs w:val="18"/>
              </w:rPr>
              <w:t xml:space="preserve"> </w:t>
            </w:r>
            <w:r>
              <w:rPr>
                <w:rStyle w:val="a6"/>
                <w:i w:val="0"/>
                <w:iCs w:val="0"/>
                <w:sz w:val="18"/>
                <w:szCs w:val="18"/>
              </w:rPr>
              <w:t>84</w:t>
            </w:r>
            <w:r>
              <w:rPr>
                <w:rStyle w:val="a6"/>
                <w:i w:val="0"/>
                <w:iCs w:val="0"/>
                <w:sz w:val="18"/>
                <w:szCs w:val="18"/>
              </w:rPr>
              <w:t>2</w:t>
            </w:r>
            <w:r>
              <w:rPr>
                <w:rStyle w:val="a6"/>
                <w:i w:val="0"/>
                <w:iCs w:val="0"/>
                <w:sz w:val="18"/>
                <w:szCs w:val="18"/>
              </w:rPr>
              <w:t>): Codification Improvements</w:t>
            </w:r>
          </w:p>
        </w:tc>
        <w:tc>
          <w:tcPr>
            <w:tcW w:w="2300" w:type="pct"/>
            <w:tcBorders>
              <w:bottom w:val="single" w:sz="6" w:space="0" w:color="000000"/>
              <w:right w:val="single" w:sz="6" w:space="0" w:color="000000"/>
            </w:tcBorders>
            <w:shd w:val="clear" w:color="auto" w:fill="CCEEFF"/>
            <w:tcMar>
              <w:top w:w="0" w:type="dxa"/>
              <w:left w:w="75" w:type="dxa"/>
              <w:bottom w:w="0" w:type="dxa"/>
              <w:right w:w="75" w:type="dxa"/>
            </w:tcMar>
            <w:hideMark/>
          </w:tcPr>
          <w:p w14:paraId="1804775D" w14:textId="77777777" w:rsidR="00000000" w:rsidRDefault="00527094">
            <w:pPr>
              <w:pStyle w:val="a3"/>
              <w:spacing w:before="0" w:beforeAutospacing="0" w:after="0" w:afterAutospacing="0"/>
              <w:jc w:val="both"/>
              <w:rPr>
                <w:sz w:val="18"/>
                <w:szCs w:val="18"/>
              </w:rPr>
            </w:pPr>
            <w:r>
              <w:rPr>
                <w:rStyle w:val="a6"/>
                <w:i w:val="0"/>
                <w:iCs w:val="0"/>
                <w:sz w:val="18"/>
                <w:szCs w:val="18"/>
              </w:rPr>
              <w:t xml:space="preserve">This ASU sets out the principles for the recognition, measurement, presentation </w:t>
            </w:r>
            <w:r>
              <w:rPr>
                <w:rStyle w:val="a6"/>
                <w:i w:val="0"/>
                <w:iCs w:val="0"/>
                <w:sz w:val="18"/>
                <w:szCs w:val="18"/>
              </w:rPr>
              <w:t>and disclosure of leases for both parties to a contract (i.e. lessees and lessors). The new standard requires lessees to apply a dual approach, classifying leases as either finance or operating leases based on the principle of whether or</w:t>
            </w:r>
            <w:r>
              <w:rPr>
                <w:rStyle w:val="a6"/>
                <w:i w:val="0"/>
                <w:iCs w:val="0"/>
                <w:sz w:val="18"/>
                <w:szCs w:val="18"/>
              </w:rPr>
              <w:t xml:space="preserve"> </w:t>
            </w:r>
            <w:r>
              <w:rPr>
                <w:rStyle w:val="a6"/>
                <w:i w:val="0"/>
                <w:iCs w:val="0"/>
                <w:sz w:val="18"/>
                <w:szCs w:val="18"/>
              </w:rPr>
              <w:t>no</w:t>
            </w:r>
            <w:r>
              <w:rPr>
                <w:rStyle w:val="a6"/>
                <w:i w:val="0"/>
                <w:iCs w:val="0"/>
                <w:sz w:val="18"/>
                <w:szCs w:val="18"/>
              </w:rPr>
              <w:t>t</w:t>
            </w:r>
            <w:r>
              <w:rPr>
                <w:rStyle w:val="a6"/>
                <w:i w:val="0"/>
                <w:iCs w:val="0"/>
                <w:sz w:val="18"/>
                <w:szCs w:val="18"/>
              </w:rPr>
              <w:t xml:space="preserve"> the lease is e</w:t>
            </w:r>
            <w:r>
              <w:rPr>
                <w:rStyle w:val="a6"/>
                <w:i w:val="0"/>
                <w:iCs w:val="0"/>
                <w:sz w:val="18"/>
                <w:szCs w:val="18"/>
              </w:rPr>
              <w:t>ffectively a financed purchase by the lessee. This classification will determine whether lease expense is recognized based on an effective interest method or on a straight-line basis over the term of the lease. A lessee is also required to record a right-o</w:t>
            </w:r>
            <w:r>
              <w:rPr>
                <w:rStyle w:val="a6"/>
                <w:i w:val="0"/>
                <w:iCs w:val="0"/>
                <w:sz w:val="18"/>
                <w:szCs w:val="18"/>
              </w:rPr>
              <w:t>f-use asset and a lease liability for all leases with a term of greater than</w:t>
            </w:r>
            <w:r>
              <w:rPr>
                <w:rStyle w:val="a6"/>
                <w:i w:val="0"/>
                <w:iCs w:val="0"/>
                <w:sz w:val="18"/>
                <w:szCs w:val="18"/>
              </w:rPr>
              <w:t xml:space="preserve"> </w:t>
            </w:r>
            <w:r>
              <w:rPr>
                <w:rStyle w:val="a6"/>
                <w:i w:val="0"/>
                <w:iCs w:val="0"/>
                <w:sz w:val="18"/>
                <w:szCs w:val="18"/>
              </w:rPr>
              <w:t>1</w:t>
            </w:r>
            <w:r>
              <w:rPr>
                <w:rStyle w:val="a6"/>
                <w:i w:val="0"/>
                <w:iCs w:val="0"/>
                <w:sz w:val="18"/>
                <w:szCs w:val="18"/>
              </w:rPr>
              <w:t>2</w:t>
            </w:r>
            <w:r>
              <w:rPr>
                <w:rStyle w:val="a6"/>
                <w:i w:val="0"/>
                <w:iCs w:val="0"/>
                <w:sz w:val="18"/>
                <w:szCs w:val="18"/>
              </w:rPr>
              <w:t xml:space="preserve"> months regardless of their classification. Leases with a term of</w:t>
            </w:r>
            <w:r>
              <w:rPr>
                <w:rStyle w:val="a6"/>
                <w:i w:val="0"/>
                <w:iCs w:val="0"/>
                <w:sz w:val="18"/>
                <w:szCs w:val="18"/>
              </w:rPr>
              <w:t xml:space="preserve"> </w:t>
            </w:r>
            <w:r>
              <w:rPr>
                <w:rStyle w:val="a6"/>
                <w:i w:val="0"/>
                <w:iCs w:val="0"/>
                <w:sz w:val="18"/>
                <w:szCs w:val="18"/>
              </w:rPr>
              <w:t>1</w:t>
            </w:r>
            <w:r>
              <w:rPr>
                <w:rStyle w:val="a6"/>
                <w:i w:val="0"/>
                <w:iCs w:val="0"/>
                <w:sz w:val="18"/>
                <w:szCs w:val="18"/>
              </w:rPr>
              <w:t>2</w:t>
            </w:r>
            <w:r>
              <w:rPr>
                <w:rStyle w:val="a6"/>
                <w:i w:val="0"/>
                <w:iCs w:val="0"/>
                <w:sz w:val="18"/>
                <w:szCs w:val="18"/>
              </w:rPr>
              <w:t xml:space="preserve"> months or less will be accounted for similar to existing guidance for operating leases today. The new standa</w:t>
            </w:r>
            <w:r>
              <w:rPr>
                <w:rStyle w:val="a6"/>
                <w:i w:val="0"/>
                <w:iCs w:val="0"/>
                <w:sz w:val="18"/>
                <w:szCs w:val="18"/>
              </w:rPr>
              <w:t>rd requires lessors to account for leases using an approach that is substantially equivalent to existing guidance for sales-type leases, direct financing leases and operating leases. ASU</w:t>
            </w:r>
            <w:r>
              <w:rPr>
                <w:rStyle w:val="a6"/>
                <w:i w:val="0"/>
                <w:iCs w:val="0"/>
                <w:sz w:val="18"/>
                <w:szCs w:val="18"/>
              </w:rPr>
              <w:t xml:space="preserve"> </w:t>
            </w:r>
            <w:r>
              <w:rPr>
                <w:rStyle w:val="a6"/>
                <w:i w:val="0"/>
                <w:iCs w:val="0"/>
                <w:sz w:val="18"/>
                <w:szCs w:val="18"/>
              </w:rPr>
              <w:t>201</w:t>
            </w:r>
            <w:r>
              <w:rPr>
                <w:rStyle w:val="a6"/>
                <w:i w:val="0"/>
                <w:iCs w:val="0"/>
                <w:sz w:val="18"/>
                <w:szCs w:val="18"/>
              </w:rPr>
              <w:t>6</w:t>
            </w:r>
            <w:r>
              <w:rPr>
                <w:rStyle w:val="a6"/>
                <w:i w:val="0"/>
                <w:iCs w:val="0"/>
                <w:sz w:val="18"/>
                <w:szCs w:val="18"/>
              </w:rPr>
              <w:t>-</w:t>
            </w:r>
            <w:r>
              <w:rPr>
                <w:rStyle w:val="a6"/>
                <w:i w:val="0"/>
                <w:iCs w:val="0"/>
                <w:sz w:val="18"/>
                <w:szCs w:val="18"/>
              </w:rPr>
              <w:t>0</w:t>
            </w:r>
            <w:r>
              <w:rPr>
                <w:rStyle w:val="a6"/>
                <w:i w:val="0"/>
                <w:iCs w:val="0"/>
                <w:sz w:val="18"/>
                <w:szCs w:val="18"/>
              </w:rPr>
              <w:t>2</w:t>
            </w:r>
            <w:r>
              <w:rPr>
                <w:rStyle w:val="a6"/>
                <w:i w:val="0"/>
                <w:iCs w:val="0"/>
                <w:sz w:val="18"/>
                <w:szCs w:val="18"/>
              </w:rPr>
              <w:t xml:space="preserve"> supersedes the previous leases standard, Leases (Topic</w:t>
            </w:r>
            <w:r>
              <w:rPr>
                <w:rStyle w:val="a6"/>
                <w:i w:val="0"/>
                <w:iCs w:val="0"/>
                <w:sz w:val="18"/>
                <w:szCs w:val="18"/>
              </w:rPr>
              <w:t xml:space="preserve"> </w:t>
            </w:r>
            <w:r>
              <w:rPr>
                <w:rStyle w:val="a6"/>
                <w:i w:val="0"/>
                <w:iCs w:val="0"/>
                <w:sz w:val="18"/>
                <w:szCs w:val="18"/>
              </w:rPr>
              <w:t>84</w:t>
            </w:r>
            <w:r>
              <w:rPr>
                <w:rStyle w:val="a6"/>
                <w:i w:val="0"/>
                <w:iCs w:val="0"/>
                <w:sz w:val="18"/>
                <w:szCs w:val="18"/>
              </w:rPr>
              <w:t>0</w:t>
            </w:r>
            <w:r>
              <w:rPr>
                <w:rStyle w:val="a6"/>
                <w:i w:val="0"/>
                <w:iCs w:val="0"/>
                <w:sz w:val="18"/>
                <w:szCs w:val="18"/>
              </w:rPr>
              <w:t>).</w:t>
            </w:r>
          </w:p>
          <w:p w14:paraId="7E63D976" w14:textId="77777777" w:rsidR="00000000" w:rsidRDefault="00527094">
            <w:pPr>
              <w:pStyle w:val="a3"/>
              <w:spacing w:before="0" w:beforeAutospacing="0" w:after="0" w:afterAutospacing="0"/>
              <w:jc w:val="both"/>
              <w:rPr>
                <w:sz w:val="18"/>
                <w:szCs w:val="18"/>
              </w:rPr>
            </w:pPr>
            <w:r>
              <w:rPr>
                <w:rStyle w:val="a6"/>
                <w:i w:val="0"/>
                <w:iCs w:val="0"/>
                <w:sz w:val="18"/>
                <w:szCs w:val="18"/>
              </w:rPr>
              <w:t> </w:t>
            </w:r>
          </w:p>
          <w:p w14:paraId="579A8A4A" w14:textId="77777777" w:rsidR="00000000" w:rsidRDefault="00527094">
            <w:pPr>
              <w:pStyle w:val="a3"/>
              <w:spacing w:before="0" w:beforeAutospacing="0" w:after="0" w:afterAutospacing="0"/>
              <w:jc w:val="both"/>
              <w:rPr>
                <w:sz w:val="18"/>
                <w:szCs w:val="18"/>
              </w:rPr>
            </w:pPr>
            <w:r>
              <w:rPr>
                <w:rStyle w:val="a6"/>
                <w:i w:val="0"/>
                <w:iCs w:val="0"/>
                <w:sz w:val="18"/>
                <w:szCs w:val="18"/>
              </w:rPr>
              <w:t>In</w:t>
            </w:r>
            <w:r>
              <w:rPr>
                <w:rStyle w:val="a6"/>
                <w:i w:val="0"/>
                <w:iCs w:val="0"/>
                <w:sz w:val="18"/>
                <w:szCs w:val="18"/>
              </w:rPr>
              <w:t xml:space="preserve"> </w:t>
            </w:r>
            <w:r>
              <w:rPr>
                <w:rStyle w:val="a6"/>
                <w:i w:val="0"/>
                <w:iCs w:val="0"/>
                <w:sz w:val="18"/>
                <w:szCs w:val="18"/>
              </w:rPr>
              <w:t>January 2018,</w:t>
            </w:r>
            <w:r>
              <w:rPr>
                <w:rStyle w:val="a6"/>
                <w:i w:val="0"/>
                <w:iCs w:val="0"/>
                <w:sz w:val="18"/>
                <w:szCs w:val="18"/>
              </w:rPr>
              <w:t xml:space="preserve"> </w:t>
            </w:r>
            <w:r>
              <w:rPr>
                <w:rStyle w:val="a6"/>
                <w:i w:val="0"/>
                <w:iCs w:val="0"/>
                <w:sz w:val="18"/>
                <w:szCs w:val="18"/>
              </w:rPr>
              <w:t>the FASB issued 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01</w:t>
            </w:r>
            <w:r>
              <w:rPr>
                <w:rStyle w:val="a6"/>
                <w:i w:val="0"/>
                <w:iCs w:val="0"/>
                <w:sz w:val="18"/>
                <w:szCs w:val="18"/>
              </w:rPr>
              <w:t>,</w:t>
            </w:r>
            <w:r>
              <w:rPr>
                <w:rStyle w:val="a6"/>
                <w:i w:val="0"/>
                <w:iCs w:val="0"/>
                <w:sz w:val="18"/>
                <w:szCs w:val="18"/>
              </w:rPr>
              <w:t xml:space="preserve"> which includes amendments to clarify that land easements are within the scope of the new leasing standard (Topic</w:t>
            </w:r>
            <w:r>
              <w:rPr>
                <w:rStyle w:val="a6"/>
                <w:i w:val="0"/>
                <w:iCs w:val="0"/>
                <w:sz w:val="18"/>
                <w:szCs w:val="18"/>
              </w:rPr>
              <w:t xml:space="preserve"> </w:t>
            </w:r>
            <w:r>
              <w:rPr>
                <w:rStyle w:val="a6"/>
                <w:i w:val="0"/>
                <w:iCs w:val="0"/>
                <w:sz w:val="18"/>
                <w:szCs w:val="18"/>
              </w:rPr>
              <w:t>84</w:t>
            </w:r>
            <w:r>
              <w:rPr>
                <w:rStyle w:val="a6"/>
                <w:i w:val="0"/>
                <w:iCs w:val="0"/>
                <w:sz w:val="18"/>
                <w:szCs w:val="18"/>
              </w:rPr>
              <w:t>2</w:t>
            </w:r>
            <w:r>
              <w:rPr>
                <w:rStyle w:val="a6"/>
                <w:i w:val="0"/>
                <w:iCs w:val="0"/>
                <w:sz w:val="18"/>
                <w:szCs w:val="18"/>
              </w:rPr>
              <w:t>) and provide an optional transition practical expedient to</w:t>
            </w:r>
            <w:r>
              <w:rPr>
                <w:rStyle w:val="a6"/>
                <w:i w:val="0"/>
                <w:iCs w:val="0"/>
                <w:sz w:val="18"/>
                <w:szCs w:val="18"/>
              </w:rPr>
              <w:t xml:space="preserve"> </w:t>
            </w:r>
            <w:r>
              <w:rPr>
                <w:rStyle w:val="a6"/>
                <w:i w:val="0"/>
                <w:iCs w:val="0"/>
                <w:sz w:val="18"/>
                <w:szCs w:val="18"/>
              </w:rPr>
              <w:t>no</w:t>
            </w:r>
            <w:r>
              <w:rPr>
                <w:rStyle w:val="a6"/>
                <w:i w:val="0"/>
                <w:iCs w:val="0"/>
                <w:sz w:val="18"/>
                <w:szCs w:val="18"/>
              </w:rPr>
              <w:t>t</w:t>
            </w:r>
            <w:r>
              <w:rPr>
                <w:rStyle w:val="a6"/>
                <w:i w:val="0"/>
                <w:iCs w:val="0"/>
                <w:sz w:val="18"/>
                <w:szCs w:val="18"/>
              </w:rPr>
              <w:t xml:space="preserve"> evaluate whether existing an</w:t>
            </w:r>
            <w:r>
              <w:rPr>
                <w:rStyle w:val="a6"/>
                <w:i w:val="0"/>
                <w:iCs w:val="0"/>
                <w:sz w:val="18"/>
                <w:szCs w:val="18"/>
              </w:rPr>
              <w:t>d expired land easements that were</w:t>
            </w:r>
            <w:r>
              <w:rPr>
                <w:rStyle w:val="a6"/>
                <w:i w:val="0"/>
                <w:iCs w:val="0"/>
                <w:sz w:val="18"/>
                <w:szCs w:val="18"/>
              </w:rPr>
              <w:t xml:space="preserve"> </w:t>
            </w:r>
            <w:r>
              <w:rPr>
                <w:rStyle w:val="a6"/>
                <w:i w:val="0"/>
                <w:iCs w:val="0"/>
                <w:sz w:val="18"/>
                <w:szCs w:val="18"/>
              </w:rPr>
              <w:t>no</w:t>
            </w:r>
            <w:r>
              <w:rPr>
                <w:rStyle w:val="a6"/>
                <w:i w:val="0"/>
                <w:iCs w:val="0"/>
                <w:sz w:val="18"/>
                <w:szCs w:val="18"/>
              </w:rPr>
              <w:t>t</w:t>
            </w:r>
            <w:r>
              <w:rPr>
                <w:rStyle w:val="a6"/>
                <w:i w:val="0"/>
                <w:iCs w:val="0"/>
                <w:sz w:val="18"/>
                <w:szCs w:val="18"/>
              </w:rPr>
              <w:t xml:space="preserve"> previously accounted for as leases under current lease guidance in Topic</w:t>
            </w:r>
            <w:r>
              <w:rPr>
                <w:rStyle w:val="a6"/>
                <w:i w:val="0"/>
                <w:iCs w:val="0"/>
                <w:sz w:val="18"/>
                <w:szCs w:val="18"/>
              </w:rPr>
              <w:t xml:space="preserve"> </w:t>
            </w:r>
            <w:r>
              <w:rPr>
                <w:rStyle w:val="a6"/>
                <w:i w:val="0"/>
                <w:iCs w:val="0"/>
                <w:sz w:val="18"/>
                <w:szCs w:val="18"/>
              </w:rPr>
              <w:t>84</w:t>
            </w:r>
            <w:r>
              <w:rPr>
                <w:rStyle w:val="a6"/>
                <w:i w:val="0"/>
                <w:iCs w:val="0"/>
                <w:sz w:val="18"/>
                <w:szCs w:val="18"/>
              </w:rPr>
              <w:t>0</w:t>
            </w:r>
            <w:r>
              <w:rPr>
                <w:rStyle w:val="a6"/>
                <w:i w:val="0"/>
                <w:iCs w:val="0"/>
                <w:sz w:val="18"/>
                <w:szCs w:val="18"/>
              </w:rPr>
              <w:t xml:space="preserve"> are to be accounted for or contain leases under Topic</w:t>
            </w:r>
            <w:r>
              <w:rPr>
                <w:rStyle w:val="a6"/>
                <w:i w:val="0"/>
                <w:iCs w:val="0"/>
                <w:sz w:val="18"/>
                <w:szCs w:val="18"/>
              </w:rPr>
              <w:t xml:space="preserve"> </w:t>
            </w:r>
            <w:r>
              <w:rPr>
                <w:rStyle w:val="a6"/>
                <w:i w:val="0"/>
                <w:iCs w:val="0"/>
                <w:sz w:val="18"/>
                <w:szCs w:val="18"/>
              </w:rPr>
              <w:t>842</w:t>
            </w:r>
            <w:r>
              <w:rPr>
                <w:rStyle w:val="a6"/>
                <w:i w:val="0"/>
                <w:iCs w:val="0"/>
                <w:sz w:val="18"/>
                <w:szCs w:val="18"/>
              </w:rPr>
              <w:t>.</w:t>
            </w:r>
            <w:r>
              <w:rPr>
                <w:rStyle w:val="a6"/>
                <w:i w:val="0"/>
                <w:iCs w:val="0"/>
                <w:sz w:val="18"/>
                <w:szCs w:val="18"/>
              </w:rPr>
              <w:t> Early adoption is permitted as of the original effective date.</w:t>
            </w:r>
          </w:p>
          <w:p w14:paraId="5EB80DA0" w14:textId="77777777" w:rsidR="00000000" w:rsidRDefault="00527094">
            <w:pPr>
              <w:pStyle w:val="a3"/>
              <w:spacing w:before="0" w:beforeAutospacing="0" w:after="0" w:afterAutospacing="0"/>
              <w:jc w:val="both"/>
              <w:rPr>
                <w:sz w:val="18"/>
                <w:szCs w:val="18"/>
              </w:rPr>
            </w:pPr>
            <w:r>
              <w:rPr>
                <w:rStyle w:val="a6"/>
                <w:i w:val="0"/>
                <w:iCs w:val="0"/>
                <w:sz w:val="18"/>
                <w:szCs w:val="18"/>
              </w:rPr>
              <w:t> </w:t>
            </w:r>
          </w:p>
          <w:p w14:paraId="55EF9DAC" w14:textId="77777777" w:rsidR="00000000" w:rsidRDefault="00527094">
            <w:pPr>
              <w:pStyle w:val="a3"/>
              <w:spacing w:before="0" w:beforeAutospacing="0" w:after="0" w:afterAutospacing="0"/>
              <w:jc w:val="both"/>
              <w:rPr>
                <w:sz w:val="18"/>
                <w:szCs w:val="18"/>
              </w:rPr>
            </w:pPr>
            <w:r>
              <w:rPr>
                <w:rStyle w:val="a6"/>
                <w:i w:val="0"/>
                <w:iCs w:val="0"/>
                <w:sz w:val="18"/>
                <w:szCs w:val="18"/>
              </w:rPr>
              <w:t>In</w:t>
            </w:r>
            <w:r>
              <w:rPr>
                <w:rStyle w:val="a6"/>
                <w:i w:val="0"/>
                <w:iCs w:val="0"/>
                <w:sz w:val="18"/>
                <w:szCs w:val="18"/>
              </w:rPr>
              <w:t xml:space="preserve"> </w:t>
            </w:r>
            <w:r>
              <w:rPr>
                <w:rStyle w:val="a6"/>
                <w:i w:val="0"/>
                <w:iCs w:val="0"/>
                <w:sz w:val="18"/>
                <w:szCs w:val="18"/>
              </w:rPr>
              <w:t>July 2018,</w:t>
            </w:r>
            <w:r>
              <w:rPr>
                <w:rStyle w:val="a6"/>
                <w:i w:val="0"/>
                <w:iCs w:val="0"/>
                <w:sz w:val="18"/>
                <w:szCs w:val="18"/>
              </w:rPr>
              <w:t xml:space="preserve"> </w:t>
            </w:r>
            <w:r>
              <w:rPr>
                <w:rStyle w:val="a6"/>
                <w:i w:val="0"/>
                <w:iCs w:val="0"/>
                <w:sz w:val="18"/>
                <w:szCs w:val="18"/>
              </w:rPr>
              <w:t>th</w:t>
            </w:r>
            <w:r>
              <w:rPr>
                <w:rStyle w:val="a6"/>
                <w:i w:val="0"/>
                <w:iCs w:val="0"/>
                <w:sz w:val="18"/>
                <w:szCs w:val="18"/>
              </w:rPr>
              <w:t>e FASB issued 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10</w:t>
            </w:r>
            <w:r>
              <w:rPr>
                <w:rStyle w:val="a6"/>
                <w:i w:val="0"/>
                <w:iCs w:val="0"/>
                <w:sz w:val="18"/>
                <w:szCs w:val="18"/>
              </w:rPr>
              <w:t>,</w:t>
            </w:r>
            <w:r>
              <w:rPr>
                <w:rStyle w:val="a6"/>
                <w:i w:val="0"/>
                <w:iCs w:val="0"/>
                <w:sz w:val="18"/>
                <w:szCs w:val="18"/>
              </w:rPr>
              <w:t xml:space="preserve"> which includes amendments to clarify certain aspects of the new leasing standard. These amendments address the rate implicit in the lease, impairment of the net investment in the lease, lessee reassessment of lease classification</w:t>
            </w:r>
            <w:r>
              <w:rPr>
                <w:rStyle w:val="a6"/>
                <w:i w:val="0"/>
                <w:iCs w:val="0"/>
                <w:sz w:val="18"/>
                <w:szCs w:val="18"/>
              </w:rPr>
              <w:t>, lessor reassessment of lease term and purchase options, variable payments that depend on an index or rate and certain transition adjustments. </w:t>
            </w:r>
          </w:p>
          <w:p w14:paraId="6480B490" w14:textId="77777777" w:rsidR="00000000" w:rsidRDefault="00527094">
            <w:pPr>
              <w:pStyle w:val="a3"/>
              <w:spacing w:before="0" w:beforeAutospacing="0" w:after="0" w:afterAutospacing="0"/>
              <w:jc w:val="both"/>
              <w:rPr>
                <w:sz w:val="18"/>
                <w:szCs w:val="18"/>
              </w:rPr>
            </w:pPr>
            <w:r>
              <w:rPr>
                <w:rStyle w:val="a6"/>
                <w:i w:val="0"/>
                <w:iCs w:val="0"/>
                <w:sz w:val="18"/>
                <w:szCs w:val="18"/>
              </w:rPr>
              <w:t> </w:t>
            </w:r>
          </w:p>
          <w:p w14:paraId="389BD36D" w14:textId="77777777" w:rsidR="00000000" w:rsidRDefault="00527094">
            <w:pPr>
              <w:pStyle w:val="a3"/>
              <w:spacing w:before="0" w:beforeAutospacing="0" w:after="0" w:afterAutospacing="0"/>
              <w:jc w:val="both"/>
              <w:rPr>
                <w:sz w:val="18"/>
                <w:szCs w:val="18"/>
              </w:rPr>
            </w:pPr>
            <w:r>
              <w:rPr>
                <w:rStyle w:val="a6"/>
                <w:i w:val="0"/>
                <w:iCs w:val="0"/>
                <w:sz w:val="18"/>
                <w:szCs w:val="18"/>
              </w:rPr>
              <w:t>Additionally, during</w:t>
            </w:r>
            <w:r>
              <w:rPr>
                <w:rStyle w:val="a6"/>
                <w:i w:val="0"/>
                <w:iCs w:val="0"/>
                <w:sz w:val="18"/>
                <w:szCs w:val="18"/>
              </w:rPr>
              <w:t xml:space="preserve"> </w:t>
            </w:r>
            <w:r>
              <w:rPr>
                <w:rStyle w:val="a6"/>
                <w:i w:val="0"/>
                <w:iCs w:val="0"/>
                <w:sz w:val="18"/>
                <w:szCs w:val="18"/>
              </w:rPr>
              <w:t>July 2018,</w:t>
            </w:r>
            <w:r>
              <w:rPr>
                <w:rStyle w:val="a6"/>
                <w:i w:val="0"/>
                <w:iCs w:val="0"/>
                <w:sz w:val="18"/>
                <w:szCs w:val="18"/>
              </w:rPr>
              <w:t xml:space="preserve"> </w:t>
            </w:r>
            <w:r>
              <w:rPr>
                <w:rStyle w:val="a6"/>
                <w:i w:val="0"/>
                <w:iCs w:val="0"/>
                <w:sz w:val="18"/>
                <w:szCs w:val="18"/>
              </w:rPr>
              <w:t>the FASB issued 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11</w:t>
            </w:r>
            <w:r>
              <w:rPr>
                <w:rStyle w:val="a6"/>
                <w:i w:val="0"/>
                <w:iCs w:val="0"/>
                <w:sz w:val="18"/>
                <w:szCs w:val="18"/>
              </w:rPr>
              <w:t>,</w:t>
            </w:r>
            <w:r>
              <w:rPr>
                <w:rStyle w:val="a6"/>
                <w:i w:val="0"/>
                <w:iCs w:val="0"/>
                <w:sz w:val="18"/>
                <w:szCs w:val="18"/>
              </w:rPr>
              <w:t xml:space="preserve"> which includes (i) an additional transition meth</w:t>
            </w:r>
            <w:r>
              <w:rPr>
                <w:rStyle w:val="a6"/>
                <w:i w:val="0"/>
                <w:iCs w:val="0"/>
                <w:sz w:val="18"/>
                <w:szCs w:val="18"/>
              </w:rPr>
              <w:t>od to provide transition relief on comparative reporting at adoption and (ii) an amendment to provide lessors with a practical expedient to combine lease and non-lease components of a contract if certain criteria are met. Under the transition option, compa</w:t>
            </w:r>
            <w:r>
              <w:rPr>
                <w:rStyle w:val="a6"/>
                <w:i w:val="0"/>
                <w:iCs w:val="0"/>
                <w:sz w:val="18"/>
                <w:szCs w:val="18"/>
              </w:rPr>
              <w:t>nies can opt to</w:t>
            </w:r>
            <w:r>
              <w:rPr>
                <w:rStyle w:val="a6"/>
                <w:i w:val="0"/>
                <w:iCs w:val="0"/>
                <w:sz w:val="18"/>
                <w:szCs w:val="18"/>
              </w:rPr>
              <w:t xml:space="preserve"> </w:t>
            </w:r>
            <w:r>
              <w:rPr>
                <w:rStyle w:val="a6"/>
                <w:i w:val="0"/>
                <w:iCs w:val="0"/>
                <w:sz w:val="18"/>
                <w:szCs w:val="18"/>
              </w:rPr>
              <w:t>no</w:t>
            </w:r>
            <w:r>
              <w:rPr>
                <w:rStyle w:val="a6"/>
                <w:i w:val="0"/>
                <w:iCs w:val="0"/>
                <w:sz w:val="18"/>
                <w:szCs w:val="18"/>
              </w:rPr>
              <w:t>t</w:t>
            </w:r>
            <w:r>
              <w:rPr>
                <w:rStyle w:val="a6"/>
                <w:i w:val="0"/>
                <w:iCs w:val="0"/>
                <w:sz w:val="18"/>
                <w:szCs w:val="18"/>
              </w:rPr>
              <w:t xml:space="preserve"> apply the new guidance, including its disclosure requirements, in the comparative periods they present in their financial statements in the year of adoption. The practical expedient allows lessors to elect, by class of underlying asset,</w:t>
            </w:r>
            <w:r>
              <w:rPr>
                <w:rStyle w:val="a6"/>
                <w:i w:val="0"/>
                <w:iCs w:val="0"/>
                <w:sz w:val="18"/>
                <w:szCs w:val="18"/>
              </w:rPr>
              <w:t xml:space="preserve"> to combine non-lease and associated lease components when certain criteria are met and requires them to account for the combined component in accordance with new revenue standard (Topic</w:t>
            </w:r>
            <w:r>
              <w:rPr>
                <w:rStyle w:val="a6"/>
                <w:i w:val="0"/>
                <w:iCs w:val="0"/>
                <w:sz w:val="18"/>
                <w:szCs w:val="18"/>
              </w:rPr>
              <w:t xml:space="preserve"> </w:t>
            </w:r>
            <w:r>
              <w:rPr>
                <w:rStyle w:val="a6"/>
                <w:i w:val="0"/>
                <w:iCs w:val="0"/>
                <w:sz w:val="18"/>
                <w:szCs w:val="18"/>
              </w:rPr>
              <w:t>60</w:t>
            </w:r>
            <w:r>
              <w:rPr>
                <w:rStyle w:val="a6"/>
                <w:i w:val="0"/>
                <w:iCs w:val="0"/>
                <w:sz w:val="18"/>
                <w:szCs w:val="18"/>
              </w:rPr>
              <w:t>6</w:t>
            </w:r>
            <w:r>
              <w:rPr>
                <w:rStyle w:val="a6"/>
                <w:i w:val="0"/>
                <w:iCs w:val="0"/>
                <w:sz w:val="18"/>
                <w:szCs w:val="18"/>
              </w:rPr>
              <w:t>) if the non-lease components are the predominant component; conve</w:t>
            </w:r>
            <w:r>
              <w:rPr>
                <w:rStyle w:val="a6"/>
                <w:i w:val="0"/>
                <w:iCs w:val="0"/>
                <w:sz w:val="18"/>
                <w:szCs w:val="18"/>
              </w:rPr>
              <w:t>rsely, if a lessor determines that the lease components are the predominant component, it requires them to account for the combined component as an operating lease in accordance with the new leasing standard (Topic</w:t>
            </w:r>
            <w:r>
              <w:rPr>
                <w:rStyle w:val="a6"/>
                <w:i w:val="0"/>
                <w:iCs w:val="0"/>
                <w:sz w:val="18"/>
                <w:szCs w:val="18"/>
              </w:rPr>
              <w:t xml:space="preserve"> </w:t>
            </w:r>
            <w:r>
              <w:rPr>
                <w:rStyle w:val="a6"/>
                <w:i w:val="0"/>
                <w:iCs w:val="0"/>
                <w:sz w:val="18"/>
                <w:szCs w:val="18"/>
              </w:rPr>
              <w:t>84</w:t>
            </w:r>
            <w:r>
              <w:rPr>
                <w:rStyle w:val="a6"/>
                <w:i w:val="0"/>
                <w:iCs w:val="0"/>
                <w:sz w:val="18"/>
                <w:szCs w:val="18"/>
              </w:rPr>
              <w:t>2</w:t>
            </w:r>
            <w:r>
              <w:rPr>
                <w:rStyle w:val="a6"/>
                <w:i w:val="0"/>
                <w:iCs w:val="0"/>
                <w:sz w:val="18"/>
                <w:szCs w:val="18"/>
              </w:rPr>
              <w:t>).</w:t>
            </w:r>
          </w:p>
          <w:p w14:paraId="4D0AD1A4" w14:textId="77777777" w:rsidR="00000000" w:rsidRDefault="00527094">
            <w:pPr>
              <w:pStyle w:val="a3"/>
              <w:spacing w:before="0" w:beforeAutospacing="0" w:after="0" w:afterAutospacing="0"/>
              <w:jc w:val="both"/>
              <w:rPr>
                <w:sz w:val="18"/>
                <w:szCs w:val="18"/>
              </w:rPr>
            </w:pPr>
            <w:r>
              <w:rPr>
                <w:rStyle w:val="a6"/>
                <w:i w:val="0"/>
                <w:iCs w:val="0"/>
                <w:sz w:val="18"/>
                <w:szCs w:val="18"/>
              </w:rPr>
              <w:t> </w:t>
            </w:r>
          </w:p>
          <w:p w14:paraId="331960A3" w14:textId="77777777" w:rsidR="00000000" w:rsidRDefault="00527094">
            <w:pPr>
              <w:pStyle w:val="a3"/>
              <w:spacing w:before="0" w:beforeAutospacing="0" w:after="0" w:afterAutospacing="0"/>
              <w:jc w:val="both"/>
              <w:rPr>
                <w:sz w:val="18"/>
                <w:szCs w:val="18"/>
              </w:rPr>
            </w:pPr>
            <w:r>
              <w:rPr>
                <w:rStyle w:val="a6"/>
                <w:i w:val="0"/>
                <w:iCs w:val="0"/>
                <w:sz w:val="18"/>
                <w:szCs w:val="18"/>
              </w:rPr>
              <w:t>In</w:t>
            </w:r>
            <w:r>
              <w:rPr>
                <w:rStyle w:val="a6"/>
                <w:i w:val="0"/>
                <w:iCs w:val="0"/>
                <w:sz w:val="18"/>
                <w:szCs w:val="18"/>
              </w:rPr>
              <w:t xml:space="preserve"> </w:t>
            </w:r>
            <w:r>
              <w:rPr>
                <w:rStyle w:val="a6"/>
                <w:i w:val="0"/>
                <w:iCs w:val="0"/>
                <w:sz w:val="18"/>
                <w:szCs w:val="18"/>
              </w:rPr>
              <w:t>December 2018,</w:t>
            </w:r>
            <w:r>
              <w:rPr>
                <w:rStyle w:val="a6"/>
                <w:i w:val="0"/>
                <w:iCs w:val="0"/>
                <w:sz w:val="18"/>
                <w:szCs w:val="18"/>
              </w:rPr>
              <w:t xml:space="preserve"> </w:t>
            </w:r>
            <w:r>
              <w:rPr>
                <w:rStyle w:val="a6"/>
                <w:i w:val="0"/>
                <w:iCs w:val="0"/>
                <w:sz w:val="18"/>
                <w:szCs w:val="18"/>
              </w:rPr>
              <w:t>the FASB issued</w:t>
            </w:r>
            <w:r>
              <w:rPr>
                <w:rStyle w:val="a6"/>
                <w:i w:val="0"/>
                <w:iCs w:val="0"/>
                <w:sz w:val="18"/>
                <w:szCs w:val="18"/>
              </w:rPr>
              <w:t xml:space="preserve"> ASU</w:t>
            </w:r>
            <w:r>
              <w:rPr>
                <w:rStyle w:val="a6"/>
                <w:i w:val="0"/>
                <w:iCs w:val="0"/>
                <w:sz w:val="18"/>
                <w:szCs w:val="18"/>
              </w:rPr>
              <w:t xml:space="preserve"> </w:t>
            </w:r>
            <w:r>
              <w:rPr>
                <w:rStyle w:val="a6"/>
                <w:i w:val="0"/>
                <w:iCs w:val="0"/>
                <w:sz w:val="18"/>
                <w:szCs w:val="18"/>
              </w:rPr>
              <w:t>201</w:t>
            </w:r>
            <w:r>
              <w:rPr>
                <w:rStyle w:val="a6"/>
                <w:i w:val="0"/>
                <w:iCs w:val="0"/>
                <w:sz w:val="18"/>
                <w:szCs w:val="18"/>
              </w:rPr>
              <w:t>8</w:t>
            </w:r>
            <w:r>
              <w:rPr>
                <w:rStyle w:val="a6"/>
                <w:i w:val="0"/>
                <w:iCs w:val="0"/>
                <w:sz w:val="18"/>
                <w:szCs w:val="18"/>
              </w:rPr>
              <w:t>-</w:t>
            </w:r>
            <w:r>
              <w:rPr>
                <w:rStyle w:val="a6"/>
                <w:i w:val="0"/>
                <w:iCs w:val="0"/>
                <w:sz w:val="18"/>
                <w:szCs w:val="18"/>
              </w:rPr>
              <w:t>20</w:t>
            </w:r>
            <w:r>
              <w:rPr>
                <w:rStyle w:val="a6"/>
                <w:i w:val="0"/>
                <w:iCs w:val="0"/>
                <w:sz w:val="18"/>
                <w:szCs w:val="18"/>
              </w:rPr>
              <w:t>,</w:t>
            </w:r>
            <w:r>
              <w:rPr>
                <w:rStyle w:val="a6"/>
                <w:i w:val="0"/>
                <w:iCs w:val="0"/>
                <w:sz w:val="18"/>
                <w:szCs w:val="18"/>
              </w:rPr>
              <w:t xml:space="preserve"> which includes narrow-scope improvements for lessors. The FASB amended the new leasing standard to allow lessors to make an accounting policy election</w:t>
            </w:r>
            <w:r>
              <w:rPr>
                <w:rStyle w:val="a6"/>
                <w:i w:val="0"/>
                <w:iCs w:val="0"/>
                <w:sz w:val="18"/>
                <w:szCs w:val="18"/>
              </w:rPr>
              <w:t xml:space="preserve"> </w:t>
            </w:r>
            <w:r>
              <w:rPr>
                <w:rStyle w:val="a6"/>
                <w:i w:val="0"/>
                <w:iCs w:val="0"/>
                <w:sz w:val="18"/>
                <w:szCs w:val="18"/>
              </w:rPr>
              <w:t>no</w:t>
            </w:r>
            <w:r>
              <w:rPr>
                <w:rStyle w:val="a6"/>
                <w:i w:val="0"/>
                <w:iCs w:val="0"/>
                <w:sz w:val="18"/>
                <w:szCs w:val="18"/>
              </w:rPr>
              <w:t>t</w:t>
            </w:r>
            <w:r>
              <w:rPr>
                <w:rStyle w:val="a6"/>
                <w:i w:val="0"/>
                <w:iCs w:val="0"/>
                <w:sz w:val="18"/>
                <w:szCs w:val="18"/>
              </w:rPr>
              <w:t xml:space="preserve"> to evaluate whether sales taxes and similar taxes imposed by a governmental authority o</w:t>
            </w:r>
            <w:r>
              <w:rPr>
                <w:rStyle w:val="a6"/>
                <w:i w:val="0"/>
                <w:iCs w:val="0"/>
                <w:sz w:val="18"/>
                <w:szCs w:val="18"/>
              </w:rPr>
              <w:t>n a specific lease revenue-producing transaction are the primary obligation of the lessor as owner of the underlying leased asset. The amendments also require a lessor to exclude lessor costs paid directly by a lessee to</w:t>
            </w:r>
            <w:r>
              <w:rPr>
                <w:rStyle w:val="a6"/>
                <w:i w:val="0"/>
                <w:iCs w:val="0"/>
                <w:sz w:val="18"/>
                <w:szCs w:val="18"/>
              </w:rPr>
              <w:t xml:space="preserve"> </w:t>
            </w:r>
            <w:r>
              <w:rPr>
                <w:rStyle w:val="a6"/>
                <w:i w:val="0"/>
                <w:iCs w:val="0"/>
                <w:sz w:val="18"/>
                <w:szCs w:val="18"/>
              </w:rPr>
              <w:t>thir</w:t>
            </w:r>
            <w:r>
              <w:rPr>
                <w:rStyle w:val="a6"/>
                <w:i w:val="0"/>
                <w:iCs w:val="0"/>
                <w:sz w:val="18"/>
                <w:szCs w:val="18"/>
              </w:rPr>
              <w:t>d</w:t>
            </w:r>
            <w:r>
              <w:rPr>
                <w:rStyle w:val="a6"/>
                <w:i w:val="0"/>
                <w:iCs w:val="0"/>
                <w:sz w:val="18"/>
                <w:szCs w:val="18"/>
              </w:rPr>
              <w:t xml:space="preserve"> parties on the lessor’s behal</w:t>
            </w:r>
            <w:r>
              <w:rPr>
                <w:rStyle w:val="a6"/>
                <w:i w:val="0"/>
                <w:iCs w:val="0"/>
                <w:sz w:val="18"/>
                <w:szCs w:val="18"/>
              </w:rPr>
              <w:t>f from variable payments and include lessor costs that are paid by the lessor and reimbursed by the lessee in the measurement of variable lease revenue and the associated expense. In addition, the amendments clarify that when lessors allocate variable paym</w:t>
            </w:r>
            <w:r>
              <w:rPr>
                <w:rStyle w:val="a6"/>
                <w:i w:val="0"/>
                <w:iCs w:val="0"/>
                <w:sz w:val="18"/>
                <w:szCs w:val="18"/>
              </w:rPr>
              <w:t>ents to lease and non-lease components they are required to follow the recognition guidance in the new leasing standard for the lease component and other applicable guidance, such as the new revenue standard, for the non-lease component.</w:t>
            </w:r>
          </w:p>
          <w:p w14:paraId="6F9D21CE" w14:textId="77777777" w:rsidR="00000000" w:rsidRDefault="00527094">
            <w:pPr>
              <w:pStyle w:val="a3"/>
              <w:spacing w:before="0" w:beforeAutospacing="0" w:after="0" w:afterAutospacing="0"/>
              <w:jc w:val="both"/>
              <w:rPr>
                <w:sz w:val="18"/>
                <w:szCs w:val="18"/>
              </w:rPr>
            </w:pPr>
            <w:r>
              <w:rPr>
                <w:rStyle w:val="a6"/>
                <w:i w:val="0"/>
                <w:iCs w:val="0"/>
                <w:sz w:val="18"/>
                <w:szCs w:val="18"/>
              </w:rPr>
              <w:t> </w:t>
            </w:r>
          </w:p>
          <w:p w14:paraId="7A26DECF" w14:textId="77777777" w:rsidR="00000000" w:rsidRDefault="00527094">
            <w:pPr>
              <w:pStyle w:val="a3"/>
              <w:spacing w:before="0" w:beforeAutospacing="0" w:after="0" w:afterAutospacing="0"/>
              <w:jc w:val="both"/>
              <w:rPr>
                <w:sz w:val="18"/>
                <w:szCs w:val="18"/>
              </w:rPr>
            </w:pPr>
            <w:r>
              <w:rPr>
                <w:rStyle w:val="a6"/>
                <w:i w:val="0"/>
                <w:iCs w:val="0"/>
                <w:sz w:val="18"/>
                <w:szCs w:val="18"/>
              </w:rPr>
              <w:t>In</w:t>
            </w:r>
            <w:r>
              <w:rPr>
                <w:rStyle w:val="a6"/>
                <w:i w:val="0"/>
                <w:iCs w:val="0"/>
                <w:sz w:val="18"/>
                <w:szCs w:val="18"/>
              </w:rPr>
              <w:t xml:space="preserve"> </w:t>
            </w:r>
            <w:r>
              <w:rPr>
                <w:rStyle w:val="a6"/>
                <w:i w:val="0"/>
                <w:iCs w:val="0"/>
                <w:sz w:val="18"/>
                <w:szCs w:val="18"/>
              </w:rPr>
              <w:t>February 2019,</w:t>
            </w:r>
            <w:r>
              <w:rPr>
                <w:rStyle w:val="a6"/>
                <w:i w:val="0"/>
                <w:iCs w:val="0"/>
                <w:sz w:val="18"/>
                <w:szCs w:val="18"/>
              </w:rPr>
              <w:t xml:space="preserve"> </w:t>
            </w:r>
            <w:r>
              <w:rPr>
                <w:rStyle w:val="a6"/>
                <w:i w:val="0"/>
                <w:iCs w:val="0"/>
                <w:sz w:val="18"/>
                <w:szCs w:val="18"/>
              </w:rPr>
              <w:t>the FASB issued ASU</w:t>
            </w:r>
            <w:r>
              <w:rPr>
                <w:rStyle w:val="a6"/>
                <w:i w:val="0"/>
                <w:iCs w:val="0"/>
                <w:sz w:val="18"/>
                <w:szCs w:val="18"/>
              </w:rPr>
              <w:t xml:space="preserve"> </w:t>
            </w:r>
            <w:r>
              <w:rPr>
                <w:rStyle w:val="a6"/>
                <w:i w:val="0"/>
                <w:iCs w:val="0"/>
                <w:sz w:val="18"/>
                <w:szCs w:val="18"/>
              </w:rPr>
              <w:t>201</w:t>
            </w:r>
            <w:r>
              <w:rPr>
                <w:rStyle w:val="a6"/>
                <w:i w:val="0"/>
                <w:iCs w:val="0"/>
                <w:sz w:val="18"/>
                <w:szCs w:val="18"/>
              </w:rPr>
              <w:t>9</w:t>
            </w:r>
            <w:r>
              <w:rPr>
                <w:rStyle w:val="a6"/>
                <w:i w:val="0"/>
                <w:iCs w:val="0"/>
                <w:sz w:val="18"/>
                <w:szCs w:val="18"/>
              </w:rPr>
              <w:t>-</w:t>
            </w:r>
            <w:r>
              <w:rPr>
                <w:rStyle w:val="a6"/>
                <w:i w:val="0"/>
                <w:iCs w:val="0"/>
                <w:sz w:val="18"/>
                <w:szCs w:val="18"/>
              </w:rPr>
              <w:t>01</w:t>
            </w:r>
            <w:r>
              <w:rPr>
                <w:rStyle w:val="a6"/>
                <w:i w:val="0"/>
                <w:iCs w:val="0"/>
                <w:sz w:val="18"/>
                <w:szCs w:val="18"/>
              </w:rPr>
              <w:t>,</w:t>
            </w:r>
            <w:r>
              <w:rPr>
                <w:rStyle w:val="a6"/>
                <w:i w:val="0"/>
                <w:iCs w:val="0"/>
                <w:sz w:val="18"/>
                <w:szCs w:val="18"/>
              </w:rPr>
              <w:t xml:space="preserve"> which includes amendments to address the following:</w:t>
            </w:r>
          </w:p>
          <w:p w14:paraId="403E9885" w14:textId="77777777" w:rsidR="00000000" w:rsidRDefault="00527094">
            <w:pPr>
              <w:pStyle w:val="a3"/>
              <w:spacing w:before="0" w:beforeAutospacing="0" w:after="0" w:afterAutospacing="0"/>
              <w:jc w:val="both"/>
              <w:rPr>
                <w:sz w:val="18"/>
                <w:szCs w:val="18"/>
              </w:rPr>
            </w:pPr>
            <w:r>
              <w:rPr>
                <w:rStyle w:val="a6"/>
                <w:i w:val="0"/>
                <w:iCs w:val="0"/>
                <w:sz w:val="18"/>
                <w:szCs w:val="18"/>
              </w:rPr>
              <w:t>(i)   Determining the fair value of the underlying asset by lessors that are</w:t>
            </w:r>
          </w:p>
          <w:p w14:paraId="3C6E00C1" w14:textId="77777777" w:rsidR="00000000" w:rsidRDefault="00527094">
            <w:pPr>
              <w:pStyle w:val="a3"/>
              <w:spacing w:before="0" w:beforeAutospacing="0" w:after="0" w:afterAutospacing="0"/>
              <w:ind w:left="360"/>
              <w:jc w:val="both"/>
              <w:rPr>
                <w:sz w:val="18"/>
                <w:szCs w:val="18"/>
              </w:rPr>
            </w:pPr>
            <w:r>
              <w:rPr>
                <w:rStyle w:val="a6"/>
                <w:i w:val="0"/>
                <w:iCs w:val="0"/>
                <w:sz w:val="18"/>
                <w:szCs w:val="18"/>
              </w:rPr>
              <w:t>no</w:t>
            </w:r>
            <w:r>
              <w:rPr>
                <w:rStyle w:val="a6"/>
                <w:i w:val="0"/>
                <w:iCs w:val="0"/>
                <w:sz w:val="18"/>
                <w:szCs w:val="18"/>
              </w:rPr>
              <w:t>t</w:t>
            </w:r>
            <w:r>
              <w:rPr>
                <w:rStyle w:val="a6"/>
                <w:i w:val="0"/>
                <w:iCs w:val="0"/>
                <w:sz w:val="18"/>
                <w:szCs w:val="18"/>
              </w:rPr>
              <w:t xml:space="preserve"> manufacturers or dealers;</w:t>
            </w:r>
          </w:p>
          <w:p w14:paraId="631FCF2B" w14:textId="77777777" w:rsidR="00000000" w:rsidRDefault="00527094">
            <w:pPr>
              <w:pStyle w:val="a3"/>
              <w:spacing w:before="0" w:beforeAutospacing="0" w:after="0" w:afterAutospacing="0"/>
              <w:ind w:left="360" w:hanging="360"/>
              <w:jc w:val="both"/>
              <w:rPr>
                <w:sz w:val="18"/>
                <w:szCs w:val="18"/>
              </w:rPr>
            </w:pPr>
            <w:r>
              <w:rPr>
                <w:rStyle w:val="a6"/>
                <w:i w:val="0"/>
                <w:iCs w:val="0"/>
                <w:sz w:val="18"/>
                <w:szCs w:val="18"/>
              </w:rPr>
              <w:t>(ii)  Presentation on the statement of cash flows for</w:t>
            </w:r>
            <w:r>
              <w:rPr>
                <w:rStyle w:val="a6"/>
                <w:i w:val="0"/>
                <w:iCs w:val="0"/>
                <w:sz w:val="18"/>
                <w:szCs w:val="18"/>
              </w:rPr>
              <w:t xml:space="preserve"> sales-type and direct financing leases; and</w:t>
            </w:r>
          </w:p>
          <w:p w14:paraId="565B8368" w14:textId="77777777" w:rsidR="00000000" w:rsidRDefault="00527094">
            <w:pPr>
              <w:pStyle w:val="a3"/>
              <w:spacing w:before="0" w:beforeAutospacing="0" w:after="0" w:afterAutospacing="0"/>
              <w:ind w:left="360" w:hanging="360"/>
              <w:jc w:val="both"/>
              <w:rPr>
                <w:sz w:val="18"/>
                <w:szCs w:val="18"/>
              </w:rPr>
            </w:pPr>
            <w:r>
              <w:rPr>
                <w:rStyle w:val="a6"/>
                <w:i w:val="0"/>
                <w:iCs w:val="0"/>
                <w:sz w:val="18"/>
                <w:szCs w:val="18"/>
              </w:rPr>
              <w:t>(iii) Transition disclosures related to Topic</w:t>
            </w:r>
            <w:r>
              <w:rPr>
                <w:rStyle w:val="a6"/>
                <w:i w:val="0"/>
                <w:iCs w:val="0"/>
                <w:sz w:val="18"/>
                <w:szCs w:val="18"/>
              </w:rPr>
              <w:t xml:space="preserve"> </w:t>
            </w:r>
            <w:r>
              <w:rPr>
                <w:rStyle w:val="a6"/>
                <w:i w:val="0"/>
                <w:iCs w:val="0"/>
                <w:sz w:val="18"/>
                <w:szCs w:val="18"/>
              </w:rPr>
              <w:t>250</w:t>
            </w:r>
            <w:r>
              <w:rPr>
                <w:rStyle w:val="a6"/>
                <w:i w:val="0"/>
                <w:iCs w:val="0"/>
                <w:sz w:val="18"/>
                <w:szCs w:val="18"/>
              </w:rPr>
              <w:t>,</w:t>
            </w:r>
            <w:r>
              <w:rPr>
                <w:rStyle w:val="a6"/>
                <w:i w:val="0"/>
                <w:iCs w:val="0"/>
                <w:sz w:val="18"/>
                <w:szCs w:val="18"/>
              </w:rPr>
              <w:t xml:space="preserve"> Accounting Changes and Error Corrections.</w:t>
            </w:r>
          </w:p>
        </w:tc>
        <w:tc>
          <w:tcPr>
            <w:tcW w:w="550" w:type="pct"/>
            <w:tcBorders>
              <w:bottom w:val="single" w:sz="6" w:space="0" w:color="000000"/>
            </w:tcBorders>
            <w:shd w:val="clear" w:color="auto" w:fill="CCEEFF"/>
            <w:hideMark/>
          </w:tcPr>
          <w:p w14:paraId="0FCCFE02" w14:textId="77777777" w:rsidR="00000000" w:rsidRDefault="00527094">
            <w:pPr>
              <w:pStyle w:val="a3"/>
              <w:spacing w:before="0" w:beforeAutospacing="0" w:after="0" w:afterAutospacing="0"/>
              <w:jc w:val="center"/>
              <w:rPr>
                <w:sz w:val="18"/>
                <w:szCs w:val="18"/>
              </w:rPr>
            </w:pPr>
            <w:r>
              <w:rPr>
                <w:rStyle w:val="a6"/>
                <w:i w:val="0"/>
                <w:iCs w:val="0"/>
                <w:sz w:val="18"/>
                <w:szCs w:val="18"/>
              </w:rPr>
              <w:t>January 1, 2019</w:t>
            </w:r>
          </w:p>
        </w:tc>
        <w:tc>
          <w:tcPr>
            <w:tcW w:w="1150" w:type="pct"/>
            <w:tcBorders>
              <w:left w:val="single" w:sz="6" w:space="0" w:color="000000"/>
              <w:bottom w:val="single" w:sz="6" w:space="0" w:color="000000"/>
              <w:right w:val="single" w:sz="6" w:space="0" w:color="000000"/>
            </w:tcBorders>
            <w:shd w:val="clear" w:color="auto" w:fill="CCEEFF"/>
            <w:tcMar>
              <w:top w:w="0" w:type="dxa"/>
              <w:left w:w="75" w:type="dxa"/>
              <w:bottom w:w="0" w:type="dxa"/>
              <w:right w:w="75" w:type="dxa"/>
            </w:tcMar>
            <w:hideMark/>
          </w:tcPr>
          <w:p w14:paraId="4639424E" w14:textId="77777777" w:rsidR="00000000" w:rsidRDefault="00527094">
            <w:pPr>
              <w:pStyle w:val="a3"/>
              <w:spacing w:before="0" w:beforeAutospacing="0" w:after="0" w:afterAutospacing="0"/>
              <w:rPr>
                <w:sz w:val="18"/>
                <w:szCs w:val="18"/>
              </w:rPr>
            </w:pPr>
            <w:r>
              <w:rPr>
                <w:rStyle w:val="a6"/>
                <w:i w:val="0"/>
                <w:iCs w:val="0"/>
                <w:sz w:val="18"/>
                <w:szCs w:val="18"/>
              </w:rPr>
              <w:t>The Company adopted this standard using the modified retrospective approach. </w:t>
            </w:r>
          </w:p>
          <w:p w14:paraId="1DB1914A" w14:textId="77777777" w:rsidR="00000000" w:rsidRDefault="00527094">
            <w:pPr>
              <w:pStyle w:val="a3"/>
              <w:spacing w:before="0" w:beforeAutospacing="0" w:after="0" w:afterAutospacing="0"/>
              <w:rPr>
                <w:sz w:val="18"/>
                <w:szCs w:val="18"/>
              </w:rPr>
            </w:pPr>
            <w:r>
              <w:rPr>
                <w:rStyle w:val="a6"/>
                <w:i w:val="0"/>
                <w:iCs w:val="0"/>
                <w:sz w:val="18"/>
                <w:szCs w:val="18"/>
              </w:rPr>
              <w:t> </w:t>
            </w:r>
          </w:p>
          <w:p w14:paraId="401F8D63" w14:textId="77777777" w:rsidR="00000000" w:rsidRDefault="00527094">
            <w:pPr>
              <w:pStyle w:val="a3"/>
              <w:spacing w:before="0" w:beforeAutospacing="0" w:after="0" w:afterAutospacing="0"/>
              <w:rPr>
                <w:sz w:val="18"/>
                <w:szCs w:val="18"/>
              </w:rPr>
            </w:pPr>
            <w:r>
              <w:rPr>
                <w:rStyle w:val="a6"/>
                <w:i w:val="0"/>
                <w:iCs w:val="0"/>
                <w:sz w:val="18"/>
                <w:szCs w:val="18"/>
              </w:rPr>
              <w:t>The Company has identi</w:t>
            </w:r>
            <w:r>
              <w:rPr>
                <w:rStyle w:val="a6"/>
                <w:i w:val="0"/>
                <w:iCs w:val="0"/>
                <w:sz w:val="18"/>
                <w:szCs w:val="18"/>
              </w:rPr>
              <w:t>fied certain leases and accounting policies which the adoption impacted, including its ground leases, administrative office leases, initial leasing costs and non-lease components.</w:t>
            </w:r>
          </w:p>
          <w:p w14:paraId="157FF013" w14:textId="77777777" w:rsidR="00000000" w:rsidRDefault="00527094">
            <w:pPr>
              <w:pStyle w:val="a3"/>
              <w:spacing w:before="0" w:beforeAutospacing="0" w:after="0" w:afterAutospacing="0"/>
              <w:rPr>
                <w:sz w:val="18"/>
                <w:szCs w:val="18"/>
              </w:rPr>
            </w:pPr>
            <w:r>
              <w:rPr>
                <w:rStyle w:val="a6"/>
                <w:i w:val="0"/>
                <w:iCs w:val="0"/>
                <w:sz w:val="18"/>
                <w:szCs w:val="18"/>
              </w:rPr>
              <w:t> </w:t>
            </w:r>
          </w:p>
          <w:p w14:paraId="6829CBF6" w14:textId="77777777" w:rsidR="00000000" w:rsidRDefault="00527094">
            <w:pPr>
              <w:pStyle w:val="a3"/>
              <w:spacing w:before="0" w:beforeAutospacing="0" w:after="0" w:afterAutospacing="0"/>
              <w:rPr>
                <w:sz w:val="18"/>
                <w:szCs w:val="18"/>
              </w:rPr>
            </w:pPr>
            <w:r>
              <w:rPr>
                <w:rStyle w:val="a6"/>
                <w:i w:val="0"/>
                <w:iCs w:val="0"/>
                <w:sz w:val="18"/>
                <w:szCs w:val="18"/>
              </w:rPr>
              <w:t>See above for further details.</w:t>
            </w:r>
          </w:p>
        </w:tc>
      </w:tr>
    </w:tbl>
    <w:p w14:paraId="79421B4A" w14:textId="77777777" w:rsidR="00000000" w:rsidRDefault="00527094">
      <w:pPr>
        <w:pStyle w:val="a3"/>
        <w:spacing w:before="0" w:beforeAutospacing="0" w:after="0" w:afterAutospacing="0"/>
        <w:jc w:val="both"/>
        <w:rPr>
          <w:sz w:val="20"/>
          <w:szCs w:val="20"/>
        </w:rPr>
      </w:pPr>
      <w:r>
        <w:rPr>
          <w:rStyle w:val="a6"/>
          <w:i w:val="0"/>
          <w:iCs w:val="0"/>
          <w:sz w:val="20"/>
          <w:szCs w:val="20"/>
        </w:rPr>
        <w:t> </w:t>
      </w:r>
    </w:p>
    <w:p w14:paraId="781DDBAB" w14:textId="77777777" w:rsidR="00000000" w:rsidRDefault="00527094">
      <w:pPr>
        <w:jc w:val="center"/>
        <w:rPr>
          <w:rFonts w:eastAsia="Times New Roman"/>
          <w:sz w:val="20"/>
          <w:szCs w:val="20"/>
        </w:rPr>
      </w:pPr>
      <w:r>
        <w:rPr>
          <w:rFonts w:eastAsia="Times New Roman"/>
          <w:sz w:val="20"/>
          <w:szCs w:val="20"/>
        </w:rPr>
        <w:t xml:space="preserve">13 </w:t>
      </w:r>
    </w:p>
    <w:p w14:paraId="2C811DA4" w14:textId="77777777" w:rsidR="00000000" w:rsidRDefault="00527094">
      <w:pPr>
        <w:rPr>
          <w:rFonts w:eastAsia="Times New Roman"/>
          <w:sz w:val="20"/>
          <w:szCs w:val="20"/>
        </w:rPr>
      </w:pPr>
      <w:r>
        <w:rPr>
          <w:rFonts w:eastAsia="Times New Roman"/>
          <w:sz w:val="20"/>
          <w:szCs w:val="20"/>
        </w:rPr>
        <w:pict w14:anchorId="7D880649">
          <v:rect id="_x0000_i1041" style="width:0;height:1.5pt" o:hralign="center" o:hrstd="t" o:hr="t" fillcolor="#a0a0a0" stroked="f"/>
        </w:pict>
      </w:r>
    </w:p>
    <w:p w14:paraId="705AF36B"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C393DB7" w14:textId="77777777" w:rsidR="00000000" w:rsidRDefault="00527094">
      <w:pPr>
        <w:pStyle w:val="a3"/>
        <w:spacing w:before="0" w:beforeAutospacing="0" w:after="0" w:afterAutospacing="0"/>
        <w:rPr>
          <w:sz w:val="20"/>
          <w:szCs w:val="20"/>
        </w:rPr>
      </w:pPr>
      <w:r>
        <w:rPr>
          <w:sz w:val="20"/>
          <w:szCs w:val="20"/>
        </w:rPr>
        <w:t> </w:t>
      </w:r>
    </w:p>
    <w:p w14:paraId="6B017A68" w14:textId="77777777" w:rsidR="00000000" w:rsidRDefault="00527094">
      <w:pPr>
        <w:divId w:val="952633332"/>
        <w:rPr>
          <w:rFonts w:eastAsia="Times New Roman"/>
          <w:sz w:val="20"/>
          <w:szCs w:val="20"/>
        </w:rPr>
      </w:pPr>
      <w:r>
        <w:rPr>
          <w:rFonts w:eastAsia="Times New Roman"/>
          <w:sz w:val="20"/>
          <w:szCs w:val="20"/>
        </w:rPr>
        <w:t xml:space="preserve">  </w:t>
      </w:r>
    </w:p>
    <w:p w14:paraId="32C1DB66" w14:textId="77777777" w:rsidR="00000000" w:rsidRDefault="00527094">
      <w:pPr>
        <w:pStyle w:val="a3"/>
        <w:spacing w:before="0" w:beforeAutospacing="0" w:after="0" w:afterAutospacing="0"/>
        <w:jc w:val="both"/>
        <w:rPr>
          <w:sz w:val="20"/>
          <w:szCs w:val="20"/>
        </w:rPr>
      </w:pPr>
      <w:r>
        <w:rPr>
          <w:rStyle w:val="a6"/>
          <w:i w:val="0"/>
          <w:iCs w:val="0"/>
          <w:sz w:val="20"/>
          <w:szCs w:val="20"/>
        </w:rPr>
        <w:t>3.</w:t>
      </w:r>
      <w:r>
        <w:rPr>
          <w:sz w:val="20"/>
          <w:szCs w:val="20"/>
        </w:rPr>
        <w:t xml:space="preserve"> </w:t>
      </w:r>
      <w:r>
        <w:rPr>
          <w:sz w:val="20"/>
          <w:szCs w:val="20"/>
          <w:u w:val="single"/>
        </w:rPr>
        <w:t>Operating Property Activities</w:t>
      </w:r>
    </w:p>
    <w:p w14:paraId="520A9605" w14:textId="77777777" w:rsidR="00000000" w:rsidRDefault="00527094">
      <w:pPr>
        <w:pStyle w:val="a3"/>
        <w:spacing w:before="0" w:beforeAutospacing="0" w:after="0" w:afterAutospacing="0"/>
        <w:jc w:val="both"/>
        <w:rPr>
          <w:sz w:val="20"/>
          <w:szCs w:val="20"/>
        </w:rPr>
      </w:pPr>
      <w:r>
        <w:rPr>
          <w:sz w:val="20"/>
          <w:szCs w:val="20"/>
        </w:rPr>
        <w:t> </w:t>
      </w:r>
    </w:p>
    <w:p w14:paraId="7B2A1FF8" w14:textId="77777777" w:rsidR="00000000" w:rsidRDefault="00527094">
      <w:pPr>
        <w:pStyle w:val="a3"/>
        <w:spacing w:before="0" w:beforeAutospacing="0" w:after="0" w:afterAutospacing="0"/>
        <w:jc w:val="both"/>
        <w:rPr>
          <w:sz w:val="20"/>
          <w:szCs w:val="20"/>
        </w:rPr>
      </w:pPr>
      <w:r>
        <w:rPr>
          <w:i/>
          <w:iCs/>
          <w:sz w:val="20"/>
          <w:szCs w:val="20"/>
        </w:rPr>
        <w:t>Acquisitions of Operating Properties -</w:t>
      </w:r>
    </w:p>
    <w:p w14:paraId="1A196B5A" w14:textId="77777777" w:rsidR="00000000" w:rsidRDefault="00527094">
      <w:pPr>
        <w:pStyle w:val="a3"/>
        <w:spacing w:before="0" w:beforeAutospacing="0" w:after="0" w:afterAutospacing="0"/>
        <w:jc w:val="both"/>
        <w:rPr>
          <w:sz w:val="20"/>
          <w:szCs w:val="20"/>
        </w:rPr>
      </w:pPr>
      <w:r>
        <w:rPr>
          <w:sz w:val="20"/>
          <w:szCs w:val="20"/>
        </w:rPr>
        <w:t> </w:t>
      </w:r>
    </w:p>
    <w:p w14:paraId="5C3811B8"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the Company acquired the following operating properties, in separate transactions, through direct asset purchases (in thousands):</w:t>
      </w:r>
    </w:p>
    <w:p w14:paraId="6E0C9842" w14:textId="77777777" w:rsidR="00000000" w:rsidRDefault="00527094">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497"/>
        <w:gridCol w:w="1112"/>
        <w:gridCol w:w="1165"/>
        <w:gridCol w:w="72"/>
        <w:gridCol w:w="101"/>
        <w:gridCol w:w="1120"/>
        <w:gridCol w:w="72"/>
        <w:gridCol w:w="72"/>
        <w:gridCol w:w="72"/>
        <w:gridCol w:w="1120"/>
        <w:gridCol w:w="72"/>
      </w:tblGrid>
      <w:tr w:rsidR="00000000" w14:paraId="0FBA873F" w14:textId="77777777">
        <w:trPr>
          <w:tblCellSpacing w:w="0" w:type="dxa"/>
        </w:trPr>
        <w:tc>
          <w:tcPr>
            <w:tcW w:w="0" w:type="auto"/>
            <w:vAlign w:val="bottom"/>
            <w:hideMark/>
          </w:tcPr>
          <w:p w14:paraId="743A02B3" w14:textId="77777777" w:rsidR="00000000" w:rsidRDefault="00527094">
            <w:pPr>
              <w:jc w:val="center"/>
              <w:rPr>
                <w:rFonts w:eastAsia="Times New Roman"/>
                <w:sz w:val="20"/>
                <w:szCs w:val="20"/>
              </w:rPr>
            </w:pPr>
            <w:r>
              <w:rPr>
                <w:rFonts w:eastAsia="Times New Roman"/>
                <w:sz w:val="20"/>
                <w:szCs w:val="20"/>
              </w:rPr>
              <w:t> </w:t>
            </w:r>
          </w:p>
        </w:tc>
        <w:tc>
          <w:tcPr>
            <w:tcW w:w="0" w:type="auto"/>
            <w:vAlign w:val="bottom"/>
            <w:hideMark/>
          </w:tcPr>
          <w:p w14:paraId="70868E6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512E01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02C7D64"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5D362D4" w14:textId="77777777" w:rsidR="00000000" w:rsidRDefault="00527094">
            <w:pPr>
              <w:pStyle w:val="a3"/>
              <w:spacing w:before="0" w:beforeAutospacing="0" w:after="0" w:afterAutospacing="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14:paraId="498368C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158A88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14679B8"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17B85B8B" w14:textId="77777777" w:rsidR="00000000" w:rsidRDefault="00527094">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14:paraId="169C92DB" w14:textId="77777777" w:rsidR="00000000" w:rsidRDefault="00527094">
            <w:pPr>
              <w:rPr>
                <w:rFonts w:eastAsia="Times New Roman"/>
                <w:sz w:val="20"/>
                <w:szCs w:val="20"/>
              </w:rPr>
            </w:pPr>
            <w:r>
              <w:rPr>
                <w:rFonts w:eastAsia="Times New Roman"/>
                <w:b/>
                <w:bCs/>
                <w:sz w:val="20"/>
                <w:szCs w:val="20"/>
              </w:rPr>
              <w:t> </w:t>
            </w:r>
          </w:p>
        </w:tc>
      </w:tr>
      <w:tr w:rsidR="00000000" w14:paraId="384DB8A5" w14:textId="77777777">
        <w:trPr>
          <w:tblCellSpacing w:w="0" w:type="dxa"/>
        </w:trPr>
        <w:tc>
          <w:tcPr>
            <w:tcW w:w="1670" w:type="pct"/>
            <w:tcBorders>
              <w:bottom w:val="single" w:sz="6" w:space="0" w:color="000000"/>
            </w:tcBorders>
            <w:vAlign w:val="bottom"/>
            <w:hideMark/>
          </w:tcPr>
          <w:p w14:paraId="01E32B65" w14:textId="77777777" w:rsidR="00000000" w:rsidRDefault="00527094">
            <w:pPr>
              <w:pStyle w:val="a3"/>
              <w:spacing w:before="0" w:beforeAutospacing="0" w:after="0" w:afterAutospacing="0"/>
              <w:jc w:val="center"/>
              <w:rPr>
                <w:sz w:val="20"/>
                <w:szCs w:val="20"/>
              </w:rPr>
            </w:pPr>
            <w:r>
              <w:rPr>
                <w:b/>
                <w:bCs/>
                <w:sz w:val="20"/>
                <w:szCs w:val="20"/>
              </w:rPr>
              <w:t>Property Name</w:t>
            </w:r>
          </w:p>
        </w:tc>
        <w:tc>
          <w:tcPr>
            <w:tcW w:w="745" w:type="pct"/>
            <w:tcBorders>
              <w:bottom w:val="single" w:sz="6" w:space="0" w:color="000000"/>
            </w:tcBorders>
            <w:vAlign w:val="bottom"/>
            <w:hideMark/>
          </w:tcPr>
          <w:p w14:paraId="03047B51" w14:textId="77777777" w:rsidR="00000000" w:rsidRDefault="00527094">
            <w:pPr>
              <w:pStyle w:val="a3"/>
              <w:spacing w:before="0" w:beforeAutospacing="0" w:after="0" w:afterAutospacing="0"/>
              <w:jc w:val="center"/>
              <w:rPr>
                <w:sz w:val="20"/>
                <w:szCs w:val="20"/>
              </w:rPr>
            </w:pPr>
            <w:r>
              <w:rPr>
                <w:b/>
                <w:bCs/>
                <w:sz w:val="20"/>
                <w:szCs w:val="20"/>
              </w:rPr>
              <w:t>Location</w:t>
            </w:r>
          </w:p>
        </w:tc>
        <w:tc>
          <w:tcPr>
            <w:tcW w:w="780" w:type="pct"/>
            <w:tcBorders>
              <w:bottom w:val="single" w:sz="6" w:space="0" w:color="000000"/>
            </w:tcBorders>
            <w:vAlign w:val="bottom"/>
            <w:hideMark/>
          </w:tcPr>
          <w:p w14:paraId="5DFB79B0" w14:textId="77777777" w:rsidR="00000000" w:rsidRDefault="00527094">
            <w:pPr>
              <w:pStyle w:val="a3"/>
              <w:spacing w:before="0" w:beforeAutospacing="0" w:after="0" w:afterAutospacing="0"/>
              <w:jc w:val="center"/>
              <w:rPr>
                <w:sz w:val="20"/>
                <w:szCs w:val="20"/>
              </w:rPr>
            </w:pPr>
            <w:r>
              <w:rPr>
                <w:b/>
                <w:bCs/>
                <w:sz w:val="20"/>
                <w:szCs w:val="20"/>
              </w:rPr>
              <w:t>Month Acquired</w:t>
            </w:r>
          </w:p>
        </w:tc>
        <w:tc>
          <w:tcPr>
            <w:tcW w:w="0" w:type="auto"/>
            <w:vAlign w:val="bottom"/>
            <w:hideMark/>
          </w:tcPr>
          <w:p w14:paraId="13784CAC"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922185D" w14:textId="77777777" w:rsidR="00000000" w:rsidRDefault="00527094">
            <w:pPr>
              <w:pStyle w:val="a3"/>
              <w:spacing w:before="0" w:beforeAutospacing="0" w:after="0" w:afterAutospacing="0"/>
              <w:jc w:val="center"/>
              <w:rPr>
                <w:sz w:val="20"/>
                <w:szCs w:val="20"/>
              </w:rPr>
            </w:pPr>
            <w:r>
              <w:rPr>
                <w:b/>
                <w:bCs/>
                <w:sz w:val="20"/>
                <w:szCs w:val="20"/>
              </w:rPr>
              <w:t>Cash*</w:t>
            </w:r>
          </w:p>
        </w:tc>
        <w:tc>
          <w:tcPr>
            <w:tcW w:w="0" w:type="auto"/>
            <w:tcMar>
              <w:top w:w="0" w:type="dxa"/>
              <w:left w:w="0" w:type="dxa"/>
              <w:bottom w:w="15" w:type="dxa"/>
              <w:right w:w="0" w:type="dxa"/>
            </w:tcMar>
            <w:vAlign w:val="bottom"/>
            <w:hideMark/>
          </w:tcPr>
          <w:p w14:paraId="7C0D4BE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525A58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04BDFF8" w14:textId="77777777" w:rsidR="00000000" w:rsidRDefault="00527094">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14:paraId="69DC0236" w14:textId="77777777" w:rsidR="00000000" w:rsidRDefault="00527094">
            <w:pPr>
              <w:rPr>
                <w:rFonts w:eastAsia="Times New Roman"/>
                <w:sz w:val="20"/>
                <w:szCs w:val="20"/>
              </w:rPr>
            </w:pPr>
            <w:r>
              <w:rPr>
                <w:rFonts w:eastAsia="Times New Roman"/>
                <w:sz w:val="20"/>
                <w:szCs w:val="20"/>
              </w:rPr>
              <w:t> </w:t>
            </w:r>
          </w:p>
        </w:tc>
      </w:tr>
      <w:tr w:rsidR="00000000" w14:paraId="2CB3C709" w14:textId="77777777">
        <w:trPr>
          <w:tblCellSpacing w:w="0" w:type="dxa"/>
        </w:trPr>
        <w:tc>
          <w:tcPr>
            <w:tcW w:w="0" w:type="auto"/>
            <w:shd w:val="clear" w:color="auto" w:fill="CCEEFF"/>
            <w:vAlign w:val="bottom"/>
            <w:hideMark/>
          </w:tcPr>
          <w:p w14:paraId="18B1626B" w14:textId="77777777" w:rsidR="00000000" w:rsidRDefault="00527094">
            <w:pPr>
              <w:pStyle w:val="a3"/>
              <w:spacing w:before="0" w:beforeAutospacing="0" w:after="0" w:afterAutospacing="0"/>
              <w:rPr>
                <w:sz w:val="20"/>
                <w:szCs w:val="20"/>
              </w:rPr>
            </w:pPr>
            <w:r>
              <w:rPr>
                <w:sz w:val="20"/>
                <w:szCs w:val="20"/>
              </w:rPr>
              <w:t>Bell Camino Out-parcel</w:t>
            </w:r>
          </w:p>
        </w:tc>
        <w:tc>
          <w:tcPr>
            <w:tcW w:w="0" w:type="auto"/>
            <w:shd w:val="clear" w:color="auto" w:fill="CCEEFF"/>
            <w:vAlign w:val="bottom"/>
            <w:hideMark/>
          </w:tcPr>
          <w:p w14:paraId="6819597E" w14:textId="77777777" w:rsidR="00000000" w:rsidRDefault="00527094">
            <w:pPr>
              <w:pStyle w:val="a3"/>
              <w:spacing w:before="0" w:beforeAutospacing="0" w:after="0" w:afterAutospacing="0"/>
              <w:rPr>
                <w:sz w:val="20"/>
                <w:szCs w:val="20"/>
              </w:rPr>
            </w:pPr>
            <w:r>
              <w:rPr>
                <w:sz w:val="20"/>
                <w:szCs w:val="20"/>
              </w:rPr>
              <w:t>Sun City, AZ</w:t>
            </w:r>
          </w:p>
        </w:tc>
        <w:tc>
          <w:tcPr>
            <w:tcW w:w="0" w:type="auto"/>
            <w:shd w:val="clear" w:color="auto" w:fill="CCEEFF"/>
            <w:vAlign w:val="bottom"/>
            <w:hideMark/>
          </w:tcPr>
          <w:p w14:paraId="2F8B2093" w14:textId="77777777" w:rsidR="00000000" w:rsidRDefault="00527094">
            <w:pPr>
              <w:pStyle w:val="a3"/>
              <w:spacing w:before="0" w:beforeAutospacing="0" w:after="0" w:afterAutospacing="0"/>
              <w:jc w:val="center"/>
              <w:rPr>
                <w:sz w:val="20"/>
                <w:szCs w:val="20"/>
              </w:rPr>
            </w:pPr>
            <w:r>
              <w:rPr>
                <w:sz w:val="20"/>
                <w:szCs w:val="20"/>
              </w:rPr>
              <w:t>Jan-19</w:t>
            </w:r>
          </w:p>
        </w:tc>
        <w:tc>
          <w:tcPr>
            <w:tcW w:w="50" w:type="pct"/>
            <w:shd w:val="clear" w:color="auto" w:fill="CCEEFF"/>
            <w:vAlign w:val="bottom"/>
            <w:hideMark/>
          </w:tcPr>
          <w:p w14:paraId="076D6D2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019BDC" w14:textId="77777777" w:rsidR="00000000" w:rsidRDefault="00527094">
            <w:pPr>
              <w:rPr>
                <w:rFonts w:eastAsia="Times New Roman"/>
                <w:sz w:val="20"/>
                <w:szCs w:val="20"/>
              </w:rPr>
            </w:pPr>
            <w:r>
              <w:rPr>
                <w:rFonts w:eastAsia="Times New Roman"/>
                <w:sz w:val="20"/>
                <w:szCs w:val="20"/>
              </w:rPr>
              <w:t>$</w:t>
            </w:r>
          </w:p>
        </w:tc>
        <w:tc>
          <w:tcPr>
            <w:tcW w:w="750" w:type="pct"/>
            <w:shd w:val="clear" w:color="auto" w:fill="CCEEFF"/>
            <w:vAlign w:val="bottom"/>
            <w:hideMark/>
          </w:tcPr>
          <w:p w14:paraId="34C4F1DB" w14:textId="77777777" w:rsidR="00000000" w:rsidRDefault="00527094">
            <w:pPr>
              <w:jc w:val="right"/>
              <w:rPr>
                <w:rFonts w:eastAsia="Times New Roman"/>
                <w:sz w:val="20"/>
                <w:szCs w:val="20"/>
              </w:rPr>
            </w:pPr>
            <w:r>
              <w:rPr>
                <w:rFonts w:eastAsia="Times New Roman"/>
                <w:sz w:val="20"/>
                <w:szCs w:val="20"/>
              </w:rPr>
              <w:t>5,678</w:t>
            </w:r>
          </w:p>
        </w:tc>
        <w:tc>
          <w:tcPr>
            <w:tcW w:w="50" w:type="pct"/>
            <w:shd w:val="clear" w:color="auto" w:fill="CCEEFF"/>
            <w:vAlign w:val="bottom"/>
            <w:hideMark/>
          </w:tcPr>
          <w:p w14:paraId="027F3B7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194D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BC187A"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1203F4E9" w14:textId="77777777" w:rsidR="00000000" w:rsidRDefault="00527094">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14:paraId="3CD75A66" w14:textId="77777777" w:rsidR="00000000" w:rsidRDefault="00527094">
            <w:pPr>
              <w:rPr>
                <w:rFonts w:eastAsia="Times New Roman"/>
                <w:sz w:val="20"/>
                <w:szCs w:val="20"/>
              </w:rPr>
            </w:pPr>
            <w:r>
              <w:rPr>
                <w:rFonts w:eastAsia="Times New Roman"/>
                <w:sz w:val="20"/>
                <w:szCs w:val="20"/>
              </w:rPr>
              <w:t> </w:t>
            </w:r>
          </w:p>
        </w:tc>
      </w:tr>
      <w:tr w:rsidR="00000000" w14:paraId="101B1AC8" w14:textId="77777777">
        <w:trPr>
          <w:tblCellSpacing w:w="0" w:type="dxa"/>
        </w:trPr>
        <w:tc>
          <w:tcPr>
            <w:tcW w:w="0" w:type="auto"/>
            <w:shd w:val="clear" w:color="auto" w:fill="FFFFFF"/>
            <w:vAlign w:val="bottom"/>
            <w:hideMark/>
          </w:tcPr>
          <w:p w14:paraId="07E75ECB" w14:textId="77777777" w:rsidR="00000000" w:rsidRDefault="00527094">
            <w:pPr>
              <w:pStyle w:val="a3"/>
              <w:spacing w:before="0" w:beforeAutospacing="0" w:after="0" w:afterAutospacing="0"/>
              <w:rPr>
                <w:sz w:val="20"/>
                <w:szCs w:val="20"/>
              </w:rPr>
            </w:pPr>
            <w:r>
              <w:rPr>
                <w:sz w:val="20"/>
                <w:szCs w:val="20"/>
              </w:rPr>
              <w:t>Gateway at Donner Pass Out-parcel</w:t>
            </w:r>
          </w:p>
        </w:tc>
        <w:tc>
          <w:tcPr>
            <w:tcW w:w="0" w:type="auto"/>
            <w:shd w:val="clear" w:color="auto" w:fill="FFFFFF"/>
            <w:vAlign w:val="bottom"/>
            <w:hideMark/>
          </w:tcPr>
          <w:p w14:paraId="522C3FE7" w14:textId="77777777" w:rsidR="00000000" w:rsidRDefault="00527094">
            <w:pPr>
              <w:pStyle w:val="a3"/>
              <w:spacing w:before="0" w:beforeAutospacing="0" w:after="0" w:afterAutospacing="0"/>
              <w:rPr>
                <w:sz w:val="20"/>
                <w:szCs w:val="20"/>
              </w:rPr>
            </w:pPr>
            <w:r>
              <w:rPr>
                <w:sz w:val="20"/>
                <w:szCs w:val="20"/>
              </w:rPr>
              <w:t>Truckee, CA</w:t>
            </w:r>
          </w:p>
        </w:tc>
        <w:tc>
          <w:tcPr>
            <w:tcW w:w="0" w:type="auto"/>
            <w:shd w:val="clear" w:color="auto" w:fill="FFFFFF"/>
            <w:vAlign w:val="bottom"/>
            <w:hideMark/>
          </w:tcPr>
          <w:p w14:paraId="069C5691" w14:textId="77777777" w:rsidR="00000000" w:rsidRDefault="00527094">
            <w:pPr>
              <w:pStyle w:val="a3"/>
              <w:spacing w:before="0" w:beforeAutospacing="0" w:after="0" w:afterAutospacing="0"/>
              <w:jc w:val="center"/>
              <w:rPr>
                <w:sz w:val="20"/>
                <w:szCs w:val="20"/>
              </w:rPr>
            </w:pPr>
            <w:r>
              <w:rPr>
                <w:sz w:val="20"/>
                <w:szCs w:val="20"/>
              </w:rPr>
              <w:t>Jan-19</w:t>
            </w:r>
          </w:p>
        </w:tc>
        <w:tc>
          <w:tcPr>
            <w:tcW w:w="50" w:type="pct"/>
            <w:shd w:val="clear" w:color="auto" w:fill="FFFFFF"/>
            <w:vAlign w:val="bottom"/>
            <w:hideMark/>
          </w:tcPr>
          <w:p w14:paraId="36B19D6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EFDF51"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B570609" w14:textId="77777777" w:rsidR="00000000" w:rsidRDefault="00527094">
            <w:pPr>
              <w:jc w:val="right"/>
              <w:rPr>
                <w:rFonts w:eastAsia="Times New Roman"/>
                <w:sz w:val="20"/>
                <w:szCs w:val="20"/>
              </w:rPr>
            </w:pPr>
            <w:r>
              <w:rPr>
                <w:rFonts w:eastAsia="Times New Roman"/>
                <w:sz w:val="20"/>
                <w:szCs w:val="20"/>
              </w:rPr>
              <w:t>13,527</w:t>
            </w:r>
          </w:p>
        </w:tc>
        <w:tc>
          <w:tcPr>
            <w:tcW w:w="50" w:type="pct"/>
            <w:shd w:val="clear" w:color="auto" w:fill="FFFFFF"/>
            <w:vAlign w:val="bottom"/>
            <w:hideMark/>
          </w:tcPr>
          <w:p w14:paraId="648F586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3FCFD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157C8B"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C57A9A1" w14:textId="77777777" w:rsidR="00000000" w:rsidRDefault="00527094">
            <w:pPr>
              <w:jc w:val="right"/>
              <w:rPr>
                <w:rFonts w:eastAsia="Times New Roman"/>
                <w:sz w:val="20"/>
                <w:szCs w:val="20"/>
              </w:rPr>
            </w:pPr>
            <w:r>
              <w:rPr>
                <w:rFonts w:eastAsia="Times New Roman"/>
                <w:sz w:val="20"/>
                <w:szCs w:val="20"/>
              </w:rPr>
              <w:t>40</w:t>
            </w:r>
          </w:p>
        </w:tc>
        <w:tc>
          <w:tcPr>
            <w:tcW w:w="50" w:type="pct"/>
            <w:shd w:val="clear" w:color="auto" w:fill="FFFFFF"/>
            <w:vAlign w:val="bottom"/>
            <w:hideMark/>
          </w:tcPr>
          <w:p w14:paraId="3A1343C1" w14:textId="77777777" w:rsidR="00000000" w:rsidRDefault="00527094">
            <w:pPr>
              <w:rPr>
                <w:rFonts w:eastAsia="Times New Roman"/>
                <w:sz w:val="20"/>
                <w:szCs w:val="20"/>
              </w:rPr>
            </w:pPr>
            <w:r>
              <w:rPr>
                <w:rFonts w:eastAsia="Times New Roman"/>
                <w:sz w:val="20"/>
                <w:szCs w:val="20"/>
              </w:rPr>
              <w:t> </w:t>
            </w:r>
          </w:p>
        </w:tc>
      </w:tr>
      <w:tr w:rsidR="00000000" w14:paraId="5CF192A8" w14:textId="77777777">
        <w:trPr>
          <w:tblCellSpacing w:w="0" w:type="dxa"/>
        </w:trPr>
        <w:tc>
          <w:tcPr>
            <w:tcW w:w="0" w:type="auto"/>
            <w:shd w:val="clear" w:color="auto" w:fill="CCEEFF"/>
            <w:vAlign w:val="bottom"/>
            <w:hideMark/>
          </w:tcPr>
          <w:p w14:paraId="7ADF320F" w14:textId="77777777" w:rsidR="00000000" w:rsidRDefault="00527094">
            <w:pPr>
              <w:pStyle w:val="a3"/>
              <w:spacing w:before="0" w:beforeAutospacing="0" w:after="0" w:afterAutospacing="0"/>
              <w:rPr>
                <w:sz w:val="20"/>
                <w:szCs w:val="20"/>
              </w:rPr>
            </w:pPr>
            <w:r>
              <w:rPr>
                <w:sz w:val="20"/>
                <w:szCs w:val="20"/>
              </w:rPr>
              <w:t>Rancho Penasquitos Out-parcel</w:t>
            </w:r>
          </w:p>
        </w:tc>
        <w:tc>
          <w:tcPr>
            <w:tcW w:w="0" w:type="auto"/>
            <w:shd w:val="clear" w:color="auto" w:fill="CCEEFF"/>
            <w:vAlign w:val="bottom"/>
            <w:hideMark/>
          </w:tcPr>
          <w:p w14:paraId="5F906D9F" w14:textId="77777777" w:rsidR="00000000" w:rsidRDefault="00527094">
            <w:pPr>
              <w:pStyle w:val="a3"/>
              <w:spacing w:before="0" w:beforeAutospacing="0" w:after="0" w:afterAutospacing="0"/>
              <w:rPr>
                <w:sz w:val="20"/>
                <w:szCs w:val="20"/>
              </w:rPr>
            </w:pPr>
            <w:r>
              <w:rPr>
                <w:sz w:val="20"/>
                <w:szCs w:val="20"/>
              </w:rPr>
              <w:t>San Diego, CA</w:t>
            </w:r>
          </w:p>
        </w:tc>
        <w:tc>
          <w:tcPr>
            <w:tcW w:w="0" w:type="auto"/>
            <w:shd w:val="clear" w:color="auto" w:fill="CCEEFF"/>
            <w:vAlign w:val="bottom"/>
            <w:hideMark/>
          </w:tcPr>
          <w:p w14:paraId="42CA567C" w14:textId="77777777" w:rsidR="00000000" w:rsidRDefault="00527094">
            <w:pPr>
              <w:pStyle w:val="a3"/>
              <w:spacing w:before="0" w:beforeAutospacing="0" w:after="0" w:afterAutospacing="0"/>
              <w:jc w:val="center"/>
              <w:rPr>
                <w:sz w:val="20"/>
                <w:szCs w:val="20"/>
              </w:rPr>
            </w:pPr>
            <w:r>
              <w:rPr>
                <w:sz w:val="20"/>
                <w:szCs w:val="20"/>
              </w:rPr>
              <w:t>Jan-19</w:t>
            </w:r>
          </w:p>
        </w:tc>
        <w:tc>
          <w:tcPr>
            <w:tcW w:w="50" w:type="pct"/>
            <w:shd w:val="clear" w:color="auto" w:fill="CCEEFF"/>
            <w:tcMar>
              <w:top w:w="0" w:type="dxa"/>
              <w:left w:w="0" w:type="dxa"/>
              <w:bottom w:w="15" w:type="dxa"/>
              <w:right w:w="0" w:type="dxa"/>
            </w:tcMar>
            <w:vAlign w:val="bottom"/>
            <w:hideMark/>
          </w:tcPr>
          <w:p w14:paraId="6764B83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DFB5E9C" w14:textId="77777777" w:rsidR="00000000" w:rsidRDefault="00527094">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4F695798" w14:textId="77777777" w:rsidR="00000000" w:rsidRDefault="00527094">
            <w:pPr>
              <w:jc w:val="right"/>
              <w:rPr>
                <w:rFonts w:eastAsia="Times New Roman"/>
                <w:sz w:val="20"/>
                <w:szCs w:val="20"/>
              </w:rPr>
            </w:pPr>
            <w:r>
              <w:rPr>
                <w:rFonts w:eastAsia="Times New Roman"/>
                <w:sz w:val="20"/>
                <w:szCs w:val="20"/>
              </w:rPr>
              <w:t>12,064</w:t>
            </w:r>
          </w:p>
        </w:tc>
        <w:tc>
          <w:tcPr>
            <w:tcW w:w="50" w:type="pct"/>
            <w:shd w:val="clear" w:color="auto" w:fill="CCEEFF"/>
            <w:tcMar>
              <w:top w:w="0" w:type="dxa"/>
              <w:left w:w="0" w:type="dxa"/>
              <w:bottom w:w="15" w:type="dxa"/>
              <w:right w:w="0" w:type="dxa"/>
            </w:tcMar>
            <w:vAlign w:val="bottom"/>
            <w:hideMark/>
          </w:tcPr>
          <w:p w14:paraId="175242A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49D3D1B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E222E07" w14:textId="77777777" w:rsidR="00000000" w:rsidRDefault="00527094">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604CB1BC" w14:textId="77777777" w:rsidR="00000000" w:rsidRDefault="00527094">
            <w:pPr>
              <w:jc w:val="right"/>
              <w:rPr>
                <w:rFonts w:eastAsia="Times New Roman"/>
                <w:sz w:val="20"/>
                <w:szCs w:val="20"/>
              </w:rPr>
            </w:pPr>
            <w:r>
              <w:rPr>
                <w:rFonts w:eastAsia="Times New Roman"/>
                <w:sz w:val="20"/>
                <w:szCs w:val="20"/>
              </w:rPr>
              <w:t>40</w:t>
            </w:r>
          </w:p>
        </w:tc>
        <w:tc>
          <w:tcPr>
            <w:tcW w:w="50" w:type="pct"/>
            <w:shd w:val="clear" w:color="auto" w:fill="CCEEFF"/>
            <w:tcMar>
              <w:top w:w="0" w:type="dxa"/>
              <w:left w:w="0" w:type="dxa"/>
              <w:bottom w:w="15" w:type="dxa"/>
              <w:right w:w="0" w:type="dxa"/>
            </w:tcMar>
            <w:vAlign w:val="bottom"/>
            <w:hideMark/>
          </w:tcPr>
          <w:p w14:paraId="794B686A" w14:textId="77777777" w:rsidR="00000000" w:rsidRDefault="00527094">
            <w:pPr>
              <w:rPr>
                <w:rFonts w:eastAsia="Times New Roman"/>
                <w:sz w:val="20"/>
                <w:szCs w:val="20"/>
              </w:rPr>
            </w:pPr>
            <w:r>
              <w:rPr>
                <w:rFonts w:eastAsia="Times New Roman"/>
                <w:sz w:val="20"/>
                <w:szCs w:val="20"/>
              </w:rPr>
              <w:t> </w:t>
            </w:r>
          </w:p>
        </w:tc>
      </w:tr>
      <w:tr w:rsidR="00000000" w14:paraId="3EC6A757" w14:textId="77777777">
        <w:trPr>
          <w:tblCellSpacing w:w="0" w:type="dxa"/>
        </w:trPr>
        <w:tc>
          <w:tcPr>
            <w:tcW w:w="0" w:type="auto"/>
            <w:shd w:val="clear" w:color="auto" w:fill="FFFFFF"/>
            <w:vAlign w:val="bottom"/>
            <w:hideMark/>
          </w:tcPr>
          <w:p w14:paraId="3A94237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0EC9C" w14:textId="77777777" w:rsidR="00000000" w:rsidRDefault="00527094">
            <w:pPr>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6A2203D9" w14:textId="77777777" w:rsidR="00000000" w:rsidRDefault="00527094">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14:paraId="35FA7A3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5307144" w14:textId="77777777" w:rsidR="00000000" w:rsidRDefault="00527094">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FFFFFF"/>
            <w:vAlign w:val="bottom"/>
            <w:hideMark/>
          </w:tcPr>
          <w:p w14:paraId="0E762841" w14:textId="77777777" w:rsidR="00000000" w:rsidRDefault="00527094">
            <w:pPr>
              <w:jc w:val="right"/>
              <w:rPr>
                <w:rFonts w:eastAsia="Times New Roman"/>
                <w:sz w:val="20"/>
                <w:szCs w:val="20"/>
              </w:rPr>
            </w:pPr>
            <w:r>
              <w:rPr>
                <w:rFonts w:eastAsia="Times New Roman"/>
                <w:sz w:val="20"/>
                <w:szCs w:val="20"/>
              </w:rPr>
              <w:t>31,269</w:t>
            </w:r>
          </w:p>
        </w:tc>
        <w:tc>
          <w:tcPr>
            <w:tcW w:w="50" w:type="pct"/>
            <w:shd w:val="clear" w:color="auto" w:fill="FFFFFF"/>
            <w:tcMar>
              <w:top w:w="0" w:type="dxa"/>
              <w:left w:w="0" w:type="dxa"/>
              <w:bottom w:w="45" w:type="dxa"/>
              <w:right w:w="0" w:type="dxa"/>
            </w:tcMar>
            <w:vAlign w:val="bottom"/>
            <w:hideMark/>
          </w:tcPr>
          <w:p w14:paraId="65F3045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F9E5A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BEB2689" w14:textId="77777777" w:rsidR="00000000" w:rsidRDefault="00527094">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FFFFFF"/>
            <w:vAlign w:val="bottom"/>
            <w:hideMark/>
          </w:tcPr>
          <w:p w14:paraId="77320F76" w14:textId="77777777" w:rsidR="00000000" w:rsidRDefault="00527094">
            <w:pPr>
              <w:jc w:val="right"/>
              <w:rPr>
                <w:rFonts w:eastAsia="Times New Roman"/>
                <w:sz w:val="20"/>
                <w:szCs w:val="20"/>
              </w:rPr>
            </w:pPr>
            <w:r>
              <w:rPr>
                <w:rFonts w:eastAsia="Times New Roman"/>
                <w:sz w:val="20"/>
                <w:szCs w:val="20"/>
              </w:rPr>
              <w:t>125</w:t>
            </w:r>
          </w:p>
        </w:tc>
        <w:tc>
          <w:tcPr>
            <w:tcW w:w="50" w:type="pct"/>
            <w:shd w:val="clear" w:color="auto" w:fill="FFFFFF"/>
            <w:tcMar>
              <w:top w:w="0" w:type="dxa"/>
              <w:left w:w="0" w:type="dxa"/>
              <w:bottom w:w="45" w:type="dxa"/>
              <w:right w:w="0" w:type="dxa"/>
            </w:tcMar>
            <w:vAlign w:val="bottom"/>
            <w:hideMark/>
          </w:tcPr>
          <w:p w14:paraId="56881CD3" w14:textId="77777777" w:rsidR="00000000" w:rsidRDefault="00527094">
            <w:pPr>
              <w:rPr>
                <w:rFonts w:eastAsia="Times New Roman"/>
                <w:sz w:val="20"/>
                <w:szCs w:val="20"/>
              </w:rPr>
            </w:pPr>
            <w:r>
              <w:rPr>
                <w:rFonts w:eastAsia="Times New Roman"/>
                <w:sz w:val="20"/>
                <w:szCs w:val="20"/>
              </w:rPr>
              <w:t> </w:t>
            </w:r>
          </w:p>
        </w:tc>
      </w:tr>
    </w:tbl>
    <w:p w14:paraId="660E8287" w14:textId="77777777" w:rsidR="00000000" w:rsidRDefault="00527094">
      <w:pPr>
        <w:pStyle w:val="a3"/>
        <w:spacing w:before="0" w:beforeAutospacing="0" w:after="0" w:afterAutospacing="0"/>
        <w:rPr>
          <w:sz w:val="20"/>
          <w:szCs w:val="20"/>
        </w:rPr>
      </w:pPr>
      <w:r>
        <w:rPr>
          <w:sz w:val="20"/>
          <w:szCs w:val="20"/>
        </w:rPr>
        <w:br/>
      </w:r>
      <w:r>
        <w:rPr>
          <w:sz w:val="20"/>
          <w:szCs w:val="20"/>
        </w:rPr>
        <w:t>* The Company utilized an aggregate $31.0 million associated with Internal Revenue Code</w:t>
      </w:r>
      <w:r>
        <w:rPr>
          <w:sz w:val="20"/>
          <w:szCs w:val="20"/>
        </w:rPr>
        <w:t xml:space="preserve"> </w:t>
      </w:r>
      <w:r>
        <w:rPr>
          <w:rStyle w:val="a6"/>
          <w:i w:val="0"/>
          <w:iCs w:val="0"/>
          <w:sz w:val="20"/>
          <w:szCs w:val="20"/>
        </w:rPr>
        <w:t>§1031</w:t>
      </w:r>
      <w:r>
        <w:rPr>
          <w:sz w:val="20"/>
          <w:szCs w:val="20"/>
        </w:rPr>
        <w:t xml:space="preserve"> sales proceeds.</w:t>
      </w:r>
    </w:p>
    <w:p w14:paraId="55B271A6" w14:textId="77777777" w:rsidR="00000000" w:rsidRDefault="00527094">
      <w:pPr>
        <w:pStyle w:val="a3"/>
        <w:spacing w:before="0" w:beforeAutospacing="0" w:after="0" w:afterAutospacing="0"/>
        <w:rPr>
          <w:sz w:val="20"/>
          <w:szCs w:val="20"/>
        </w:rPr>
      </w:pPr>
      <w:r>
        <w:rPr>
          <w:sz w:val="20"/>
          <w:szCs w:val="20"/>
        </w:rPr>
        <w:t>** Gross leasable area ("GLA")</w:t>
      </w:r>
    </w:p>
    <w:p w14:paraId="39BEC9C4" w14:textId="77777777" w:rsidR="00000000" w:rsidRDefault="00527094">
      <w:pPr>
        <w:pStyle w:val="a3"/>
        <w:spacing w:before="0" w:beforeAutospacing="0" w:after="0" w:afterAutospacing="0"/>
        <w:ind w:left="720"/>
        <w:jc w:val="both"/>
        <w:rPr>
          <w:sz w:val="20"/>
          <w:szCs w:val="20"/>
        </w:rPr>
      </w:pPr>
      <w:r>
        <w:rPr>
          <w:sz w:val="20"/>
          <w:szCs w:val="20"/>
        </w:rPr>
        <w:t> </w:t>
      </w:r>
    </w:p>
    <w:p w14:paraId="674F4396" w14:textId="77777777" w:rsidR="00000000" w:rsidRDefault="00527094">
      <w:pPr>
        <w:pStyle w:val="a3"/>
        <w:spacing w:before="0" w:beforeAutospacing="0" w:after="0" w:afterAutospacing="0"/>
        <w:ind w:firstLine="360"/>
        <w:jc w:val="both"/>
        <w:rPr>
          <w:sz w:val="20"/>
          <w:szCs w:val="20"/>
        </w:rPr>
      </w:pPr>
      <w:r>
        <w:rPr>
          <w:sz w:val="20"/>
          <w:szCs w:val="20"/>
        </w:rPr>
        <w:t>Included in Revenues from rental properties, net on the Company’s Condensed Consolidated Statements of Income for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 xml:space="preserve">is $0.6 </w:t>
      </w:r>
      <w:r>
        <w:rPr>
          <w:sz w:val="20"/>
          <w:szCs w:val="20"/>
        </w:rPr>
        <w:t>million in revenue resulting from these acquisitions.</w:t>
      </w:r>
    </w:p>
    <w:p w14:paraId="66E0B419" w14:textId="77777777" w:rsidR="00000000" w:rsidRDefault="00527094">
      <w:pPr>
        <w:pStyle w:val="a3"/>
        <w:spacing w:before="0" w:beforeAutospacing="0" w:after="0" w:afterAutospacing="0"/>
        <w:ind w:firstLine="360"/>
        <w:jc w:val="both"/>
        <w:rPr>
          <w:sz w:val="20"/>
          <w:szCs w:val="20"/>
        </w:rPr>
      </w:pPr>
      <w:r>
        <w:rPr>
          <w:sz w:val="20"/>
          <w:szCs w:val="20"/>
        </w:rPr>
        <w:t> </w:t>
      </w:r>
    </w:p>
    <w:p w14:paraId="5569FE6B" w14:textId="77777777" w:rsidR="00000000" w:rsidRDefault="00527094">
      <w:pPr>
        <w:pStyle w:val="a3"/>
        <w:spacing w:before="0" w:beforeAutospacing="0" w:after="0" w:afterAutospacing="0"/>
        <w:jc w:val="both"/>
        <w:rPr>
          <w:sz w:val="20"/>
          <w:szCs w:val="20"/>
        </w:rPr>
      </w:pPr>
      <w:r>
        <w:rPr>
          <w:i/>
          <w:iCs/>
          <w:sz w:val="20"/>
          <w:szCs w:val="20"/>
        </w:rPr>
        <w:t>Purchase Price Allocations -</w:t>
      </w:r>
    </w:p>
    <w:p w14:paraId="5E5238D1" w14:textId="77777777" w:rsidR="00000000" w:rsidRDefault="00527094">
      <w:pPr>
        <w:pStyle w:val="a3"/>
        <w:spacing w:before="0" w:beforeAutospacing="0" w:after="0" w:afterAutospacing="0"/>
        <w:ind w:firstLine="360"/>
        <w:jc w:val="both"/>
        <w:rPr>
          <w:sz w:val="20"/>
          <w:szCs w:val="20"/>
        </w:rPr>
      </w:pPr>
      <w:r>
        <w:rPr>
          <w:sz w:val="20"/>
          <w:szCs w:val="20"/>
        </w:rPr>
        <w:t> </w:t>
      </w:r>
    </w:p>
    <w:p w14:paraId="135AA3FD" w14:textId="77777777" w:rsidR="00000000" w:rsidRDefault="00527094">
      <w:pPr>
        <w:pStyle w:val="a3"/>
        <w:spacing w:before="0" w:beforeAutospacing="0" w:after="0" w:afterAutospacing="0"/>
        <w:ind w:firstLine="360"/>
        <w:jc w:val="both"/>
        <w:rPr>
          <w:sz w:val="20"/>
          <w:szCs w:val="20"/>
        </w:rPr>
      </w:pPr>
      <w:r>
        <w:rPr>
          <w:sz w:val="20"/>
          <w:szCs w:val="20"/>
        </w:rPr>
        <w:t>The purchase price for these acquisitions is allocated to real estate and related intangible assets acquired and liabilities assumed, as applicable, in accordance with o</w:t>
      </w:r>
      <w:r>
        <w:rPr>
          <w:sz w:val="20"/>
          <w:szCs w:val="20"/>
        </w:rPr>
        <w:t>ur accounting policies for asset acquisitions. The purchase price allocations for properties acquired 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are as follows (in thousands): </w:t>
      </w:r>
    </w:p>
    <w:p w14:paraId="1751D045"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2"/>
        <w:gridCol w:w="58"/>
        <w:gridCol w:w="101"/>
        <w:gridCol w:w="1055"/>
        <w:gridCol w:w="58"/>
        <w:gridCol w:w="58"/>
        <w:gridCol w:w="68"/>
        <w:gridCol w:w="1077"/>
        <w:gridCol w:w="58"/>
      </w:tblGrid>
      <w:tr w:rsidR="00000000" w14:paraId="4502B6CD" w14:textId="77777777">
        <w:trPr>
          <w:tblCellSpacing w:w="0" w:type="dxa"/>
        </w:trPr>
        <w:tc>
          <w:tcPr>
            <w:tcW w:w="0" w:type="auto"/>
            <w:vAlign w:val="bottom"/>
            <w:hideMark/>
          </w:tcPr>
          <w:p w14:paraId="38AF92C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29DA59E"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4E77E62" w14:textId="77777777" w:rsidR="00000000" w:rsidRDefault="00527094">
            <w:pPr>
              <w:pStyle w:val="a3"/>
              <w:spacing w:before="0" w:beforeAutospacing="0" w:after="0" w:afterAutospacing="0"/>
              <w:jc w:val="center"/>
              <w:rPr>
                <w:sz w:val="20"/>
                <w:szCs w:val="20"/>
              </w:rPr>
            </w:pPr>
            <w:r>
              <w:rPr>
                <w:b/>
                <w:bCs/>
                <w:sz w:val="20"/>
                <w:szCs w:val="20"/>
              </w:rPr>
              <w:t xml:space="preserve">Allocation as of </w:t>
            </w:r>
          </w:p>
          <w:p w14:paraId="2FE8433B"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7C67E8C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95AED6B"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052FFE7" w14:textId="77777777" w:rsidR="00000000" w:rsidRDefault="00527094">
            <w:pPr>
              <w:pStyle w:val="a3"/>
              <w:spacing w:before="0" w:beforeAutospacing="0" w:after="0" w:afterAutospacing="0"/>
              <w:jc w:val="center"/>
              <w:rPr>
                <w:sz w:val="20"/>
                <w:szCs w:val="20"/>
              </w:rPr>
            </w:pPr>
            <w:r>
              <w:rPr>
                <w:b/>
                <w:bCs/>
                <w:sz w:val="20"/>
                <w:szCs w:val="20"/>
              </w:rPr>
              <w:t>Weighted-Average</w:t>
            </w:r>
            <w:r>
              <w:rPr>
                <w:b/>
                <w:bCs/>
                <w:sz w:val="20"/>
                <w:szCs w:val="20"/>
              </w:rPr>
              <w:br/>
              <w:t>Amortization Period</w:t>
            </w:r>
            <w:r>
              <w:rPr>
                <w:b/>
                <w:bCs/>
                <w:sz w:val="20"/>
                <w:szCs w:val="20"/>
              </w:rPr>
              <w:br/>
              <w:t>(in Years)</w:t>
            </w:r>
          </w:p>
        </w:tc>
        <w:tc>
          <w:tcPr>
            <w:tcW w:w="0" w:type="auto"/>
            <w:tcMar>
              <w:top w:w="0" w:type="dxa"/>
              <w:left w:w="0" w:type="dxa"/>
              <w:bottom w:w="15" w:type="dxa"/>
              <w:right w:w="0" w:type="dxa"/>
            </w:tcMar>
            <w:vAlign w:val="bottom"/>
            <w:hideMark/>
          </w:tcPr>
          <w:p w14:paraId="3B303F8C" w14:textId="77777777" w:rsidR="00000000" w:rsidRDefault="00527094">
            <w:pPr>
              <w:rPr>
                <w:rFonts w:eastAsia="Times New Roman"/>
                <w:sz w:val="20"/>
                <w:szCs w:val="20"/>
              </w:rPr>
            </w:pPr>
            <w:r>
              <w:rPr>
                <w:rFonts w:eastAsia="Times New Roman"/>
                <w:sz w:val="20"/>
                <w:szCs w:val="20"/>
              </w:rPr>
              <w:t> </w:t>
            </w:r>
          </w:p>
        </w:tc>
      </w:tr>
      <w:tr w:rsidR="00000000" w14:paraId="26AC0CFB" w14:textId="77777777">
        <w:trPr>
          <w:tblCellSpacing w:w="0" w:type="dxa"/>
        </w:trPr>
        <w:tc>
          <w:tcPr>
            <w:tcW w:w="3100" w:type="pct"/>
            <w:shd w:val="clear" w:color="auto" w:fill="CCEEFF"/>
            <w:vAlign w:val="bottom"/>
            <w:hideMark/>
          </w:tcPr>
          <w:p w14:paraId="142BA141" w14:textId="77777777" w:rsidR="00000000" w:rsidRDefault="00527094">
            <w:pPr>
              <w:pStyle w:val="a3"/>
              <w:spacing w:before="0" w:beforeAutospacing="0" w:after="0" w:afterAutospacing="0"/>
              <w:rPr>
                <w:sz w:val="20"/>
                <w:szCs w:val="20"/>
              </w:rPr>
            </w:pPr>
            <w:r>
              <w:rPr>
                <w:sz w:val="20"/>
                <w:szCs w:val="20"/>
              </w:rPr>
              <w:t>Land</w:t>
            </w:r>
          </w:p>
        </w:tc>
        <w:tc>
          <w:tcPr>
            <w:tcW w:w="50" w:type="pct"/>
            <w:tcBorders>
              <w:bottom w:val="nil"/>
            </w:tcBorders>
            <w:shd w:val="clear" w:color="auto" w:fill="CCEEFF"/>
            <w:vAlign w:val="bottom"/>
            <w:hideMark/>
          </w:tcPr>
          <w:p w14:paraId="68D5F8B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3B3E7A9" w14:textId="77777777" w:rsidR="00000000" w:rsidRDefault="00527094">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14:paraId="57CB3468" w14:textId="77777777" w:rsidR="00000000" w:rsidRDefault="00527094">
            <w:pPr>
              <w:jc w:val="right"/>
              <w:rPr>
                <w:rFonts w:eastAsia="Times New Roman"/>
                <w:sz w:val="20"/>
                <w:szCs w:val="20"/>
              </w:rPr>
            </w:pPr>
            <w:r>
              <w:rPr>
                <w:rFonts w:eastAsia="Times New Roman"/>
                <w:sz w:val="20"/>
                <w:szCs w:val="20"/>
              </w:rPr>
              <w:t>8,266</w:t>
            </w:r>
          </w:p>
        </w:tc>
        <w:tc>
          <w:tcPr>
            <w:tcW w:w="50" w:type="pct"/>
            <w:tcBorders>
              <w:bottom w:val="nil"/>
            </w:tcBorders>
            <w:shd w:val="clear" w:color="auto" w:fill="CCEEFF"/>
            <w:vAlign w:val="bottom"/>
            <w:hideMark/>
          </w:tcPr>
          <w:p w14:paraId="29A656EB"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D6146BE"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7E3CAE7"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08EBDEB5" w14:textId="77777777" w:rsidR="00000000" w:rsidRDefault="00527094">
            <w:pPr>
              <w:jc w:val="center"/>
              <w:rPr>
                <w:rFonts w:eastAsia="Times New Roman"/>
                <w:sz w:val="20"/>
                <w:szCs w:val="20"/>
              </w:rPr>
            </w:pPr>
            <w:r>
              <w:rPr>
                <w:rStyle w:val="a6"/>
                <w:rFonts w:eastAsia="Times New Roman"/>
                <w:i w:val="0"/>
                <w:iCs w:val="0"/>
                <w:sz w:val="20"/>
                <w:szCs w:val="20"/>
              </w:rPr>
              <w:t>n/a</w:t>
            </w:r>
          </w:p>
        </w:tc>
        <w:tc>
          <w:tcPr>
            <w:tcW w:w="50" w:type="pct"/>
            <w:tcBorders>
              <w:bottom w:val="nil"/>
            </w:tcBorders>
            <w:shd w:val="clear" w:color="auto" w:fill="CCEEFF"/>
            <w:vAlign w:val="bottom"/>
            <w:hideMark/>
          </w:tcPr>
          <w:p w14:paraId="5BCB709D" w14:textId="77777777" w:rsidR="00000000" w:rsidRDefault="00527094">
            <w:pPr>
              <w:rPr>
                <w:rFonts w:eastAsia="Times New Roman"/>
                <w:sz w:val="20"/>
                <w:szCs w:val="20"/>
              </w:rPr>
            </w:pPr>
            <w:r>
              <w:rPr>
                <w:rFonts w:eastAsia="Times New Roman"/>
                <w:sz w:val="20"/>
                <w:szCs w:val="20"/>
              </w:rPr>
              <w:t> </w:t>
            </w:r>
          </w:p>
        </w:tc>
      </w:tr>
      <w:tr w:rsidR="00000000" w14:paraId="3BCCC28B" w14:textId="77777777">
        <w:trPr>
          <w:tblCellSpacing w:w="0" w:type="dxa"/>
        </w:trPr>
        <w:tc>
          <w:tcPr>
            <w:tcW w:w="0" w:type="auto"/>
            <w:shd w:val="clear" w:color="auto" w:fill="FFFFFF"/>
            <w:vAlign w:val="bottom"/>
            <w:hideMark/>
          </w:tcPr>
          <w:p w14:paraId="317AB9C6" w14:textId="77777777" w:rsidR="00000000" w:rsidRDefault="00527094">
            <w:pPr>
              <w:pStyle w:val="a3"/>
              <w:spacing w:before="0" w:beforeAutospacing="0" w:after="0" w:afterAutospacing="0"/>
              <w:rPr>
                <w:sz w:val="20"/>
                <w:szCs w:val="20"/>
              </w:rPr>
            </w:pPr>
            <w:r>
              <w:rPr>
                <w:sz w:val="20"/>
                <w:szCs w:val="20"/>
              </w:rPr>
              <w:t>Buildings</w:t>
            </w:r>
          </w:p>
        </w:tc>
        <w:tc>
          <w:tcPr>
            <w:tcW w:w="50" w:type="pct"/>
            <w:shd w:val="clear" w:color="auto" w:fill="FFFFFF"/>
            <w:vAlign w:val="bottom"/>
            <w:hideMark/>
          </w:tcPr>
          <w:p w14:paraId="4C35AA6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D8456E"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0EC7663" w14:textId="77777777" w:rsidR="00000000" w:rsidRDefault="00527094">
            <w:pPr>
              <w:jc w:val="right"/>
              <w:rPr>
                <w:rFonts w:eastAsia="Times New Roman"/>
                <w:sz w:val="20"/>
                <w:szCs w:val="20"/>
              </w:rPr>
            </w:pPr>
            <w:r>
              <w:rPr>
                <w:rFonts w:eastAsia="Times New Roman"/>
                <w:sz w:val="20"/>
                <w:szCs w:val="20"/>
              </w:rPr>
              <w:t>15,935</w:t>
            </w:r>
          </w:p>
        </w:tc>
        <w:tc>
          <w:tcPr>
            <w:tcW w:w="50" w:type="pct"/>
            <w:shd w:val="clear" w:color="auto" w:fill="FFFFFF"/>
            <w:vAlign w:val="bottom"/>
            <w:hideMark/>
          </w:tcPr>
          <w:p w14:paraId="2A867D3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7FA6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138FC8"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97FB3CF" w14:textId="77777777" w:rsidR="00000000" w:rsidRDefault="00527094">
            <w:pPr>
              <w:jc w:val="center"/>
              <w:rPr>
                <w:rFonts w:eastAsia="Times New Roman"/>
                <w:sz w:val="20"/>
                <w:szCs w:val="20"/>
              </w:rPr>
            </w:pPr>
            <w:r>
              <w:rPr>
                <w:rFonts w:eastAsia="Times New Roman"/>
                <w:sz w:val="20"/>
                <w:szCs w:val="20"/>
              </w:rPr>
              <w:t>50.0</w:t>
            </w:r>
          </w:p>
        </w:tc>
        <w:tc>
          <w:tcPr>
            <w:tcW w:w="50" w:type="pct"/>
            <w:shd w:val="clear" w:color="auto" w:fill="FFFFFF"/>
            <w:vAlign w:val="bottom"/>
            <w:hideMark/>
          </w:tcPr>
          <w:p w14:paraId="33220955" w14:textId="77777777" w:rsidR="00000000" w:rsidRDefault="00527094">
            <w:pPr>
              <w:rPr>
                <w:rFonts w:eastAsia="Times New Roman"/>
                <w:sz w:val="20"/>
                <w:szCs w:val="20"/>
              </w:rPr>
            </w:pPr>
            <w:r>
              <w:rPr>
                <w:rFonts w:eastAsia="Times New Roman"/>
                <w:sz w:val="20"/>
                <w:szCs w:val="20"/>
              </w:rPr>
              <w:t> </w:t>
            </w:r>
          </w:p>
        </w:tc>
      </w:tr>
      <w:tr w:rsidR="00000000" w14:paraId="2A7A8226" w14:textId="77777777">
        <w:trPr>
          <w:tblCellSpacing w:w="0" w:type="dxa"/>
        </w:trPr>
        <w:tc>
          <w:tcPr>
            <w:tcW w:w="0" w:type="auto"/>
            <w:shd w:val="clear" w:color="auto" w:fill="CCEEFF"/>
            <w:vAlign w:val="bottom"/>
            <w:hideMark/>
          </w:tcPr>
          <w:p w14:paraId="39501EF8" w14:textId="77777777" w:rsidR="00000000" w:rsidRDefault="00527094">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14:paraId="51C0ED1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540210"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EE00BEF" w14:textId="77777777" w:rsidR="00000000" w:rsidRDefault="00527094">
            <w:pPr>
              <w:jc w:val="right"/>
              <w:rPr>
                <w:rFonts w:eastAsia="Times New Roman"/>
                <w:sz w:val="20"/>
                <w:szCs w:val="20"/>
              </w:rPr>
            </w:pPr>
            <w:r>
              <w:rPr>
                <w:rFonts w:eastAsia="Times New Roman"/>
                <w:sz w:val="20"/>
                <w:szCs w:val="20"/>
              </w:rPr>
              <w:t>1,313</w:t>
            </w:r>
          </w:p>
        </w:tc>
        <w:tc>
          <w:tcPr>
            <w:tcW w:w="50" w:type="pct"/>
            <w:shd w:val="clear" w:color="auto" w:fill="CCEEFF"/>
            <w:vAlign w:val="bottom"/>
            <w:hideMark/>
          </w:tcPr>
          <w:p w14:paraId="3436ADD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B8A93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3F6F3A"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79AE747" w14:textId="77777777" w:rsidR="00000000" w:rsidRDefault="00527094">
            <w:pPr>
              <w:jc w:val="center"/>
              <w:rPr>
                <w:rFonts w:eastAsia="Times New Roman"/>
                <w:sz w:val="20"/>
                <w:szCs w:val="20"/>
              </w:rPr>
            </w:pPr>
            <w:r>
              <w:rPr>
                <w:rFonts w:eastAsia="Times New Roman"/>
                <w:sz w:val="20"/>
                <w:szCs w:val="20"/>
              </w:rPr>
              <w:t>45.0</w:t>
            </w:r>
          </w:p>
        </w:tc>
        <w:tc>
          <w:tcPr>
            <w:tcW w:w="50" w:type="pct"/>
            <w:shd w:val="clear" w:color="auto" w:fill="CCEEFF"/>
            <w:vAlign w:val="bottom"/>
            <w:hideMark/>
          </w:tcPr>
          <w:p w14:paraId="2CA75527" w14:textId="77777777" w:rsidR="00000000" w:rsidRDefault="00527094">
            <w:pPr>
              <w:rPr>
                <w:rFonts w:eastAsia="Times New Roman"/>
                <w:sz w:val="20"/>
                <w:szCs w:val="20"/>
              </w:rPr>
            </w:pPr>
            <w:r>
              <w:rPr>
                <w:rFonts w:eastAsia="Times New Roman"/>
                <w:sz w:val="20"/>
                <w:szCs w:val="20"/>
              </w:rPr>
              <w:t> </w:t>
            </w:r>
          </w:p>
        </w:tc>
      </w:tr>
      <w:tr w:rsidR="00000000" w14:paraId="15676D71" w14:textId="77777777">
        <w:trPr>
          <w:tblCellSpacing w:w="0" w:type="dxa"/>
        </w:trPr>
        <w:tc>
          <w:tcPr>
            <w:tcW w:w="0" w:type="auto"/>
            <w:shd w:val="clear" w:color="auto" w:fill="FFFFFF"/>
            <w:vAlign w:val="bottom"/>
            <w:hideMark/>
          </w:tcPr>
          <w:p w14:paraId="38DFC27F" w14:textId="77777777" w:rsidR="00000000" w:rsidRDefault="00527094">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14:paraId="7B35620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FF2D04"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D6ED761" w14:textId="77777777" w:rsidR="00000000" w:rsidRDefault="00527094">
            <w:pPr>
              <w:jc w:val="right"/>
              <w:rPr>
                <w:rFonts w:eastAsia="Times New Roman"/>
                <w:sz w:val="20"/>
                <w:szCs w:val="20"/>
              </w:rPr>
            </w:pPr>
            <w:r>
              <w:rPr>
                <w:rFonts w:eastAsia="Times New Roman"/>
                <w:sz w:val="20"/>
                <w:szCs w:val="20"/>
              </w:rPr>
              <w:t>1,637</w:t>
            </w:r>
          </w:p>
        </w:tc>
        <w:tc>
          <w:tcPr>
            <w:tcW w:w="50" w:type="pct"/>
            <w:shd w:val="clear" w:color="auto" w:fill="FFFFFF"/>
            <w:vAlign w:val="bottom"/>
            <w:hideMark/>
          </w:tcPr>
          <w:p w14:paraId="004997C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508A9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E12F14"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7D7D5EE" w14:textId="77777777" w:rsidR="00000000" w:rsidRDefault="00527094">
            <w:pPr>
              <w:jc w:val="center"/>
              <w:rPr>
                <w:rFonts w:eastAsia="Times New Roman"/>
                <w:sz w:val="20"/>
                <w:szCs w:val="20"/>
              </w:rPr>
            </w:pPr>
            <w:r>
              <w:rPr>
                <w:rFonts w:eastAsia="Times New Roman"/>
                <w:sz w:val="20"/>
                <w:szCs w:val="20"/>
              </w:rPr>
              <w:t>20.0</w:t>
            </w:r>
          </w:p>
        </w:tc>
        <w:tc>
          <w:tcPr>
            <w:tcW w:w="50" w:type="pct"/>
            <w:shd w:val="clear" w:color="auto" w:fill="FFFFFF"/>
            <w:vAlign w:val="bottom"/>
            <w:hideMark/>
          </w:tcPr>
          <w:p w14:paraId="7E36BFC2" w14:textId="77777777" w:rsidR="00000000" w:rsidRDefault="00527094">
            <w:pPr>
              <w:rPr>
                <w:rFonts w:eastAsia="Times New Roman"/>
                <w:sz w:val="20"/>
                <w:szCs w:val="20"/>
              </w:rPr>
            </w:pPr>
            <w:r>
              <w:rPr>
                <w:rFonts w:eastAsia="Times New Roman"/>
                <w:sz w:val="20"/>
                <w:szCs w:val="20"/>
              </w:rPr>
              <w:t> </w:t>
            </w:r>
          </w:p>
        </w:tc>
      </w:tr>
      <w:tr w:rsidR="00000000" w14:paraId="65E806D1" w14:textId="77777777">
        <w:trPr>
          <w:tblCellSpacing w:w="0" w:type="dxa"/>
        </w:trPr>
        <w:tc>
          <w:tcPr>
            <w:tcW w:w="0" w:type="auto"/>
            <w:shd w:val="clear" w:color="auto" w:fill="CCEEFF"/>
            <w:vAlign w:val="bottom"/>
            <w:hideMark/>
          </w:tcPr>
          <w:p w14:paraId="3BDE342F" w14:textId="77777777" w:rsidR="00000000" w:rsidRDefault="00527094">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14:paraId="5684C86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F086B96"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4114295E" w14:textId="77777777" w:rsidR="00000000" w:rsidRDefault="00527094">
            <w:pPr>
              <w:jc w:val="right"/>
              <w:rPr>
                <w:rFonts w:eastAsia="Times New Roman"/>
                <w:sz w:val="20"/>
                <w:szCs w:val="20"/>
              </w:rPr>
            </w:pPr>
            <w:r>
              <w:rPr>
                <w:rFonts w:eastAsia="Times New Roman"/>
                <w:sz w:val="20"/>
                <w:szCs w:val="20"/>
              </w:rPr>
              <w:t>4,118</w:t>
            </w:r>
          </w:p>
        </w:tc>
        <w:tc>
          <w:tcPr>
            <w:tcW w:w="50" w:type="pct"/>
            <w:shd w:val="clear" w:color="auto" w:fill="CCEEFF"/>
            <w:vAlign w:val="bottom"/>
            <w:hideMark/>
          </w:tcPr>
          <w:p w14:paraId="3D83C6C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6C982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15F94A"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E098603" w14:textId="77777777" w:rsidR="00000000" w:rsidRDefault="00527094">
            <w:pPr>
              <w:jc w:val="center"/>
              <w:rPr>
                <w:rFonts w:eastAsia="Times New Roman"/>
                <w:sz w:val="20"/>
                <w:szCs w:val="20"/>
              </w:rPr>
            </w:pPr>
            <w:r>
              <w:rPr>
                <w:rFonts w:eastAsia="Times New Roman"/>
                <w:sz w:val="20"/>
                <w:szCs w:val="20"/>
              </w:rPr>
              <w:t>20.0</w:t>
            </w:r>
          </w:p>
        </w:tc>
        <w:tc>
          <w:tcPr>
            <w:tcW w:w="50" w:type="pct"/>
            <w:shd w:val="clear" w:color="auto" w:fill="CCEEFF"/>
            <w:vAlign w:val="bottom"/>
            <w:hideMark/>
          </w:tcPr>
          <w:p w14:paraId="4E67244A" w14:textId="77777777" w:rsidR="00000000" w:rsidRDefault="00527094">
            <w:pPr>
              <w:rPr>
                <w:rFonts w:eastAsia="Times New Roman"/>
                <w:sz w:val="20"/>
                <w:szCs w:val="20"/>
              </w:rPr>
            </w:pPr>
            <w:r>
              <w:rPr>
                <w:rFonts w:eastAsia="Times New Roman"/>
                <w:sz w:val="20"/>
                <w:szCs w:val="20"/>
              </w:rPr>
              <w:t> </w:t>
            </w:r>
          </w:p>
        </w:tc>
      </w:tr>
      <w:tr w:rsidR="00000000" w14:paraId="3BBEA8F7" w14:textId="77777777">
        <w:trPr>
          <w:tblCellSpacing w:w="0" w:type="dxa"/>
        </w:trPr>
        <w:tc>
          <w:tcPr>
            <w:tcW w:w="0" w:type="auto"/>
            <w:shd w:val="clear" w:color="auto" w:fill="FFFFFF"/>
            <w:vAlign w:val="bottom"/>
            <w:hideMark/>
          </w:tcPr>
          <w:p w14:paraId="115A7B43" w14:textId="77777777" w:rsidR="00000000" w:rsidRDefault="00527094">
            <w:pPr>
              <w:pStyle w:val="a3"/>
              <w:spacing w:before="0" w:beforeAutospacing="0" w:after="0" w:afterAutospacing="0"/>
              <w:rPr>
                <w:sz w:val="20"/>
                <w:szCs w:val="20"/>
              </w:rPr>
            </w:pPr>
            <w:r>
              <w:rPr>
                <w:b/>
                <w:bCs/>
                <w:sz w:val="20"/>
                <w:szCs w:val="20"/>
              </w:rPr>
              <w:t>Net assets acquired</w:t>
            </w:r>
          </w:p>
        </w:tc>
        <w:tc>
          <w:tcPr>
            <w:tcW w:w="50" w:type="pct"/>
            <w:shd w:val="clear" w:color="auto" w:fill="FFFFFF"/>
            <w:vAlign w:val="bottom"/>
            <w:hideMark/>
          </w:tcPr>
          <w:p w14:paraId="57376C1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439A0E5" w14:textId="77777777" w:rsidR="00000000" w:rsidRDefault="00527094">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31DE2711" w14:textId="77777777" w:rsidR="00000000" w:rsidRDefault="00527094">
            <w:pPr>
              <w:jc w:val="right"/>
              <w:rPr>
                <w:rFonts w:eastAsia="Times New Roman"/>
                <w:sz w:val="20"/>
                <w:szCs w:val="20"/>
              </w:rPr>
            </w:pPr>
            <w:r>
              <w:rPr>
                <w:rFonts w:eastAsia="Times New Roman"/>
                <w:sz w:val="20"/>
                <w:szCs w:val="20"/>
              </w:rPr>
              <w:t>31,269</w:t>
            </w:r>
          </w:p>
        </w:tc>
        <w:tc>
          <w:tcPr>
            <w:tcW w:w="50" w:type="pct"/>
            <w:shd w:val="clear" w:color="auto" w:fill="FFFFFF"/>
            <w:tcMar>
              <w:top w:w="0" w:type="dxa"/>
              <w:left w:w="0" w:type="dxa"/>
              <w:bottom w:w="45" w:type="dxa"/>
              <w:right w:w="0" w:type="dxa"/>
            </w:tcMar>
            <w:vAlign w:val="bottom"/>
            <w:hideMark/>
          </w:tcPr>
          <w:p w14:paraId="328D81A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3D2A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A4916F"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7E6BF71C" w14:textId="77777777" w:rsidR="00000000" w:rsidRDefault="00527094">
            <w:pPr>
              <w:jc w:val="right"/>
              <w:rPr>
                <w:rFonts w:eastAsia="Times New Roman"/>
                <w:sz w:val="20"/>
                <w:szCs w:val="20"/>
              </w:rPr>
            </w:pPr>
            <w:r>
              <w:rPr>
                <w:rStyle w:val="a6"/>
                <w:rFonts w:eastAsia="Times New Roman"/>
                <w:b/>
                <w:bCs/>
                <w:i w:val="0"/>
                <w:iCs w:val="0"/>
                <w:sz w:val="20"/>
                <w:szCs w:val="20"/>
              </w:rPr>
              <w:t> </w:t>
            </w:r>
          </w:p>
        </w:tc>
        <w:tc>
          <w:tcPr>
            <w:tcW w:w="0" w:type="auto"/>
            <w:shd w:val="clear" w:color="auto" w:fill="FFFFFF"/>
            <w:tcMar>
              <w:top w:w="0" w:type="dxa"/>
              <w:left w:w="0" w:type="dxa"/>
              <w:bottom w:w="45" w:type="dxa"/>
              <w:right w:w="0" w:type="dxa"/>
            </w:tcMar>
            <w:vAlign w:val="bottom"/>
            <w:hideMark/>
          </w:tcPr>
          <w:p w14:paraId="0EF3D853" w14:textId="77777777" w:rsidR="00000000" w:rsidRDefault="00527094">
            <w:pPr>
              <w:rPr>
                <w:rFonts w:eastAsia="Times New Roman"/>
                <w:sz w:val="20"/>
                <w:szCs w:val="20"/>
              </w:rPr>
            </w:pPr>
            <w:r>
              <w:rPr>
                <w:rFonts w:eastAsia="Times New Roman"/>
                <w:b/>
                <w:bCs/>
                <w:sz w:val="20"/>
                <w:szCs w:val="20"/>
              </w:rPr>
              <w:t> </w:t>
            </w:r>
          </w:p>
        </w:tc>
      </w:tr>
    </w:tbl>
    <w:p w14:paraId="1C64EA25" w14:textId="77777777" w:rsidR="00000000" w:rsidRDefault="00527094">
      <w:pPr>
        <w:pStyle w:val="a3"/>
        <w:spacing w:before="0" w:beforeAutospacing="0" w:after="0" w:afterAutospacing="0"/>
        <w:jc w:val="both"/>
        <w:rPr>
          <w:sz w:val="20"/>
          <w:szCs w:val="20"/>
        </w:rPr>
      </w:pPr>
      <w:r>
        <w:rPr>
          <w:sz w:val="20"/>
          <w:szCs w:val="20"/>
        </w:rPr>
        <w:t> </w:t>
      </w:r>
    </w:p>
    <w:p w14:paraId="66773BD2" w14:textId="77777777" w:rsidR="00000000" w:rsidRDefault="00527094">
      <w:pPr>
        <w:pStyle w:val="a3"/>
        <w:spacing w:before="0" w:beforeAutospacing="0" w:after="0" w:afterAutospacing="0"/>
        <w:jc w:val="both"/>
        <w:rPr>
          <w:sz w:val="20"/>
          <w:szCs w:val="20"/>
        </w:rPr>
      </w:pPr>
      <w:r>
        <w:rPr>
          <w:i/>
          <w:iCs/>
          <w:sz w:val="20"/>
          <w:szCs w:val="20"/>
        </w:rPr>
        <w:t>Dispositions -</w:t>
      </w:r>
    </w:p>
    <w:p w14:paraId="073ED1D7" w14:textId="77777777" w:rsidR="00000000" w:rsidRDefault="00527094">
      <w:pPr>
        <w:pStyle w:val="a3"/>
        <w:spacing w:before="0" w:beforeAutospacing="0" w:after="0" w:afterAutospacing="0"/>
        <w:ind w:firstLine="360"/>
        <w:jc w:val="both"/>
        <w:rPr>
          <w:sz w:val="20"/>
          <w:szCs w:val="20"/>
        </w:rPr>
      </w:pPr>
      <w:r>
        <w:rPr>
          <w:sz w:val="20"/>
          <w:szCs w:val="20"/>
        </w:rPr>
        <w:t> </w:t>
      </w:r>
    </w:p>
    <w:p w14:paraId="1004E3D3" w14:textId="77777777" w:rsidR="00000000" w:rsidRDefault="00527094">
      <w:pPr>
        <w:pStyle w:val="a3"/>
        <w:spacing w:before="0" w:beforeAutospacing="0" w:after="0" w:afterAutospacing="0"/>
        <w:ind w:firstLine="360"/>
        <w:jc w:val="both"/>
        <w:rPr>
          <w:sz w:val="20"/>
          <w:szCs w:val="20"/>
        </w:rPr>
      </w:pPr>
      <w:r>
        <w:rPr>
          <w:sz w:val="20"/>
          <w:szCs w:val="20"/>
        </w:rPr>
        <w:t>The table below summarizes the Company’s disposition activity relating to consolidated operating properties and parcels (dollars in millions):</w:t>
      </w:r>
    </w:p>
    <w:p w14:paraId="26A4CA67"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14:paraId="0BD6D5F8" w14:textId="77777777">
        <w:trPr>
          <w:tblCellSpacing w:w="0" w:type="dxa"/>
        </w:trPr>
        <w:tc>
          <w:tcPr>
            <w:tcW w:w="0" w:type="auto"/>
            <w:vAlign w:val="bottom"/>
            <w:hideMark/>
          </w:tcPr>
          <w:p w14:paraId="1AF5A67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CFFDCEC"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ECB44B1" w14:textId="77777777" w:rsidR="00000000" w:rsidRDefault="0052709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371716EA" w14:textId="77777777" w:rsidR="00000000" w:rsidRDefault="00527094">
            <w:pPr>
              <w:rPr>
                <w:rFonts w:eastAsia="Times New Roman"/>
                <w:sz w:val="20"/>
                <w:szCs w:val="20"/>
              </w:rPr>
            </w:pPr>
            <w:r>
              <w:rPr>
                <w:rFonts w:eastAsia="Times New Roman"/>
                <w:sz w:val="20"/>
                <w:szCs w:val="20"/>
              </w:rPr>
              <w:t> </w:t>
            </w:r>
          </w:p>
        </w:tc>
      </w:tr>
      <w:tr w:rsidR="00000000" w14:paraId="73A917D7" w14:textId="77777777">
        <w:trPr>
          <w:tblCellSpacing w:w="0" w:type="dxa"/>
        </w:trPr>
        <w:tc>
          <w:tcPr>
            <w:tcW w:w="0" w:type="auto"/>
            <w:vAlign w:val="bottom"/>
            <w:hideMark/>
          </w:tcPr>
          <w:p w14:paraId="4BDB3F1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51057CE"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F055CBE"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BC3B5E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E25057A"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D4FEE84"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E7E0595" w14:textId="77777777" w:rsidR="00000000" w:rsidRDefault="00527094">
            <w:pPr>
              <w:rPr>
                <w:rFonts w:eastAsia="Times New Roman"/>
                <w:sz w:val="20"/>
                <w:szCs w:val="20"/>
              </w:rPr>
            </w:pPr>
            <w:r>
              <w:rPr>
                <w:rFonts w:eastAsia="Times New Roman"/>
                <w:sz w:val="20"/>
                <w:szCs w:val="20"/>
              </w:rPr>
              <w:t> </w:t>
            </w:r>
          </w:p>
        </w:tc>
      </w:tr>
      <w:tr w:rsidR="00000000" w14:paraId="41BBABE8" w14:textId="77777777">
        <w:trPr>
          <w:tblCellSpacing w:w="0" w:type="dxa"/>
        </w:trPr>
        <w:tc>
          <w:tcPr>
            <w:tcW w:w="3200" w:type="pct"/>
            <w:shd w:val="clear" w:color="auto" w:fill="CCEEFF"/>
            <w:vAlign w:val="bottom"/>
            <w:hideMark/>
          </w:tcPr>
          <w:p w14:paraId="390496E8" w14:textId="77777777" w:rsidR="00000000" w:rsidRDefault="00527094">
            <w:pPr>
              <w:pStyle w:val="a3"/>
              <w:spacing w:before="0" w:beforeAutospacing="0" w:after="0" w:afterAutospacing="0"/>
              <w:rPr>
                <w:sz w:val="20"/>
                <w:szCs w:val="20"/>
              </w:rPr>
            </w:pPr>
            <w:r>
              <w:rPr>
                <w:sz w:val="20"/>
                <w:szCs w:val="20"/>
              </w:rPr>
              <w:t>Aggregate sales price/gross fair value</w:t>
            </w:r>
          </w:p>
        </w:tc>
        <w:tc>
          <w:tcPr>
            <w:tcW w:w="50" w:type="pct"/>
            <w:tcBorders>
              <w:bottom w:val="nil"/>
            </w:tcBorders>
            <w:shd w:val="clear" w:color="auto" w:fill="CCEEFF"/>
            <w:vAlign w:val="bottom"/>
            <w:hideMark/>
          </w:tcPr>
          <w:p w14:paraId="001E093E"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B554387" w14:textId="77777777" w:rsidR="00000000" w:rsidRDefault="0052709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10C47C5" w14:textId="77777777" w:rsidR="00000000" w:rsidRDefault="00527094">
            <w:pPr>
              <w:jc w:val="right"/>
              <w:rPr>
                <w:rFonts w:eastAsia="Times New Roman"/>
                <w:sz w:val="20"/>
                <w:szCs w:val="20"/>
              </w:rPr>
            </w:pPr>
            <w:r>
              <w:rPr>
                <w:rFonts w:eastAsia="Times New Roman"/>
                <w:sz w:val="20"/>
                <w:szCs w:val="20"/>
              </w:rPr>
              <w:t>110.1</w:t>
            </w:r>
          </w:p>
        </w:tc>
        <w:tc>
          <w:tcPr>
            <w:tcW w:w="50" w:type="pct"/>
            <w:tcBorders>
              <w:bottom w:val="nil"/>
            </w:tcBorders>
            <w:shd w:val="clear" w:color="auto" w:fill="CCEEFF"/>
            <w:vAlign w:val="bottom"/>
            <w:hideMark/>
          </w:tcPr>
          <w:p w14:paraId="3F2A1B7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D6DA330"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21A504B" w14:textId="77777777" w:rsidR="00000000" w:rsidRDefault="0052709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4686F748" w14:textId="77777777" w:rsidR="00000000" w:rsidRDefault="00527094">
            <w:pPr>
              <w:jc w:val="right"/>
              <w:rPr>
                <w:rFonts w:eastAsia="Times New Roman"/>
                <w:sz w:val="20"/>
                <w:szCs w:val="20"/>
              </w:rPr>
            </w:pPr>
            <w:r>
              <w:rPr>
                <w:rFonts w:eastAsia="Times New Roman"/>
                <w:sz w:val="20"/>
                <w:szCs w:val="20"/>
              </w:rPr>
              <w:t>833.1</w:t>
            </w:r>
          </w:p>
        </w:tc>
        <w:tc>
          <w:tcPr>
            <w:tcW w:w="50" w:type="pct"/>
            <w:tcBorders>
              <w:bottom w:val="nil"/>
            </w:tcBorders>
            <w:shd w:val="clear" w:color="auto" w:fill="CCEEFF"/>
            <w:vAlign w:val="bottom"/>
            <w:hideMark/>
          </w:tcPr>
          <w:p w14:paraId="42C95B2D" w14:textId="77777777" w:rsidR="00000000" w:rsidRDefault="00527094">
            <w:pPr>
              <w:rPr>
                <w:rFonts w:eastAsia="Times New Roman"/>
                <w:sz w:val="20"/>
                <w:szCs w:val="20"/>
              </w:rPr>
            </w:pPr>
            <w:r>
              <w:rPr>
                <w:rFonts w:eastAsia="Times New Roman"/>
                <w:sz w:val="20"/>
                <w:szCs w:val="20"/>
              </w:rPr>
              <w:t> </w:t>
            </w:r>
          </w:p>
        </w:tc>
      </w:tr>
      <w:tr w:rsidR="00000000" w14:paraId="1AB6BECE" w14:textId="77777777">
        <w:trPr>
          <w:tblCellSpacing w:w="0" w:type="dxa"/>
        </w:trPr>
        <w:tc>
          <w:tcPr>
            <w:tcW w:w="0" w:type="auto"/>
            <w:shd w:val="clear" w:color="auto" w:fill="FFFFFF"/>
            <w:vAlign w:val="bottom"/>
            <w:hideMark/>
          </w:tcPr>
          <w:p w14:paraId="57BEC5F6" w14:textId="77777777" w:rsidR="00000000" w:rsidRDefault="00527094">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14:paraId="4CBD50A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CCBC51" w14:textId="77777777" w:rsidR="00000000" w:rsidRDefault="00527094">
            <w:pPr>
              <w:rPr>
                <w:rFonts w:eastAsia="Times New Roman"/>
                <w:sz w:val="20"/>
                <w:szCs w:val="20"/>
              </w:rPr>
            </w:pPr>
            <w:r>
              <w:rPr>
                <w:rFonts w:eastAsia="Times New Roman"/>
                <w:sz w:val="20"/>
                <w:szCs w:val="20"/>
              </w:rPr>
              <w:t>$</w:t>
            </w:r>
          </w:p>
        </w:tc>
        <w:tc>
          <w:tcPr>
            <w:tcW w:w="750" w:type="pct"/>
            <w:shd w:val="clear" w:color="auto" w:fill="FFFFFF"/>
            <w:vAlign w:val="bottom"/>
            <w:hideMark/>
          </w:tcPr>
          <w:p w14:paraId="6A611D21" w14:textId="77777777" w:rsidR="00000000" w:rsidRDefault="00527094">
            <w:pPr>
              <w:jc w:val="right"/>
              <w:rPr>
                <w:rFonts w:eastAsia="Times New Roman"/>
                <w:sz w:val="20"/>
                <w:szCs w:val="20"/>
              </w:rPr>
            </w:pPr>
            <w:r>
              <w:rPr>
                <w:rFonts w:eastAsia="Times New Roman"/>
                <w:sz w:val="20"/>
                <w:szCs w:val="20"/>
              </w:rPr>
              <w:t>38.4</w:t>
            </w:r>
          </w:p>
        </w:tc>
        <w:tc>
          <w:tcPr>
            <w:tcW w:w="50" w:type="pct"/>
            <w:shd w:val="clear" w:color="auto" w:fill="FFFFFF"/>
            <w:vAlign w:val="bottom"/>
            <w:hideMark/>
          </w:tcPr>
          <w:p w14:paraId="2AA7738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08A5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C8427F" w14:textId="77777777" w:rsidR="00000000" w:rsidRDefault="00527094">
            <w:pPr>
              <w:rPr>
                <w:rFonts w:eastAsia="Times New Roman"/>
                <w:sz w:val="20"/>
                <w:szCs w:val="20"/>
              </w:rPr>
            </w:pPr>
            <w:r>
              <w:rPr>
                <w:rFonts w:eastAsia="Times New Roman"/>
                <w:sz w:val="20"/>
                <w:szCs w:val="20"/>
              </w:rPr>
              <w:t>$</w:t>
            </w:r>
          </w:p>
        </w:tc>
        <w:tc>
          <w:tcPr>
            <w:tcW w:w="750" w:type="pct"/>
            <w:shd w:val="clear" w:color="auto" w:fill="FFFFFF"/>
            <w:vAlign w:val="bottom"/>
            <w:hideMark/>
          </w:tcPr>
          <w:p w14:paraId="08ABF6F4" w14:textId="77777777" w:rsidR="00000000" w:rsidRDefault="00527094">
            <w:pPr>
              <w:jc w:val="right"/>
              <w:rPr>
                <w:rFonts w:eastAsia="Times New Roman"/>
                <w:sz w:val="20"/>
                <w:szCs w:val="20"/>
              </w:rPr>
            </w:pPr>
            <w:r>
              <w:rPr>
                <w:rFonts w:eastAsia="Times New Roman"/>
                <w:sz w:val="20"/>
                <w:szCs w:val="20"/>
              </w:rPr>
              <w:t>152.2</w:t>
            </w:r>
          </w:p>
        </w:tc>
        <w:tc>
          <w:tcPr>
            <w:tcW w:w="50" w:type="pct"/>
            <w:shd w:val="clear" w:color="auto" w:fill="FFFFFF"/>
            <w:vAlign w:val="bottom"/>
            <w:hideMark/>
          </w:tcPr>
          <w:p w14:paraId="482DA8EF" w14:textId="77777777" w:rsidR="00000000" w:rsidRDefault="00527094">
            <w:pPr>
              <w:rPr>
                <w:rFonts w:eastAsia="Times New Roman"/>
                <w:sz w:val="20"/>
                <w:szCs w:val="20"/>
              </w:rPr>
            </w:pPr>
            <w:r>
              <w:rPr>
                <w:rFonts w:eastAsia="Times New Roman"/>
                <w:sz w:val="20"/>
                <w:szCs w:val="20"/>
              </w:rPr>
              <w:t> </w:t>
            </w:r>
          </w:p>
        </w:tc>
      </w:tr>
      <w:tr w:rsidR="00000000" w14:paraId="71A7FBF1" w14:textId="77777777">
        <w:trPr>
          <w:tblCellSpacing w:w="0" w:type="dxa"/>
        </w:trPr>
        <w:tc>
          <w:tcPr>
            <w:tcW w:w="0" w:type="auto"/>
            <w:shd w:val="clear" w:color="auto" w:fill="CCEEFF"/>
            <w:vAlign w:val="bottom"/>
            <w:hideMark/>
          </w:tcPr>
          <w:p w14:paraId="6FC2A07A" w14:textId="77777777" w:rsidR="00000000" w:rsidRDefault="00527094">
            <w:pPr>
              <w:pStyle w:val="a3"/>
              <w:spacing w:before="0" w:beforeAutospacing="0" w:after="0" w:afterAutospacing="0"/>
              <w:rPr>
                <w:sz w:val="20"/>
                <w:szCs w:val="20"/>
              </w:rPr>
            </w:pPr>
            <w:r>
              <w:rPr>
                <w:sz w:val="20"/>
                <w:szCs w:val="20"/>
              </w:rPr>
              <w:t>Number of operating properties sold/deconsolidated</w:t>
            </w:r>
          </w:p>
        </w:tc>
        <w:tc>
          <w:tcPr>
            <w:tcW w:w="50" w:type="pct"/>
            <w:shd w:val="clear" w:color="auto" w:fill="CCEEFF"/>
            <w:vAlign w:val="bottom"/>
            <w:hideMark/>
          </w:tcPr>
          <w:p w14:paraId="189358A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BC49D7"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D69BB23" w14:textId="77777777" w:rsidR="00000000" w:rsidRDefault="00527094">
            <w:pPr>
              <w:jc w:val="right"/>
              <w:rPr>
                <w:rFonts w:eastAsia="Times New Roman"/>
                <w:sz w:val="20"/>
                <w:szCs w:val="20"/>
              </w:rPr>
            </w:pPr>
            <w:r>
              <w:rPr>
                <w:rFonts w:eastAsia="Times New Roman"/>
                <w:sz w:val="20"/>
                <w:szCs w:val="20"/>
              </w:rPr>
              <w:t>7</w:t>
            </w:r>
          </w:p>
        </w:tc>
        <w:tc>
          <w:tcPr>
            <w:tcW w:w="50" w:type="pct"/>
            <w:shd w:val="clear" w:color="auto" w:fill="CCEEFF"/>
            <w:vAlign w:val="bottom"/>
            <w:hideMark/>
          </w:tcPr>
          <w:p w14:paraId="1C3CF52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94841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9B9044"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47FA3F7E" w14:textId="77777777" w:rsidR="00000000" w:rsidRDefault="00527094">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14:paraId="6662A6DB" w14:textId="77777777" w:rsidR="00000000" w:rsidRDefault="00527094">
            <w:pPr>
              <w:rPr>
                <w:rFonts w:eastAsia="Times New Roman"/>
                <w:sz w:val="20"/>
                <w:szCs w:val="20"/>
              </w:rPr>
            </w:pPr>
            <w:r>
              <w:rPr>
                <w:rFonts w:eastAsia="Times New Roman"/>
                <w:sz w:val="20"/>
                <w:szCs w:val="20"/>
              </w:rPr>
              <w:t> </w:t>
            </w:r>
          </w:p>
        </w:tc>
      </w:tr>
      <w:tr w:rsidR="00000000" w14:paraId="1138F421" w14:textId="77777777">
        <w:trPr>
          <w:tblCellSpacing w:w="0" w:type="dxa"/>
        </w:trPr>
        <w:tc>
          <w:tcPr>
            <w:tcW w:w="0" w:type="auto"/>
            <w:shd w:val="clear" w:color="auto" w:fill="FFFFFF"/>
            <w:vAlign w:val="bottom"/>
            <w:hideMark/>
          </w:tcPr>
          <w:p w14:paraId="54794B54" w14:textId="77777777" w:rsidR="00000000" w:rsidRDefault="00527094">
            <w:pPr>
              <w:pStyle w:val="a3"/>
              <w:spacing w:before="0" w:beforeAutospacing="0" w:after="0" w:afterAutospacing="0"/>
              <w:rPr>
                <w:sz w:val="20"/>
                <w:szCs w:val="20"/>
              </w:rPr>
            </w:pPr>
            <w:r>
              <w:rPr>
                <w:sz w:val="20"/>
                <w:szCs w:val="20"/>
              </w:rPr>
              <w:t>Number of out-parcels sold</w:t>
            </w:r>
          </w:p>
        </w:tc>
        <w:tc>
          <w:tcPr>
            <w:tcW w:w="50" w:type="pct"/>
            <w:shd w:val="clear" w:color="auto" w:fill="FFFFFF"/>
            <w:vAlign w:val="bottom"/>
            <w:hideMark/>
          </w:tcPr>
          <w:p w14:paraId="4C4BBC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81717D"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0EB8F84" w14:textId="77777777" w:rsidR="00000000" w:rsidRDefault="00527094">
            <w:pPr>
              <w:jc w:val="right"/>
              <w:rPr>
                <w:rFonts w:eastAsia="Times New Roman"/>
                <w:sz w:val="20"/>
                <w:szCs w:val="20"/>
              </w:rPr>
            </w:pPr>
            <w:r>
              <w:rPr>
                <w:rFonts w:eastAsia="Times New Roman"/>
                <w:sz w:val="20"/>
                <w:szCs w:val="20"/>
              </w:rPr>
              <w:t>5</w:t>
            </w:r>
          </w:p>
        </w:tc>
        <w:tc>
          <w:tcPr>
            <w:tcW w:w="50" w:type="pct"/>
            <w:shd w:val="clear" w:color="auto" w:fill="FFFFFF"/>
            <w:vAlign w:val="bottom"/>
            <w:hideMark/>
          </w:tcPr>
          <w:p w14:paraId="77EDA34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9CC87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C3143D"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DEC12A4" w14:textId="77777777" w:rsidR="00000000" w:rsidRDefault="00527094">
            <w:pPr>
              <w:jc w:val="right"/>
              <w:rPr>
                <w:rFonts w:eastAsia="Times New Roman"/>
                <w:sz w:val="20"/>
                <w:szCs w:val="20"/>
              </w:rPr>
            </w:pPr>
            <w:r>
              <w:rPr>
                <w:rFonts w:eastAsia="Times New Roman"/>
                <w:sz w:val="20"/>
                <w:szCs w:val="20"/>
              </w:rPr>
              <w:t>2</w:t>
            </w:r>
          </w:p>
        </w:tc>
        <w:tc>
          <w:tcPr>
            <w:tcW w:w="50" w:type="pct"/>
            <w:shd w:val="clear" w:color="auto" w:fill="FFFFFF"/>
            <w:vAlign w:val="bottom"/>
            <w:hideMark/>
          </w:tcPr>
          <w:p w14:paraId="14941D69" w14:textId="77777777" w:rsidR="00000000" w:rsidRDefault="00527094">
            <w:pPr>
              <w:rPr>
                <w:rFonts w:eastAsia="Times New Roman"/>
                <w:sz w:val="20"/>
                <w:szCs w:val="20"/>
              </w:rPr>
            </w:pPr>
            <w:r>
              <w:rPr>
                <w:rFonts w:eastAsia="Times New Roman"/>
                <w:sz w:val="20"/>
                <w:szCs w:val="20"/>
              </w:rPr>
              <w:t> </w:t>
            </w:r>
          </w:p>
        </w:tc>
      </w:tr>
    </w:tbl>
    <w:p w14:paraId="50FA4531" w14:textId="77777777" w:rsidR="00000000" w:rsidRDefault="00527094">
      <w:pPr>
        <w:pStyle w:val="a3"/>
        <w:spacing w:before="0" w:beforeAutospacing="0" w:after="0" w:afterAutospacing="0"/>
        <w:ind w:firstLine="720"/>
        <w:jc w:val="both"/>
        <w:rPr>
          <w:sz w:val="20"/>
          <w:szCs w:val="20"/>
        </w:rPr>
      </w:pPr>
      <w:r>
        <w:rPr>
          <w:sz w:val="20"/>
          <w:szCs w:val="20"/>
        </w:rPr>
        <w:t> </w:t>
      </w:r>
    </w:p>
    <w:p w14:paraId="2C3D5347" w14:textId="77777777" w:rsidR="00000000" w:rsidRDefault="00527094">
      <w:pPr>
        <w:pStyle w:val="a3"/>
        <w:spacing w:before="0" w:beforeAutospacing="0" w:after="0" w:afterAutospacing="0"/>
        <w:jc w:val="both"/>
        <w:rPr>
          <w:sz w:val="20"/>
          <w:szCs w:val="20"/>
        </w:rPr>
      </w:pPr>
      <w:r>
        <w:rPr>
          <w:i/>
          <w:iCs/>
          <w:sz w:val="20"/>
          <w:szCs w:val="20"/>
        </w:rPr>
        <w:t>Impairments -</w:t>
      </w:r>
    </w:p>
    <w:p w14:paraId="47B0828A" w14:textId="77777777" w:rsidR="00000000" w:rsidRDefault="00527094">
      <w:pPr>
        <w:pStyle w:val="a3"/>
        <w:spacing w:before="0" w:beforeAutospacing="0" w:after="0" w:afterAutospacing="0"/>
        <w:jc w:val="both"/>
        <w:rPr>
          <w:sz w:val="20"/>
          <w:szCs w:val="20"/>
        </w:rPr>
      </w:pPr>
      <w:r>
        <w:rPr>
          <w:sz w:val="20"/>
          <w:szCs w:val="20"/>
        </w:rPr>
        <w:t> </w:t>
      </w:r>
    </w:p>
    <w:p w14:paraId="598CC75E"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 xml:space="preserve">the Company recognized aggregate impairment charges of $21.6 </w:t>
      </w:r>
      <w:r>
        <w:rPr>
          <w:sz w:val="20"/>
          <w:szCs w:val="20"/>
        </w:rPr>
        <w:t>million related to adjustments to property carrying values for properties which the Company has marketed for sale as part of its active capital recycling program and as such has adjusted the anticipated hold period for such properties. The Company’s estima</w:t>
      </w:r>
      <w:r>
        <w:rPr>
          <w:sz w:val="20"/>
          <w:szCs w:val="20"/>
        </w:rPr>
        <w:t>ted fair values of these properties were primarily based upon estimated sales prices from (i) signed contracts or letters of intent from</w:t>
      </w:r>
      <w:r>
        <w:rPr>
          <w:sz w:val="20"/>
          <w:szCs w:val="20"/>
        </w:rPr>
        <w:t xml:space="preserve"> </w:t>
      </w:r>
      <w:r>
        <w:rPr>
          <w:rStyle w:val="a6"/>
          <w:i w:val="0"/>
          <w:iCs w:val="0"/>
          <w:sz w:val="20"/>
          <w:szCs w:val="20"/>
        </w:rPr>
        <w:t>third</w:t>
      </w:r>
      <w:r>
        <w:rPr>
          <w:sz w:val="20"/>
          <w:szCs w:val="20"/>
        </w:rPr>
        <w:t xml:space="preserve"> party offers or (ii) discounted cash flow models. See Footnote</w:t>
      </w:r>
      <w:r>
        <w:rPr>
          <w:sz w:val="20"/>
          <w:szCs w:val="20"/>
        </w:rPr>
        <w:t xml:space="preserve"> </w:t>
      </w:r>
      <w:r>
        <w:rPr>
          <w:rStyle w:val="a6"/>
          <w:i w:val="0"/>
          <w:iCs w:val="0"/>
          <w:sz w:val="20"/>
          <w:szCs w:val="20"/>
        </w:rPr>
        <w:t>12</w:t>
      </w:r>
      <w:r>
        <w:rPr>
          <w:sz w:val="20"/>
          <w:szCs w:val="20"/>
        </w:rPr>
        <w:t xml:space="preserve"> </w:t>
      </w:r>
      <w:r>
        <w:rPr>
          <w:sz w:val="20"/>
          <w:szCs w:val="20"/>
        </w:rPr>
        <w:t>to the Notes to the Company’s Condensed Consolidated Financial Statements for fair value disclosure.</w:t>
      </w:r>
    </w:p>
    <w:p w14:paraId="08C935D2" w14:textId="77777777" w:rsidR="00000000" w:rsidRDefault="00527094">
      <w:pPr>
        <w:pStyle w:val="a3"/>
        <w:spacing w:before="0" w:beforeAutospacing="0" w:after="0" w:afterAutospacing="0"/>
        <w:ind w:firstLine="360"/>
        <w:jc w:val="both"/>
        <w:rPr>
          <w:sz w:val="20"/>
          <w:szCs w:val="20"/>
        </w:rPr>
      </w:pPr>
      <w:r>
        <w:rPr>
          <w:sz w:val="20"/>
          <w:szCs w:val="20"/>
        </w:rPr>
        <w:t> </w:t>
      </w:r>
    </w:p>
    <w:p w14:paraId="2A227682" w14:textId="77777777" w:rsidR="00000000" w:rsidRDefault="00527094">
      <w:pPr>
        <w:jc w:val="center"/>
        <w:divId w:val="1690330019"/>
        <w:rPr>
          <w:rFonts w:eastAsia="Times New Roman"/>
          <w:sz w:val="20"/>
          <w:szCs w:val="20"/>
        </w:rPr>
      </w:pPr>
      <w:r>
        <w:rPr>
          <w:rFonts w:eastAsia="Times New Roman"/>
          <w:sz w:val="20"/>
          <w:szCs w:val="20"/>
        </w:rPr>
        <w:t xml:space="preserve">14 </w:t>
      </w:r>
    </w:p>
    <w:p w14:paraId="07291C11" w14:textId="77777777" w:rsidR="00000000" w:rsidRDefault="00527094">
      <w:pPr>
        <w:divId w:val="1690330019"/>
        <w:rPr>
          <w:rFonts w:eastAsia="Times New Roman"/>
          <w:sz w:val="20"/>
          <w:szCs w:val="20"/>
        </w:rPr>
      </w:pPr>
      <w:r>
        <w:rPr>
          <w:rFonts w:eastAsia="Times New Roman"/>
          <w:sz w:val="20"/>
          <w:szCs w:val="20"/>
        </w:rPr>
        <w:pict w14:anchorId="666621CB">
          <v:rect id="_x0000_i1042" style="width:0;height:1.5pt" o:hralign="center" o:hrstd="t" o:hr="t" fillcolor="#a0a0a0" stroked="f"/>
        </w:pict>
      </w:r>
    </w:p>
    <w:p w14:paraId="4F266C8D" w14:textId="77777777" w:rsidR="00000000" w:rsidRDefault="00527094">
      <w:pPr>
        <w:divId w:val="16903300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01F35CB" w14:textId="77777777" w:rsidR="00000000" w:rsidRDefault="00527094">
      <w:pPr>
        <w:pStyle w:val="a3"/>
        <w:spacing w:before="0" w:beforeAutospacing="0" w:after="0" w:afterAutospacing="0"/>
        <w:rPr>
          <w:sz w:val="20"/>
          <w:szCs w:val="20"/>
        </w:rPr>
      </w:pPr>
      <w:r>
        <w:rPr>
          <w:sz w:val="20"/>
          <w:szCs w:val="20"/>
        </w:rPr>
        <w:t> </w:t>
      </w:r>
    </w:p>
    <w:p w14:paraId="185F54B0" w14:textId="77777777" w:rsidR="00000000" w:rsidRDefault="00527094">
      <w:pPr>
        <w:divId w:val="2038508151"/>
        <w:rPr>
          <w:rFonts w:eastAsia="Times New Roman"/>
          <w:sz w:val="20"/>
          <w:szCs w:val="20"/>
        </w:rPr>
      </w:pPr>
      <w:r>
        <w:rPr>
          <w:rFonts w:eastAsia="Times New Roman"/>
          <w:sz w:val="20"/>
          <w:szCs w:val="20"/>
        </w:rPr>
        <w:t xml:space="preserve">  </w:t>
      </w:r>
    </w:p>
    <w:p w14:paraId="1C40904C" w14:textId="77777777" w:rsidR="00000000" w:rsidRDefault="00527094">
      <w:pPr>
        <w:pStyle w:val="a3"/>
        <w:spacing w:before="0" w:beforeAutospacing="0" w:after="0" w:afterAutospacing="0"/>
        <w:jc w:val="both"/>
        <w:rPr>
          <w:sz w:val="20"/>
          <w:szCs w:val="20"/>
        </w:rPr>
      </w:pPr>
      <w:r>
        <w:rPr>
          <w:rStyle w:val="a6"/>
          <w:i w:val="0"/>
          <w:iCs w:val="0"/>
          <w:sz w:val="20"/>
          <w:szCs w:val="20"/>
        </w:rPr>
        <w:t>4.</w:t>
      </w:r>
      <w:r>
        <w:rPr>
          <w:sz w:val="20"/>
          <w:szCs w:val="20"/>
        </w:rPr>
        <w:t xml:space="preserve"> </w:t>
      </w:r>
      <w:r>
        <w:rPr>
          <w:sz w:val="20"/>
          <w:szCs w:val="20"/>
          <w:u w:val="single"/>
        </w:rPr>
        <w:t>Real Estate Under Development</w:t>
      </w:r>
    </w:p>
    <w:p w14:paraId="73EC7B76" w14:textId="77777777" w:rsidR="00000000" w:rsidRDefault="00527094">
      <w:pPr>
        <w:pStyle w:val="a3"/>
        <w:spacing w:before="0" w:beforeAutospacing="0" w:after="0" w:afterAutospacing="0"/>
        <w:jc w:val="both"/>
        <w:rPr>
          <w:sz w:val="20"/>
          <w:szCs w:val="20"/>
        </w:rPr>
      </w:pPr>
      <w:r>
        <w:rPr>
          <w:sz w:val="20"/>
          <w:szCs w:val="20"/>
        </w:rPr>
        <w:t> </w:t>
      </w:r>
    </w:p>
    <w:p w14:paraId="5249657D" w14:textId="77777777" w:rsidR="00000000" w:rsidRDefault="00527094">
      <w:pPr>
        <w:pStyle w:val="a3"/>
        <w:spacing w:before="0" w:beforeAutospacing="0" w:after="0" w:afterAutospacing="0"/>
        <w:ind w:firstLine="360"/>
        <w:jc w:val="both"/>
        <w:rPr>
          <w:sz w:val="20"/>
          <w:szCs w:val="20"/>
        </w:rPr>
      </w:pPr>
      <w:r>
        <w:rPr>
          <w:sz w:val="20"/>
          <w:szCs w:val="20"/>
        </w:rPr>
        <w:t>The Company is engaged in various real estate development projects for long-term investment. The costs incurred to date for these real estate development projects are as follows (in thousands):</w:t>
      </w:r>
    </w:p>
    <w:p w14:paraId="64C73D8E"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795"/>
        <w:gridCol w:w="1708"/>
        <w:gridCol w:w="63"/>
        <w:gridCol w:w="100"/>
        <w:gridCol w:w="1051"/>
        <w:gridCol w:w="63"/>
        <w:gridCol w:w="63"/>
        <w:gridCol w:w="101"/>
        <w:gridCol w:w="1052"/>
        <w:gridCol w:w="64"/>
      </w:tblGrid>
      <w:tr w:rsidR="00000000" w14:paraId="70E19B42" w14:textId="77777777">
        <w:trPr>
          <w:tblCellSpacing w:w="0" w:type="dxa"/>
        </w:trPr>
        <w:tc>
          <w:tcPr>
            <w:tcW w:w="1985" w:type="pct"/>
            <w:tcBorders>
              <w:bottom w:val="single" w:sz="6" w:space="0" w:color="000000"/>
            </w:tcBorders>
            <w:vAlign w:val="bottom"/>
            <w:hideMark/>
          </w:tcPr>
          <w:p w14:paraId="4A9165EC" w14:textId="77777777" w:rsidR="00000000" w:rsidRDefault="00527094">
            <w:pPr>
              <w:pStyle w:val="a3"/>
              <w:spacing w:before="0" w:beforeAutospacing="0" w:after="0" w:afterAutospacing="0"/>
              <w:rPr>
                <w:sz w:val="20"/>
                <w:szCs w:val="20"/>
              </w:rPr>
            </w:pPr>
            <w:r>
              <w:rPr>
                <w:b/>
                <w:bCs/>
                <w:sz w:val="20"/>
                <w:szCs w:val="20"/>
              </w:rPr>
              <w:t>Property Name</w:t>
            </w:r>
          </w:p>
        </w:tc>
        <w:tc>
          <w:tcPr>
            <w:tcW w:w="1215" w:type="pct"/>
            <w:tcBorders>
              <w:bottom w:val="single" w:sz="6" w:space="0" w:color="000000"/>
            </w:tcBorders>
            <w:vAlign w:val="bottom"/>
            <w:hideMark/>
          </w:tcPr>
          <w:p w14:paraId="46FFF9CF" w14:textId="77777777" w:rsidR="00000000" w:rsidRDefault="00527094">
            <w:pPr>
              <w:pStyle w:val="a3"/>
              <w:spacing w:before="0" w:beforeAutospacing="0" w:after="0" w:afterAutospacing="0"/>
              <w:rPr>
                <w:sz w:val="20"/>
                <w:szCs w:val="20"/>
              </w:rPr>
            </w:pPr>
            <w:r>
              <w:rPr>
                <w:b/>
                <w:bCs/>
                <w:sz w:val="20"/>
                <w:szCs w:val="20"/>
              </w:rPr>
              <w:t>Location</w:t>
            </w:r>
          </w:p>
        </w:tc>
        <w:tc>
          <w:tcPr>
            <w:tcW w:w="0" w:type="auto"/>
            <w:vAlign w:val="bottom"/>
            <w:hideMark/>
          </w:tcPr>
          <w:p w14:paraId="651F4354"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B66D224"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3298AD1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635D2BB"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9E21550" w14:textId="77777777" w:rsidR="00000000" w:rsidRDefault="00527094">
            <w:pPr>
              <w:pStyle w:val="a3"/>
              <w:spacing w:before="0" w:beforeAutospacing="0" w:after="0" w:afterAutospacing="0"/>
              <w:jc w:val="center"/>
              <w:rPr>
                <w:sz w:val="20"/>
                <w:szCs w:val="20"/>
              </w:rPr>
            </w:pPr>
            <w:r>
              <w:rPr>
                <w:b/>
                <w:bCs/>
                <w:sz w:val="20"/>
                <w:szCs w:val="20"/>
              </w:rPr>
              <w:t>December 31, 201</w:t>
            </w:r>
            <w:r>
              <w:rPr>
                <w:b/>
                <w:bCs/>
                <w:sz w:val="20"/>
                <w:szCs w:val="20"/>
              </w:rPr>
              <w:t>8</w:t>
            </w:r>
          </w:p>
        </w:tc>
        <w:tc>
          <w:tcPr>
            <w:tcW w:w="0" w:type="auto"/>
            <w:tcMar>
              <w:top w:w="0" w:type="dxa"/>
              <w:left w:w="0" w:type="dxa"/>
              <w:bottom w:w="15" w:type="dxa"/>
              <w:right w:w="0" w:type="dxa"/>
            </w:tcMar>
            <w:vAlign w:val="bottom"/>
            <w:hideMark/>
          </w:tcPr>
          <w:p w14:paraId="7158A5E8" w14:textId="77777777" w:rsidR="00000000" w:rsidRDefault="00527094">
            <w:pPr>
              <w:rPr>
                <w:rFonts w:eastAsia="Times New Roman"/>
                <w:sz w:val="20"/>
                <w:szCs w:val="20"/>
              </w:rPr>
            </w:pPr>
            <w:r>
              <w:rPr>
                <w:rFonts w:eastAsia="Times New Roman"/>
                <w:sz w:val="20"/>
                <w:szCs w:val="20"/>
              </w:rPr>
              <w:t> </w:t>
            </w:r>
          </w:p>
        </w:tc>
      </w:tr>
      <w:tr w:rsidR="00000000" w14:paraId="634FA6CB" w14:textId="77777777">
        <w:trPr>
          <w:tblCellSpacing w:w="0" w:type="dxa"/>
        </w:trPr>
        <w:tc>
          <w:tcPr>
            <w:tcW w:w="0" w:type="auto"/>
            <w:tcBorders>
              <w:bottom w:val="nil"/>
            </w:tcBorders>
            <w:shd w:val="clear" w:color="auto" w:fill="CCEEFF"/>
            <w:vAlign w:val="bottom"/>
            <w:hideMark/>
          </w:tcPr>
          <w:p w14:paraId="1A0E150F" w14:textId="77777777" w:rsidR="00000000" w:rsidRDefault="00527094">
            <w:pPr>
              <w:pStyle w:val="a3"/>
              <w:spacing w:before="0" w:beforeAutospacing="0" w:after="0" w:afterAutospacing="0"/>
              <w:rPr>
                <w:sz w:val="20"/>
                <w:szCs w:val="20"/>
              </w:rPr>
            </w:pPr>
            <w:r>
              <w:rPr>
                <w:sz w:val="20"/>
                <w:szCs w:val="20"/>
              </w:rPr>
              <w:t>Dania Pointe – Phases II, III and IV</w:t>
            </w:r>
          </w:p>
        </w:tc>
        <w:tc>
          <w:tcPr>
            <w:tcW w:w="0" w:type="auto"/>
            <w:tcBorders>
              <w:bottom w:val="nil"/>
            </w:tcBorders>
            <w:shd w:val="clear" w:color="auto" w:fill="CCEEFF"/>
            <w:vAlign w:val="bottom"/>
            <w:hideMark/>
          </w:tcPr>
          <w:p w14:paraId="294AB173" w14:textId="77777777" w:rsidR="00000000" w:rsidRDefault="00527094">
            <w:pPr>
              <w:pStyle w:val="a3"/>
              <w:spacing w:before="0" w:beforeAutospacing="0" w:after="0" w:afterAutospacing="0"/>
              <w:rPr>
                <w:sz w:val="20"/>
                <w:szCs w:val="20"/>
              </w:rPr>
            </w:pPr>
            <w:r>
              <w:rPr>
                <w:sz w:val="20"/>
                <w:szCs w:val="20"/>
              </w:rPr>
              <w:t>Dania Beach, FL</w:t>
            </w:r>
          </w:p>
        </w:tc>
        <w:tc>
          <w:tcPr>
            <w:tcW w:w="50" w:type="pct"/>
            <w:tcBorders>
              <w:bottom w:val="nil"/>
            </w:tcBorders>
            <w:shd w:val="clear" w:color="auto" w:fill="CCEEFF"/>
            <w:vAlign w:val="bottom"/>
            <w:hideMark/>
          </w:tcPr>
          <w:p w14:paraId="318649D1"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7CAA3E2" w14:textId="77777777" w:rsidR="00000000" w:rsidRDefault="0052709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03FDB71F" w14:textId="77777777" w:rsidR="00000000" w:rsidRDefault="00527094">
            <w:pPr>
              <w:jc w:val="right"/>
              <w:rPr>
                <w:rFonts w:eastAsia="Times New Roman"/>
                <w:sz w:val="20"/>
                <w:szCs w:val="20"/>
              </w:rPr>
            </w:pPr>
            <w:r>
              <w:rPr>
                <w:rFonts w:eastAsia="Times New Roman"/>
                <w:sz w:val="20"/>
                <w:szCs w:val="20"/>
              </w:rPr>
              <w:t>203,871</w:t>
            </w:r>
          </w:p>
        </w:tc>
        <w:tc>
          <w:tcPr>
            <w:tcW w:w="50" w:type="pct"/>
            <w:tcBorders>
              <w:bottom w:val="nil"/>
            </w:tcBorders>
            <w:shd w:val="clear" w:color="auto" w:fill="CCEEFF"/>
            <w:vAlign w:val="bottom"/>
            <w:hideMark/>
          </w:tcPr>
          <w:p w14:paraId="3766E592"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181EC8E"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05CC73E" w14:textId="77777777" w:rsidR="00000000" w:rsidRDefault="0052709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254968D" w14:textId="77777777" w:rsidR="00000000" w:rsidRDefault="00527094">
            <w:pPr>
              <w:jc w:val="right"/>
              <w:rPr>
                <w:rFonts w:eastAsia="Times New Roman"/>
                <w:sz w:val="20"/>
                <w:szCs w:val="20"/>
              </w:rPr>
            </w:pPr>
            <w:r>
              <w:rPr>
                <w:rFonts w:eastAsia="Times New Roman"/>
                <w:sz w:val="20"/>
                <w:szCs w:val="20"/>
              </w:rPr>
              <w:t>152,111</w:t>
            </w:r>
          </w:p>
        </w:tc>
        <w:tc>
          <w:tcPr>
            <w:tcW w:w="50" w:type="pct"/>
            <w:tcBorders>
              <w:bottom w:val="nil"/>
            </w:tcBorders>
            <w:shd w:val="clear" w:color="auto" w:fill="CCEEFF"/>
            <w:vAlign w:val="bottom"/>
            <w:hideMark/>
          </w:tcPr>
          <w:p w14:paraId="72207C5B" w14:textId="77777777" w:rsidR="00000000" w:rsidRDefault="00527094">
            <w:pPr>
              <w:rPr>
                <w:rFonts w:eastAsia="Times New Roman"/>
                <w:sz w:val="20"/>
                <w:szCs w:val="20"/>
              </w:rPr>
            </w:pPr>
            <w:r>
              <w:rPr>
                <w:rFonts w:eastAsia="Times New Roman"/>
                <w:sz w:val="20"/>
                <w:szCs w:val="20"/>
              </w:rPr>
              <w:t> </w:t>
            </w:r>
          </w:p>
        </w:tc>
      </w:tr>
      <w:tr w:rsidR="00000000" w14:paraId="4D466A6E" w14:textId="77777777">
        <w:trPr>
          <w:tblCellSpacing w:w="0" w:type="dxa"/>
        </w:trPr>
        <w:tc>
          <w:tcPr>
            <w:tcW w:w="0" w:type="auto"/>
            <w:shd w:val="clear" w:color="auto" w:fill="FFFFFF"/>
            <w:vAlign w:val="bottom"/>
            <w:hideMark/>
          </w:tcPr>
          <w:p w14:paraId="01BE9DC8" w14:textId="77777777" w:rsidR="00000000" w:rsidRDefault="00527094">
            <w:pPr>
              <w:pStyle w:val="a3"/>
              <w:spacing w:before="0" w:beforeAutospacing="0" w:after="0" w:afterAutospacing="0"/>
              <w:rPr>
                <w:sz w:val="20"/>
                <w:szCs w:val="20"/>
              </w:rPr>
            </w:pPr>
            <w:r>
              <w:rPr>
                <w:sz w:val="20"/>
                <w:szCs w:val="20"/>
              </w:rPr>
              <w:t>Mill Station</w:t>
            </w:r>
          </w:p>
        </w:tc>
        <w:tc>
          <w:tcPr>
            <w:tcW w:w="0" w:type="auto"/>
            <w:shd w:val="clear" w:color="auto" w:fill="FFFFFF"/>
            <w:vAlign w:val="bottom"/>
            <w:hideMark/>
          </w:tcPr>
          <w:p w14:paraId="08B7A194" w14:textId="77777777" w:rsidR="00000000" w:rsidRDefault="00527094">
            <w:pPr>
              <w:pStyle w:val="a3"/>
              <w:spacing w:before="0" w:beforeAutospacing="0" w:after="0" w:afterAutospacing="0"/>
              <w:rPr>
                <w:sz w:val="20"/>
                <w:szCs w:val="20"/>
              </w:rPr>
            </w:pPr>
            <w:r>
              <w:rPr>
                <w:sz w:val="20"/>
                <w:szCs w:val="20"/>
              </w:rPr>
              <w:t>Owings Mills, MD</w:t>
            </w:r>
          </w:p>
        </w:tc>
        <w:tc>
          <w:tcPr>
            <w:tcW w:w="50" w:type="pct"/>
            <w:shd w:val="clear" w:color="auto" w:fill="FFFFFF"/>
            <w:vAlign w:val="bottom"/>
            <w:hideMark/>
          </w:tcPr>
          <w:p w14:paraId="07BE6CC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60001A"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0F0ACA9" w14:textId="77777777" w:rsidR="00000000" w:rsidRDefault="00527094">
            <w:pPr>
              <w:jc w:val="right"/>
              <w:rPr>
                <w:rFonts w:eastAsia="Times New Roman"/>
                <w:sz w:val="20"/>
                <w:szCs w:val="20"/>
              </w:rPr>
            </w:pPr>
            <w:r>
              <w:rPr>
                <w:rFonts w:eastAsia="Times New Roman"/>
                <w:sz w:val="20"/>
                <w:szCs w:val="20"/>
              </w:rPr>
              <w:t>67,243</w:t>
            </w:r>
          </w:p>
        </w:tc>
        <w:tc>
          <w:tcPr>
            <w:tcW w:w="50" w:type="pct"/>
            <w:shd w:val="clear" w:color="auto" w:fill="FFFFFF"/>
            <w:vAlign w:val="bottom"/>
            <w:hideMark/>
          </w:tcPr>
          <w:p w14:paraId="7C1C795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6867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4868ED"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7EE1827" w14:textId="77777777" w:rsidR="00000000" w:rsidRDefault="00527094">
            <w:pPr>
              <w:jc w:val="right"/>
              <w:rPr>
                <w:rFonts w:eastAsia="Times New Roman"/>
                <w:sz w:val="20"/>
                <w:szCs w:val="20"/>
              </w:rPr>
            </w:pPr>
            <w:r>
              <w:rPr>
                <w:rFonts w:eastAsia="Times New Roman"/>
                <w:sz w:val="20"/>
                <w:szCs w:val="20"/>
              </w:rPr>
              <w:t>55,771</w:t>
            </w:r>
          </w:p>
        </w:tc>
        <w:tc>
          <w:tcPr>
            <w:tcW w:w="50" w:type="pct"/>
            <w:shd w:val="clear" w:color="auto" w:fill="FFFFFF"/>
            <w:vAlign w:val="bottom"/>
            <w:hideMark/>
          </w:tcPr>
          <w:p w14:paraId="442151A8" w14:textId="77777777" w:rsidR="00000000" w:rsidRDefault="00527094">
            <w:pPr>
              <w:rPr>
                <w:rFonts w:eastAsia="Times New Roman"/>
                <w:sz w:val="20"/>
                <w:szCs w:val="20"/>
              </w:rPr>
            </w:pPr>
            <w:r>
              <w:rPr>
                <w:rFonts w:eastAsia="Times New Roman"/>
                <w:sz w:val="20"/>
                <w:szCs w:val="20"/>
              </w:rPr>
              <w:t> </w:t>
            </w:r>
          </w:p>
        </w:tc>
      </w:tr>
      <w:tr w:rsidR="00000000" w14:paraId="3405A99B" w14:textId="77777777">
        <w:trPr>
          <w:tblCellSpacing w:w="0" w:type="dxa"/>
        </w:trPr>
        <w:tc>
          <w:tcPr>
            <w:tcW w:w="0" w:type="auto"/>
            <w:shd w:val="clear" w:color="auto" w:fill="CCEEFF"/>
            <w:vAlign w:val="bottom"/>
            <w:hideMark/>
          </w:tcPr>
          <w:p w14:paraId="216DD3FB" w14:textId="77777777" w:rsidR="00000000" w:rsidRDefault="00527094">
            <w:pPr>
              <w:pStyle w:val="a3"/>
              <w:spacing w:before="0" w:beforeAutospacing="0" w:after="0" w:afterAutospacing="0"/>
              <w:rPr>
                <w:sz w:val="20"/>
                <w:szCs w:val="20"/>
              </w:rPr>
            </w:pPr>
            <w:r>
              <w:rPr>
                <w:sz w:val="20"/>
                <w:szCs w:val="20"/>
              </w:rPr>
              <w:t>Promenade at Christiana (1)</w:t>
            </w:r>
          </w:p>
        </w:tc>
        <w:tc>
          <w:tcPr>
            <w:tcW w:w="0" w:type="auto"/>
            <w:shd w:val="clear" w:color="auto" w:fill="CCEEFF"/>
            <w:vAlign w:val="bottom"/>
            <w:hideMark/>
          </w:tcPr>
          <w:p w14:paraId="0D6A0BBE" w14:textId="77777777" w:rsidR="00000000" w:rsidRDefault="00527094">
            <w:pPr>
              <w:pStyle w:val="a3"/>
              <w:spacing w:before="0" w:beforeAutospacing="0" w:after="0" w:afterAutospacing="0"/>
              <w:rPr>
                <w:sz w:val="20"/>
                <w:szCs w:val="20"/>
              </w:rPr>
            </w:pPr>
            <w:r>
              <w:rPr>
                <w:sz w:val="20"/>
                <w:szCs w:val="20"/>
              </w:rPr>
              <w:t>New Castle, DE</w:t>
            </w:r>
          </w:p>
        </w:tc>
        <w:tc>
          <w:tcPr>
            <w:tcW w:w="50" w:type="pct"/>
            <w:shd w:val="clear" w:color="auto" w:fill="CCEEFF"/>
            <w:vAlign w:val="bottom"/>
            <w:hideMark/>
          </w:tcPr>
          <w:p w14:paraId="38513D6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FADA044" w14:textId="77777777" w:rsidR="00000000" w:rsidRDefault="00527094">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62EA103E" w14:textId="77777777" w:rsidR="00000000" w:rsidRDefault="00527094">
            <w:pPr>
              <w:jc w:val="right"/>
              <w:rPr>
                <w:rFonts w:eastAsia="Times New Roman"/>
                <w:sz w:val="20"/>
                <w:szCs w:val="20"/>
              </w:rPr>
            </w:pPr>
            <w:r>
              <w:rPr>
                <w:rFonts w:eastAsia="Times New Roman"/>
                <w:sz w:val="20"/>
                <w:szCs w:val="20"/>
              </w:rPr>
              <w:t>33,510</w:t>
            </w:r>
          </w:p>
        </w:tc>
        <w:tc>
          <w:tcPr>
            <w:tcW w:w="50" w:type="pct"/>
            <w:shd w:val="clear" w:color="auto" w:fill="CCEEFF"/>
            <w:tcMar>
              <w:top w:w="0" w:type="dxa"/>
              <w:left w:w="0" w:type="dxa"/>
              <w:bottom w:w="15" w:type="dxa"/>
              <w:right w:w="0" w:type="dxa"/>
            </w:tcMar>
            <w:vAlign w:val="bottom"/>
            <w:hideMark/>
          </w:tcPr>
          <w:p w14:paraId="487DF59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42636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EBB125" w14:textId="77777777" w:rsidR="00000000" w:rsidRDefault="00527094">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14:paraId="20F7ACAA" w14:textId="77777777" w:rsidR="00000000" w:rsidRDefault="00527094">
            <w:pPr>
              <w:jc w:val="right"/>
              <w:rPr>
                <w:rFonts w:eastAsia="Times New Roman"/>
                <w:sz w:val="20"/>
                <w:szCs w:val="20"/>
              </w:rPr>
            </w:pPr>
            <w:r>
              <w:rPr>
                <w:rFonts w:eastAsia="Times New Roman"/>
                <w:sz w:val="20"/>
                <w:szCs w:val="20"/>
              </w:rPr>
              <w:t>33,502</w:t>
            </w:r>
          </w:p>
        </w:tc>
        <w:tc>
          <w:tcPr>
            <w:tcW w:w="50" w:type="pct"/>
            <w:shd w:val="clear" w:color="auto" w:fill="CCEEFF"/>
            <w:tcMar>
              <w:top w:w="0" w:type="dxa"/>
              <w:left w:w="0" w:type="dxa"/>
              <w:bottom w:w="15" w:type="dxa"/>
              <w:right w:w="0" w:type="dxa"/>
            </w:tcMar>
            <w:vAlign w:val="bottom"/>
            <w:hideMark/>
          </w:tcPr>
          <w:p w14:paraId="58A7AF87" w14:textId="77777777" w:rsidR="00000000" w:rsidRDefault="00527094">
            <w:pPr>
              <w:rPr>
                <w:rFonts w:eastAsia="Times New Roman"/>
                <w:sz w:val="20"/>
                <w:szCs w:val="20"/>
              </w:rPr>
            </w:pPr>
            <w:r>
              <w:rPr>
                <w:rFonts w:eastAsia="Times New Roman"/>
                <w:sz w:val="20"/>
                <w:szCs w:val="20"/>
              </w:rPr>
              <w:t> </w:t>
            </w:r>
          </w:p>
        </w:tc>
      </w:tr>
      <w:tr w:rsidR="00000000" w14:paraId="4E326BD4" w14:textId="77777777">
        <w:trPr>
          <w:tblCellSpacing w:w="0" w:type="dxa"/>
        </w:trPr>
        <w:tc>
          <w:tcPr>
            <w:tcW w:w="0" w:type="auto"/>
            <w:gridSpan w:val="2"/>
            <w:shd w:val="clear" w:color="auto" w:fill="FFFFFF"/>
            <w:vAlign w:val="bottom"/>
            <w:hideMark/>
          </w:tcPr>
          <w:p w14:paraId="584877CC" w14:textId="77777777" w:rsidR="00000000" w:rsidRDefault="00527094">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14:paraId="6F28BACD"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89347AE" w14:textId="77777777" w:rsidR="00000000" w:rsidRDefault="00527094">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FFFFFF"/>
            <w:vAlign w:val="bottom"/>
            <w:hideMark/>
          </w:tcPr>
          <w:p w14:paraId="1531A5C5" w14:textId="77777777" w:rsidR="00000000" w:rsidRDefault="00527094">
            <w:pPr>
              <w:jc w:val="right"/>
              <w:rPr>
                <w:rFonts w:eastAsia="Times New Roman"/>
                <w:sz w:val="20"/>
                <w:szCs w:val="20"/>
              </w:rPr>
            </w:pPr>
            <w:r>
              <w:rPr>
                <w:rFonts w:eastAsia="Times New Roman"/>
                <w:sz w:val="20"/>
                <w:szCs w:val="20"/>
              </w:rPr>
              <w:t>304,624</w:t>
            </w:r>
          </w:p>
        </w:tc>
        <w:tc>
          <w:tcPr>
            <w:tcW w:w="50" w:type="pct"/>
            <w:shd w:val="clear" w:color="auto" w:fill="FFFFFF"/>
            <w:tcMar>
              <w:top w:w="0" w:type="dxa"/>
              <w:left w:w="0" w:type="dxa"/>
              <w:bottom w:w="45" w:type="dxa"/>
              <w:right w:w="0" w:type="dxa"/>
            </w:tcMar>
            <w:vAlign w:val="bottom"/>
            <w:hideMark/>
          </w:tcPr>
          <w:p w14:paraId="2CB13BF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55BAC3"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1EA8A61" w14:textId="77777777" w:rsidR="00000000" w:rsidRDefault="00527094">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FFFFFF"/>
            <w:vAlign w:val="bottom"/>
            <w:hideMark/>
          </w:tcPr>
          <w:p w14:paraId="5DCB8646" w14:textId="77777777" w:rsidR="00000000" w:rsidRDefault="00527094">
            <w:pPr>
              <w:jc w:val="right"/>
              <w:rPr>
                <w:rFonts w:eastAsia="Times New Roman"/>
                <w:sz w:val="20"/>
                <w:szCs w:val="20"/>
              </w:rPr>
            </w:pPr>
            <w:r>
              <w:rPr>
                <w:rFonts w:eastAsia="Times New Roman"/>
                <w:sz w:val="20"/>
                <w:szCs w:val="20"/>
              </w:rPr>
              <w:t>241,384</w:t>
            </w:r>
          </w:p>
        </w:tc>
        <w:tc>
          <w:tcPr>
            <w:tcW w:w="50" w:type="pct"/>
            <w:shd w:val="clear" w:color="auto" w:fill="FFFFFF"/>
            <w:tcMar>
              <w:top w:w="0" w:type="dxa"/>
              <w:left w:w="0" w:type="dxa"/>
              <w:bottom w:w="45" w:type="dxa"/>
              <w:right w:w="0" w:type="dxa"/>
            </w:tcMar>
            <w:vAlign w:val="bottom"/>
            <w:hideMark/>
          </w:tcPr>
          <w:p w14:paraId="63EB1FDE" w14:textId="77777777" w:rsidR="00000000" w:rsidRDefault="00527094">
            <w:pPr>
              <w:rPr>
                <w:rFonts w:eastAsia="Times New Roman"/>
                <w:sz w:val="20"/>
                <w:szCs w:val="20"/>
              </w:rPr>
            </w:pPr>
            <w:r>
              <w:rPr>
                <w:rFonts w:eastAsia="Times New Roman"/>
                <w:sz w:val="20"/>
                <w:szCs w:val="20"/>
              </w:rPr>
              <w:t> </w:t>
            </w:r>
          </w:p>
        </w:tc>
      </w:tr>
    </w:tbl>
    <w:p w14:paraId="7F5F783B" w14:textId="77777777" w:rsidR="00000000" w:rsidRDefault="00527094">
      <w:pPr>
        <w:pStyle w:val="a3"/>
        <w:spacing w:before="0" w:beforeAutospacing="0" w:after="0" w:afterAutospacing="0"/>
        <w:ind w:left="720"/>
        <w:jc w:val="both"/>
        <w:rPr>
          <w:sz w:val="20"/>
          <w:szCs w:val="20"/>
        </w:rPr>
      </w:pPr>
      <w:r>
        <w:rPr>
          <w:sz w:val="20"/>
          <w:szCs w:val="20"/>
        </w:rPr>
        <w:t> </w:t>
      </w:r>
    </w:p>
    <w:p w14:paraId="0C9475EF" w14:textId="77777777" w:rsidR="00000000" w:rsidRDefault="00527094">
      <w:pPr>
        <w:pStyle w:val="a3"/>
        <w:spacing w:before="0" w:beforeAutospacing="0" w:after="0" w:afterAutospacing="0"/>
        <w:ind w:left="540" w:hanging="180"/>
        <w:jc w:val="both"/>
        <w:rPr>
          <w:sz w:val="20"/>
          <w:szCs w:val="20"/>
        </w:rPr>
      </w:pPr>
      <w:r>
        <w:rPr>
          <w:sz w:val="20"/>
          <w:szCs w:val="20"/>
        </w:rPr>
        <w:t>* Includes capitalized costs of interest, real estate taxes, insurance, legal costs and payroll of $30.1 million and $24.9 million, as of</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respectively.</w:t>
      </w:r>
    </w:p>
    <w:p w14:paraId="367D0719" w14:textId="77777777" w:rsidR="00000000" w:rsidRDefault="00527094">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0BEAE4A" w14:textId="77777777">
        <w:trPr>
          <w:tblCellSpacing w:w="0" w:type="dxa"/>
        </w:trPr>
        <w:tc>
          <w:tcPr>
            <w:tcW w:w="360" w:type="dxa"/>
            <w:vAlign w:val="center"/>
            <w:hideMark/>
          </w:tcPr>
          <w:p w14:paraId="7586298A" w14:textId="77777777" w:rsidR="00000000" w:rsidRDefault="00527094">
            <w:pPr>
              <w:rPr>
                <w:rFonts w:eastAsia="Times New Roman"/>
                <w:sz w:val="20"/>
                <w:szCs w:val="20"/>
              </w:rPr>
            </w:pPr>
            <w:r>
              <w:rPr>
                <w:rFonts w:eastAsia="Times New Roman"/>
                <w:sz w:val="20"/>
                <w:szCs w:val="20"/>
              </w:rPr>
              <w:t> </w:t>
            </w:r>
          </w:p>
        </w:tc>
        <w:tc>
          <w:tcPr>
            <w:tcW w:w="360" w:type="dxa"/>
            <w:hideMark/>
          </w:tcPr>
          <w:p w14:paraId="36F47CB5"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5C61030B" w14:textId="77777777" w:rsidR="00000000" w:rsidRDefault="00527094">
            <w:pPr>
              <w:pStyle w:val="a3"/>
              <w:spacing w:before="0" w:beforeAutospacing="0" w:after="0" w:afterAutospacing="0"/>
              <w:jc w:val="both"/>
              <w:rPr>
                <w:sz w:val="20"/>
                <w:szCs w:val="20"/>
              </w:rPr>
            </w:pPr>
            <w:r>
              <w:rPr>
                <w:sz w:val="20"/>
                <w:szCs w:val="20"/>
              </w:rPr>
              <w:t>Project to be developed in the future.</w:t>
            </w:r>
          </w:p>
        </w:tc>
      </w:tr>
    </w:tbl>
    <w:p w14:paraId="7E3118EE" w14:textId="77777777" w:rsidR="00000000" w:rsidRDefault="00527094">
      <w:pPr>
        <w:pStyle w:val="a3"/>
        <w:spacing w:before="0" w:beforeAutospacing="0" w:after="0" w:afterAutospacing="0"/>
        <w:ind w:left="720"/>
        <w:jc w:val="both"/>
        <w:rPr>
          <w:sz w:val="20"/>
          <w:szCs w:val="20"/>
        </w:rPr>
      </w:pPr>
      <w:r>
        <w:rPr>
          <w:sz w:val="20"/>
          <w:szCs w:val="20"/>
        </w:rPr>
        <w:t> </w:t>
      </w:r>
    </w:p>
    <w:p w14:paraId="3C9670AD"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the Company capitalized (i) interest of $4.1 million, (ii) real estate taxes, insurance and legal costs of $0.4 million, and (iii) payroll of $0.7 million in connection wi</w:t>
      </w:r>
      <w:r>
        <w:rPr>
          <w:sz w:val="20"/>
          <w:szCs w:val="20"/>
        </w:rPr>
        <w:t>th its real estate development projects.</w:t>
      </w:r>
    </w:p>
    <w:p w14:paraId="726D6D65" w14:textId="77777777" w:rsidR="00000000" w:rsidRDefault="00527094">
      <w:pPr>
        <w:pStyle w:val="a3"/>
        <w:spacing w:before="0" w:beforeAutospacing="0" w:after="0" w:afterAutospacing="0"/>
        <w:ind w:firstLine="360"/>
        <w:jc w:val="both"/>
        <w:rPr>
          <w:sz w:val="20"/>
          <w:szCs w:val="20"/>
        </w:rPr>
      </w:pPr>
      <w:r>
        <w:rPr>
          <w:sz w:val="20"/>
          <w:szCs w:val="20"/>
        </w:rPr>
        <w:t> </w:t>
      </w:r>
    </w:p>
    <w:p w14:paraId="6B0A9FA5" w14:textId="77777777" w:rsidR="00000000" w:rsidRDefault="00527094">
      <w:pPr>
        <w:divId w:val="1781996993"/>
        <w:rPr>
          <w:rFonts w:eastAsia="Times New Roman"/>
          <w:sz w:val="20"/>
          <w:szCs w:val="20"/>
        </w:rPr>
      </w:pPr>
      <w:r>
        <w:rPr>
          <w:rFonts w:eastAsia="Times New Roman"/>
          <w:sz w:val="20"/>
          <w:szCs w:val="20"/>
        </w:rPr>
        <w:t xml:space="preserve">  </w:t>
      </w:r>
    </w:p>
    <w:p w14:paraId="119B62C6" w14:textId="77777777" w:rsidR="00000000" w:rsidRDefault="00527094">
      <w:pPr>
        <w:pStyle w:val="a3"/>
        <w:spacing w:before="0" w:beforeAutospacing="0" w:after="0" w:afterAutospacing="0"/>
        <w:jc w:val="both"/>
        <w:rPr>
          <w:sz w:val="20"/>
          <w:szCs w:val="20"/>
        </w:rPr>
      </w:pPr>
      <w:r>
        <w:rPr>
          <w:rStyle w:val="a6"/>
          <w:i w:val="0"/>
          <w:iCs w:val="0"/>
          <w:sz w:val="20"/>
          <w:szCs w:val="20"/>
        </w:rPr>
        <w:t>5.</w:t>
      </w:r>
      <w:r>
        <w:rPr>
          <w:sz w:val="20"/>
          <w:szCs w:val="20"/>
        </w:rPr>
        <w:t xml:space="preserve"> </w:t>
      </w:r>
      <w:r>
        <w:rPr>
          <w:sz w:val="20"/>
          <w:szCs w:val="20"/>
          <w:u w:val="single"/>
        </w:rPr>
        <w:t>Investments in and Advances to Real Estate Joint Ventures</w:t>
      </w:r>
    </w:p>
    <w:p w14:paraId="1128F3B7" w14:textId="77777777" w:rsidR="00000000" w:rsidRDefault="00527094">
      <w:pPr>
        <w:pStyle w:val="a3"/>
        <w:spacing w:before="0" w:beforeAutospacing="0" w:after="0" w:afterAutospacing="0"/>
        <w:jc w:val="both"/>
        <w:rPr>
          <w:sz w:val="20"/>
          <w:szCs w:val="20"/>
        </w:rPr>
      </w:pPr>
      <w:r>
        <w:rPr>
          <w:sz w:val="20"/>
          <w:szCs w:val="20"/>
        </w:rPr>
        <w:t> </w:t>
      </w:r>
    </w:p>
    <w:p w14:paraId="6B1A6648" w14:textId="77777777" w:rsidR="00000000" w:rsidRDefault="00527094">
      <w:pPr>
        <w:pStyle w:val="a3"/>
        <w:spacing w:before="0" w:beforeAutospacing="0" w:after="0" w:afterAutospacing="0"/>
        <w:ind w:firstLine="360"/>
        <w:jc w:val="both"/>
        <w:rPr>
          <w:sz w:val="20"/>
          <w:szCs w:val="20"/>
        </w:rPr>
      </w:pPr>
      <w:r>
        <w:rPr>
          <w:sz w:val="20"/>
          <w:szCs w:val="20"/>
        </w:rPr>
        <w:t>The Company has investments in and advances to various real estate joint ventures. These joint ventures are engaged primarily in the operation of s</w:t>
      </w:r>
      <w:r>
        <w:rPr>
          <w:sz w:val="20"/>
          <w:szCs w:val="20"/>
        </w:rPr>
        <w:t>hopping centers which are either owned or held under long-term operating leases. The Company and the joint venture partners have joint approval rights for major decisions, including those regarding property operations. As such, the Company holds noncontrol</w:t>
      </w:r>
      <w:r>
        <w:rPr>
          <w:sz w:val="20"/>
          <w:szCs w:val="20"/>
        </w:rPr>
        <w:t>ling interests in these joint ventures and accounts for them under the equity method of accounting.</w:t>
      </w:r>
    </w:p>
    <w:p w14:paraId="6ED2B7D6" w14:textId="77777777" w:rsidR="00000000" w:rsidRDefault="00527094">
      <w:pPr>
        <w:pStyle w:val="a3"/>
        <w:spacing w:before="0" w:beforeAutospacing="0" w:after="0" w:afterAutospacing="0"/>
        <w:ind w:left="360"/>
        <w:jc w:val="both"/>
        <w:rPr>
          <w:sz w:val="20"/>
          <w:szCs w:val="20"/>
        </w:rPr>
      </w:pPr>
      <w:r>
        <w:rPr>
          <w:sz w:val="20"/>
          <w:szCs w:val="20"/>
        </w:rPr>
        <w:t> </w:t>
      </w:r>
    </w:p>
    <w:p w14:paraId="24E38B4C" w14:textId="77777777" w:rsidR="00000000" w:rsidRDefault="00527094">
      <w:pPr>
        <w:pStyle w:val="a3"/>
        <w:spacing w:before="0" w:beforeAutospacing="0" w:after="0" w:afterAutospacing="0"/>
        <w:ind w:firstLine="360"/>
        <w:jc w:val="both"/>
        <w:rPr>
          <w:sz w:val="20"/>
          <w:szCs w:val="20"/>
        </w:rPr>
      </w:pPr>
      <w:r>
        <w:rPr>
          <w:sz w:val="20"/>
          <w:szCs w:val="20"/>
        </w:rPr>
        <w:t>The table below presents joint venture investments for which the Company held an ownership interest at</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December 31, 2018 (</w:t>
      </w:r>
      <w:r>
        <w:rPr>
          <w:sz w:val="20"/>
          <w:szCs w:val="20"/>
        </w:rPr>
        <w:t>dollars in mil</w:t>
      </w:r>
      <w:r>
        <w:rPr>
          <w:sz w:val="20"/>
          <w:szCs w:val="20"/>
        </w:rPr>
        <w:t>lions):</w:t>
      </w:r>
    </w:p>
    <w:p w14:paraId="4863B481"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32"/>
        <w:gridCol w:w="50"/>
        <w:gridCol w:w="165"/>
        <w:gridCol w:w="960"/>
        <w:gridCol w:w="50"/>
        <w:gridCol w:w="50"/>
        <w:gridCol w:w="214"/>
        <w:gridCol w:w="959"/>
        <w:gridCol w:w="50"/>
        <w:gridCol w:w="50"/>
        <w:gridCol w:w="215"/>
        <w:gridCol w:w="961"/>
        <w:gridCol w:w="50"/>
      </w:tblGrid>
      <w:tr w:rsidR="00000000" w14:paraId="038DB8CB" w14:textId="77777777">
        <w:trPr>
          <w:tblCellSpacing w:w="0" w:type="dxa"/>
        </w:trPr>
        <w:tc>
          <w:tcPr>
            <w:tcW w:w="0" w:type="auto"/>
            <w:vAlign w:val="bottom"/>
            <w:hideMark/>
          </w:tcPr>
          <w:p w14:paraId="3410A72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DE991C1" w14:textId="77777777" w:rsidR="00000000" w:rsidRDefault="00527094">
            <w:pPr>
              <w:rPr>
                <w:rFonts w:eastAsia="Times New Roman"/>
                <w:sz w:val="20"/>
                <w:szCs w:val="20"/>
              </w:rPr>
            </w:pPr>
            <w:r>
              <w:rPr>
                <w:rFonts w:eastAsia="Times New Roman"/>
                <w:sz w:val="20"/>
                <w:szCs w:val="20"/>
              </w:rPr>
              <w:t> </w:t>
            </w:r>
          </w:p>
        </w:tc>
        <w:tc>
          <w:tcPr>
            <w:tcW w:w="0" w:type="auto"/>
            <w:gridSpan w:val="2"/>
            <w:vAlign w:val="bottom"/>
            <w:hideMark/>
          </w:tcPr>
          <w:p w14:paraId="04898C5B" w14:textId="77777777" w:rsidR="00000000" w:rsidRDefault="00527094">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14:paraId="2BDA409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EEDEB20"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86222E3" w14:textId="77777777" w:rsidR="00000000" w:rsidRDefault="00527094">
            <w:pPr>
              <w:pStyle w:val="a3"/>
              <w:spacing w:before="0" w:beforeAutospacing="0" w:after="0" w:afterAutospacing="0"/>
              <w:jc w:val="center"/>
              <w:rPr>
                <w:sz w:val="20"/>
                <w:szCs w:val="20"/>
              </w:rPr>
            </w:pPr>
            <w:r>
              <w:rPr>
                <w:b/>
                <w:bCs/>
                <w:sz w:val="20"/>
                <w:szCs w:val="20"/>
              </w:rPr>
              <w:t>The Company's Investment</w:t>
            </w:r>
          </w:p>
        </w:tc>
        <w:tc>
          <w:tcPr>
            <w:tcW w:w="0" w:type="auto"/>
            <w:tcMar>
              <w:top w:w="0" w:type="dxa"/>
              <w:left w:w="0" w:type="dxa"/>
              <w:bottom w:w="15" w:type="dxa"/>
              <w:right w:w="0" w:type="dxa"/>
            </w:tcMar>
            <w:vAlign w:val="bottom"/>
            <w:hideMark/>
          </w:tcPr>
          <w:p w14:paraId="27E12679" w14:textId="77777777" w:rsidR="00000000" w:rsidRDefault="00527094">
            <w:pPr>
              <w:rPr>
                <w:rFonts w:eastAsia="Times New Roman"/>
                <w:sz w:val="20"/>
                <w:szCs w:val="20"/>
              </w:rPr>
            </w:pPr>
            <w:r>
              <w:rPr>
                <w:rFonts w:eastAsia="Times New Roman"/>
                <w:sz w:val="20"/>
                <w:szCs w:val="20"/>
              </w:rPr>
              <w:t> </w:t>
            </w:r>
          </w:p>
        </w:tc>
      </w:tr>
      <w:tr w:rsidR="00000000" w14:paraId="234791C1" w14:textId="77777777">
        <w:trPr>
          <w:tblCellSpacing w:w="0" w:type="dxa"/>
        </w:trPr>
        <w:tc>
          <w:tcPr>
            <w:tcW w:w="2750" w:type="pct"/>
            <w:tcBorders>
              <w:bottom w:val="single" w:sz="6" w:space="0" w:color="000000"/>
            </w:tcBorders>
            <w:vAlign w:val="bottom"/>
            <w:hideMark/>
          </w:tcPr>
          <w:p w14:paraId="6EF6E623" w14:textId="77777777" w:rsidR="00000000" w:rsidRDefault="00527094">
            <w:pPr>
              <w:pStyle w:val="a3"/>
              <w:spacing w:before="0" w:beforeAutospacing="0" w:after="0" w:afterAutospacing="0"/>
              <w:rPr>
                <w:sz w:val="20"/>
                <w:szCs w:val="20"/>
              </w:rPr>
            </w:pPr>
            <w:r>
              <w:rPr>
                <w:b/>
                <w:bCs/>
                <w:sz w:val="20"/>
                <w:szCs w:val="20"/>
              </w:rPr>
              <w:t>Joint Venture</w:t>
            </w:r>
          </w:p>
        </w:tc>
        <w:tc>
          <w:tcPr>
            <w:tcW w:w="0" w:type="auto"/>
            <w:vAlign w:val="bottom"/>
            <w:hideMark/>
          </w:tcPr>
          <w:p w14:paraId="10E7B4DE"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4126EB5" w14:textId="77777777" w:rsidR="00000000" w:rsidRDefault="00527094">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14:paraId="722DE93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65916E2"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2CFBA97"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7635E83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D19F953"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87E94E2" w14:textId="77777777" w:rsidR="00000000" w:rsidRDefault="00527094">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6B2270A0" w14:textId="77777777" w:rsidR="00000000" w:rsidRDefault="00527094">
            <w:pPr>
              <w:rPr>
                <w:rFonts w:eastAsia="Times New Roman"/>
                <w:sz w:val="20"/>
                <w:szCs w:val="20"/>
              </w:rPr>
            </w:pPr>
            <w:r>
              <w:rPr>
                <w:rFonts w:eastAsia="Times New Roman"/>
                <w:sz w:val="20"/>
                <w:szCs w:val="20"/>
              </w:rPr>
              <w:t> </w:t>
            </w:r>
          </w:p>
        </w:tc>
      </w:tr>
      <w:tr w:rsidR="00000000" w14:paraId="6EE7EBB8" w14:textId="77777777">
        <w:trPr>
          <w:tblCellSpacing w:w="0" w:type="dxa"/>
        </w:trPr>
        <w:tc>
          <w:tcPr>
            <w:tcW w:w="0" w:type="auto"/>
            <w:tcBorders>
              <w:bottom w:val="nil"/>
            </w:tcBorders>
            <w:shd w:val="clear" w:color="auto" w:fill="CCEEFF"/>
            <w:vAlign w:val="bottom"/>
            <w:hideMark/>
          </w:tcPr>
          <w:p w14:paraId="0BAF54AF" w14:textId="77777777" w:rsidR="00000000" w:rsidRDefault="00527094">
            <w:pPr>
              <w:pStyle w:val="a3"/>
              <w:spacing w:before="0" w:beforeAutospacing="0" w:after="0" w:afterAutospacing="0"/>
              <w:rPr>
                <w:sz w:val="20"/>
                <w:szCs w:val="20"/>
              </w:rPr>
            </w:pPr>
            <w:r>
              <w:rPr>
                <w:sz w:val="20"/>
                <w:szCs w:val="20"/>
              </w:rPr>
              <w:t>Prudential Investment Program (“KimPru” and “KimPru II”) (1) (2)</w:t>
            </w:r>
          </w:p>
        </w:tc>
        <w:tc>
          <w:tcPr>
            <w:tcW w:w="50" w:type="pct"/>
            <w:tcBorders>
              <w:bottom w:val="nil"/>
            </w:tcBorders>
            <w:shd w:val="clear" w:color="auto" w:fill="CCEEFF"/>
            <w:vAlign w:val="bottom"/>
            <w:hideMark/>
          </w:tcPr>
          <w:p w14:paraId="6050808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B60D6A1" w14:textId="77777777" w:rsidR="00000000" w:rsidRDefault="00527094">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1D168873" w14:textId="77777777" w:rsidR="00000000" w:rsidRDefault="00527094">
            <w:pPr>
              <w:ind w:left="114"/>
              <w:jc w:val="center"/>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14:paraId="047D72D5"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BAAFAB1"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96043AC" w14:textId="77777777" w:rsidR="00000000" w:rsidRDefault="00527094">
            <w:pPr>
              <w:ind w:left="114"/>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14:paraId="0D11027E" w14:textId="77777777" w:rsidR="00000000" w:rsidRDefault="00527094">
            <w:pPr>
              <w:ind w:left="114"/>
              <w:jc w:val="right"/>
              <w:rPr>
                <w:rFonts w:eastAsia="Times New Roman"/>
                <w:sz w:val="20"/>
                <w:szCs w:val="20"/>
              </w:rPr>
            </w:pPr>
            <w:r>
              <w:rPr>
                <w:rFonts w:eastAsia="Times New Roman"/>
                <w:sz w:val="20"/>
                <w:szCs w:val="20"/>
              </w:rPr>
              <w:t>176.5</w:t>
            </w:r>
          </w:p>
        </w:tc>
        <w:tc>
          <w:tcPr>
            <w:tcW w:w="50" w:type="pct"/>
            <w:tcBorders>
              <w:bottom w:val="nil"/>
            </w:tcBorders>
            <w:shd w:val="clear" w:color="auto" w:fill="CCEEFF"/>
            <w:vAlign w:val="bottom"/>
            <w:hideMark/>
          </w:tcPr>
          <w:p w14:paraId="6099498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A7A5B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8E9670" w14:textId="77777777" w:rsidR="00000000" w:rsidRDefault="00527094">
            <w:pPr>
              <w:ind w:left="114"/>
              <w:rPr>
                <w:rFonts w:eastAsia="Times New Roman"/>
                <w:sz w:val="20"/>
                <w:szCs w:val="20"/>
              </w:rPr>
            </w:pPr>
            <w:r>
              <w:rPr>
                <w:rFonts w:eastAsia="Times New Roman"/>
                <w:sz w:val="20"/>
                <w:szCs w:val="20"/>
              </w:rPr>
              <w:t>$</w:t>
            </w:r>
          </w:p>
        </w:tc>
        <w:tc>
          <w:tcPr>
            <w:tcW w:w="600" w:type="pct"/>
            <w:shd w:val="clear" w:color="auto" w:fill="CCEEFF"/>
            <w:vAlign w:val="bottom"/>
            <w:hideMark/>
          </w:tcPr>
          <w:p w14:paraId="562DF884" w14:textId="77777777" w:rsidR="00000000" w:rsidRDefault="00527094">
            <w:pPr>
              <w:ind w:left="114"/>
              <w:jc w:val="right"/>
              <w:rPr>
                <w:rFonts w:eastAsia="Times New Roman"/>
                <w:sz w:val="20"/>
                <w:szCs w:val="20"/>
              </w:rPr>
            </w:pPr>
            <w:r>
              <w:rPr>
                <w:rFonts w:eastAsia="Times New Roman"/>
                <w:sz w:val="20"/>
                <w:szCs w:val="20"/>
              </w:rPr>
              <w:t>175.2</w:t>
            </w:r>
          </w:p>
        </w:tc>
        <w:tc>
          <w:tcPr>
            <w:tcW w:w="50" w:type="pct"/>
            <w:shd w:val="clear" w:color="auto" w:fill="CCEEFF"/>
            <w:vAlign w:val="bottom"/>
            <w:hideMark/>
          </w:tcPr>
          <w:p w14:paraId="3CA3B1C7" w14:textId="77777777" w:rsidR="00000000" w:rsidRDefault="00527094">
            <w:pPr>
              <w:rPr>
                <w:rFonts w:eastAsia="Times New Roman"/>
                <w:sz w:val="20"/>
                <w:szCs w:val="20"/>
              </w:rPr>
            </w:pPr>
            <w:r>
              <w:rPr>
                <w:rFonts w:eastAsia="Times New Roman"/>
                <w:sz w:val="20"/>
                <w:szCs w:val="20"/>
              </w:rPr>
              <w:t> </w:t>
            </w:r>
          </w:p>
        </w:tc>
      </w:tr>
      <w:tr w:rsidR="00000000" w14:paraId="0998FB46" w14:textId="77777777">
        <w:trPr>
          <w:tblCellSpacing w:w="0" w:type="dxa"/>
        </w:trPr>
        <w:tc>
          <w:tcPr>
            <w:tcW w:w="0" w:type="auto"/>
            <w:shd w:val="clear" w:color="auto" w:fill="FFFFFF"/>
            <w:vAlign w:val="bottom"/>
            <w:hideMark/>
          </w:tcPr>
          <w:p w14:paraId="524AD62C" w14:textId="77777777" w:rsidR="00000000" w:rsidRDefault="00527094">
            <w:pPr>
              <w:pStyle w:val="a3"/>
              <w:spacing w:before="0" w:beforeAutospacing="0" w:after="0" w:afterAutospacing="0"/>
              <w:rPr>
                <w:sz w:val="20"/>
                <w:szCs w:val="20"/>
              </w:rPr>
            </w:pPr>
            <w:r>
              <w:rPr>
                <w:sz w:val="20"/>
                <w:szCs w:val="20"/>
              </w:rPr>
              <w:t>Kimco Income Opportunity Portfolio (“KIR”) (2)</w:t>
            </w:r>
          </w:p>
        </w:tc>
        <w:tc>
          <w:tcPr>
            <w:tcW w:w="50" w:type="pct"/>
            <w:shd w:val="clear" w:color="auto" w:fill="FFFFFF"/>
            <w:vAlign w:val="bottom"/>
            <w:hideMark/>
          </w:tcPr>
          <w:p w14:paraId="1C0738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0474D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203344C" w14:textId="77777777" w:rsidR="00000000" w:rsidRDefault="00527094">
            <w:pPr>
              <w:ind w:left="114"/>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14:paraId="3FFA196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AE784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4974DD"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515354E" w14:textId="77777777" w:rsidR="00000000" w:rsidRDefault="00527094">
            <w:pPr>
              <w:ind w:left="114"/>
              <w:jc w:val="right"/>
              <w:rPr>
                <w:rFonts w:eastAsia="Times New Roman"/>
                <w:sz w:val="20"/>
                <w:szCs w:val="20"/>
              </w:rPr>
            </w:pPr>
            <w:r>
              <w:rPr>
                <w:rFonts w:eastAsia="Times New Roman"/>
                <w:sz w:val="20"/>
                <w:szCs w:val="20"/>
              </w:rPr>
              <w:t>170.6</w:t>
            </w:r>
          </w:p>
        </w:tc>
        <w:tc>
          <w:tcPr>
            <w:tcW w:w="50" w:type="pct"/>
            <w:shd w:val="clear" w:color="auto" w:fill="FFFFFF"/>
            <w:vAlign w:val="bottom"/>
            <w:hideMark/>
          </w:tcPr>
          <w:p w14:paraId="69AA9D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763D4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190C5B"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BFBD0CF" w14:textId="77777777" w:rsidR="00000000" w:rsidRDefault="00527094">
            <w:pPr>
              <w:ind w:left="114"/>
              <w:jc w:val="right"/>
              <w:rPr>
                <w:rFonts w:eastAsia="Times New Roman"/>
                <w:sz w:val="20"/>
                <w:szCs w:val="20"/>
              </w:rPr>
            </w:pPr>
            <w:r>
              <w:rPr>
                <w:rFonts w:eastAsia="Times New Roman"/>
                <w:sz w:val="20"/>
                <w:szCs w:val="20"/>
              </w:rPr>
              <w:t>167.2</w:t>
            </w:r>
          </w:p>
        </w:tc>
        <w:tc>
          <w:tcPr>
            <w:tcW w:w="50" w:type="pct"/>
            <w:shd w:val="clear" w:color="auto" w:fill="FFFFFF"/>
            <w:vAlign w:val="bottom"/>
            <w:hideMark/>
          </w:tcPr>
          <w:p w14:paraId="26864F32" w14:textId="77777777" w:rsidR="00000000" w:rsidRDefault="00527094">
            <w:pPr>
              <w:rPr>
                <w:rFonts w:eastAsia="Times New Roman"/>
                <w:sz w:val="20"/>
                <w:szCs w:val="20"/>
              </w:rPr>
            </w:pPr>
            <w:r>
              <w:rPr>
                <w:rFonts w:eastAsia="Times New Roman"/>
                <w:sz w:val="20"/>
                <w:szCs w:val="20"/>
              </w:rPr>
              <w:t> </w:t>
            </w:r>
          </w:p>
        </w:tc>
      </w:tr>
      <w:tr w:rsidR="00000000" w14:paraId="65DAB336" w14:textId="77777777">
        <w:trPr>
          <w:tblCellSpacing w:w="0" w:type="dxa"/>
        </w:trPr>
        <w:tc>
          <w:tcPr>
            <w:tcW w:w="0" w:type="auto"/>
            <w:shd w:val="clear" w:color="auto" w:fill="CCEEFF"/>
            <w:vAlign w:val="bottom"/>
            <w:hideMark/>
          </w:tcPr>
          <w:p w14:paraId="4CEC5231" w14:textId="77777777" w:rsidR="00000000" w:rsidRDefault="00527094">
            <w:pPr>
              <w:pStyle w:val="a3"/>
              <w:spacing w:before="0" w:beforeAutospacing="0" w:after="0" w:afterAutospacing="0"/>
              <w:rPr>
                <w:sz w:val="20"/>
                <w:szCs w:val="20"/>
              </w:rPr>
            </w:pPr>
            <w:r>
              <w:rPr>
                <w:sz w:val="20"/>
                <w:szCs w:val="20"/>
              </w:rPr>
              <w:t>Canada Pension Plan Investment Board (“CPP”) (2)</w:t>
            </w:r>
          </w:p>
        </w:tc>
        <w:tc>
          <w:tcPr>
            <w:tcW w:w="50" w:type="pct"/>
            <w:shd w:val="clear" w:color="auto" w:fill="CCEEFF"/>
            <w:vAlign w:val="bottom"/>
            <w:hideMark/>
          </w:tcPr>
          <w:p w14:paraId="211A109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FC700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2630607" w14:textId="77777777" w:rsidR="00000000" w:rsidRDefault="00527094">
            <w:pPr>
              <w:ind w:left="114"/>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7BEAFEA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382AC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CDF386"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20456B7" w14:textId="77777777" w:rsidR="00000000" w:rsidRDefault="00527094">
            <w:pPr>
              <w:ind w:left="114"/>
              <w:jc w:val="right"/>
              <w:rPr>
                <w:rFonts w:eastAsia="Times New Roman"/>
                <w:sz w:val="20"/>
                <w:szCs w:val="20"/>
              </w:rPr>
            </w:pPr>
            <w:r>
              <w:rPr>
                <w:rFonts w:eastAsia="Times New Roman"/>
                <w:sz w:val="20"/>
                <w:szCs w:val="20"/>
              </w:rPr>
              <w:t>146.1</w:t>
            </w:r>
          </w:p>
        </w:tc>
        <w:tc>
          <w:tcPr>
            <w:tcW w:w="50" w:type="pct"/>
            <w:shd w:val="clear" w:color="auto" w:fill="CCEEFF"/>
            <w:vAlign w:val="bottom"/>
            <w:hideMark/>
          </w:tcPr>
          <w:p w14:paraId="4B7F732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71CD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D5424B"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35D22C4" w14:textId="77777777" w:rsidR="00000000" w:rsidRDefault="00527094">
            <w:pPr>
              <w:ind w:left="114"/>
              <w:jc w:val="right"/>
              <w:rPr>
                <w:rFonts w:eastAsia="Times New Roman"/>
                <w:sz w:val="20"/>
                <w:szCs w:val="20"/>
              </w:rPr>
            </w:pPr>
            <w:r>
              <w:rPr>
                <w:rFonts w:eastAsia="Times New Roman"/>
                <w:sz w:val="20"/>
                <w:szCs w:val="20"/>
              </w:rPr>
              <w:t>135.0</w:t>
            </w:r>
          </w:p>
        </w:tc>
        <w:tc>
          <w:tcPr>
            <w:tcW w:w="50" w:type="pct"/>
            <w:shd w:val="clear" w:color="auto" w:fill="CCEEFF"/>
            <w:vAlign w:val="bottom"/>
            <w:hideMark/>
          </w:tcPr>
          <w:p w14:paraId="070BAC39" w14:textId="77777777" w:rsidR="00000000" w:rsidRDefault="00527094">
            <w:pPr>
              <w:rPr>
                <w:rFonts w:eastAsia="Times New Roman"/>
                <w:sz w:val="20"/>
                <w:szCs w:val="20"/>
              </w:rPr>
            </w:pPr>
            <w:r>
              <w:rPr>
                <w:rFonts w:eastAsia="Times New Roman"/>
                <w:sz w:val="20"/>
                <w:szCs w:val="20"/>
              </w:rPr>
              <w:t> </w:t>
            </w:r>
          </w:p>
        </w:tc>
      </w:tr>
      <w:tr w:rsidR="00000000" w14:paraId="3AAFAB0E" w14:textId="77777777">
        <w:trPr>
          <w:tblCellSpacing w:w="0" w:type="dxa"/>
        </w:trPr>
        <w:tc>
          <w:tcPr>
            <w:tcW w:w="0" w:type="auto"/>
            <w:shd w:val="clear" w:color="auto" w:fill="FFFFFF"/>
            <w:vAlign w:val="bottom"/>
            <w:hideMark/>
          </w:tcPr>
          <w:p w14:paraId="121A1AC7" w14:textId="77777777" w:rsidR="00000000" w:rsidRDefault="00527094">
            <w:pPr>
              <w:pStyle w:val="a3"/>
              <w:spacing w:before="0" w:beforeAutospacing="0" w:after="0" w:afterAutospacing="0"/>
              <w:rPr>
                <w:sz w:val="20"/>
                <w:szCs w:val="20"/>
              </w:rPr>
            </w:pPr>
            <w:r>
              <w:rPr>
                <w:sz w:val="20"/>
                <w:szCs w:val="20"/>
              </w:rPr>
              <w:t>Other Joint Venture Programs</w:t>
            </w:r>
          </w:p>
        </w:tc>
        <w:tc>
          <w:tcPr>
            <w:tcW w:w="0" w:type="auto"/>
            <w:shd w:val="clear" w:color="auto" w:fill="FFFFFF"/>
            <w:tcMar>
              <w:top w:w="0" w:type="dxa"/>
              <w:left w:w="0" w:type="dxa"/>
              <w:bottom w:w="15" w:type="dxa"/>
              <w:right w:w="0" w:type="dxa"/>
            </w:tcMar>
            <w:vAlign w:val="bottom"/>
            <w:hideMark/>
          </w:tcPr>
          <w:p w14:paraId="0E81F6F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B73AA" w14:textId="77777777" w:rsidR="00000000" w:rsidRDefault="00527094">
            <w:pPr>
              <w:pStyle w:val="a3"/>
              <w:spacing w:before="0" w:beforeAutospacing="0" w:after="0" w:afterAutospacing="0"/>
              <w:ind w:left="228" w:hanging="114"/>
              <w:jc w:val="center"/>
              <w:rPr>
                <w:sz w:val="20"/>
                <w:szCs w:val="20"/>
              </w:rPr>
            </w:pPr>
            <w:r>
              <w:rPr>
                <w:sz w:val="20"/>
                <w:szCs w:val="20"/>
              </w:rPr>
              <w:t> </w:t>
            </w:r>
          </w:p>
        </w:tc>
        <w:tc>
          <w:tcPr>
            <w:tcW w:w="0" w:type="auto"/>
            <w:shd w:val="clear" w:color="auto" w:fill="FFFFFF"/>
            <w:vAlign w:val="bottom"/>
            <w:hideMark/>
          </w:tcPr>
          <w:p w14:paraId="25C0FAC1" w14:textId="77777777" w:rsidR="00000000" w:rsidRDefault="00527094">
            <w:pPr>
              <w:ind w:left="114"/>
              <w:jc w:val="center"/>
              <w:rPr>
                <w:rFonts w:eastAsia="Times New Roman"/>
                <w:sz w:val="20"/>
                <w:szCs w:val="20"/>
              </w:rPr>
            </w:pPr>
            <w:r>
              <w:rPr>
                <w:rStyle w:val="a6"/>
                <w:rFonts w:eastAsia="Times New Roman"/>
                <w:i w:val="0"/>
                <w:iCs w:val="0"/>
                <w:sz w:val="20"/>
                <w:szCs w:val="20"/>
              </w:rPr>
              <w:t>Various</w:t>
            </w:r>
          </w:p>
        </w:tc>
        <w:tc>
          <w:tcPr>
            <w:tcW w:w="0" w:type="auto"/>
            <w:shd w:val="clear" w:color="auto" w:fill="FFFFFF"/>
            <w:vAlign w:val="bottom"/>
            <w:hideMark/>
          </w:tcPr>
          <w:p w14:paraId="7760883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56987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E24226B"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B4908CA" w14:textId="77777777" w:rsidR="00000000" w:rsidRDefault="00527094">
            <w:pPr>
              <w:ind w:left="114"/>
              <w:jc w:val="right"/>
              <w:rPr>
                <w:rFonts w:eastAsia="Times New Roman"/>
                <w:sz w:val="20"/>
                <w:szCs w:val="20"/>
              </w:rPr>
            </w:pPr>
            <w:r>
              <w:rPr>
                <w:rFonts w:eastAsia="Times New Roman"/>
                <w:sz w:val="20"/>
                <w:szCs w:val="20"/>
              </w:rPr>
              <w:t>91.8</w:t>
            </w:r>
          </w:p>
        </w:tc>
        <w:tc>
          <w:tcPr>
            <w:tcW w:w="50" w:type="pct"/>
            <w:shd w:val="clear" w:color="auto" w:fill="FFFFFF"/>
            <w:vAlign w:val="bottom"/>
            <w:hideMark/>
          </w:tcPr>
          <w:p w14:paraId="5BE2DD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54EF8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A767EA3"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EE51691" w14:textId="77777777" w:rsidR="00000000" w:rsidRDefault="00527094">
            <w:pPr>
              <w:ind w:left="114"/>
              <w:jc w:val="right"/>
              <w:rPr>
                <w:rFonts w:eastAsia="Times New Roman"/>
                <w:sz w:val="20"/>
                <w:szCs w:val="20"/>
              </w:rPr>
            </w:pPr>
            <w:r>
              <w:rPr>
                <w:rFonts w:eastAsia="Times New Roman"/>
                <w:sz w:val="20"/>
                <w:szCs w:val="20"/>
              </w:rPr>
              <w:t>93.5</w:t>
            </w:r>
          </w:p>
        </w:tc>
        <w:tc>
          <w:tcPr>
            <w:tcW w:w="50" w:type="pct"/>
            <w:shd w:val="clear" w:color="auto" w:fill="FFFFFF"/>
            <w:vAlign w:val="bottom"/>
            <w:hideMark/>
          </w:tcPr>
          <w:p w14:paraId="659FB355" w14:textId="77777777" w:rsidR="00000000" w:rsidRDefault="00527094">
            <w:pPr>
              <w:rPr>
                <w:rFonts w:eastAsia="Times New Roman"/>
                <w:sz w:val="20"/>
                <w:szCs w:val="20"/>
              </w:rPr>
            </w:pPr>
            <w:r>
              <w:rPr>
                <w:rFonts w:eastAsia="Times New Roman"/>
                <w:sz w:val="20"/>
                <w:szCs w:val="20"/>
              </w:rPr>
              <w:t> </w:t>
            </w:r>
          </w:p>
        </w:tc>
      </w:tr>
      <w:tr w:rsidR="00000000" w14:paraId="6BD68689" w14:textId="77777777">
        <w:trPr>
          <w:tblCellSpacing w:w="0" w:type="dxa"/>
        </w:trPr>
        <w:tc>
          <w:tcPr>
            <w:tcW w:w="0" w:type="auto"/>
            <w:shd w:val="clear" w:color="auto" w:fill="CCEEFF"/>
            <w:vAlign w:val="bottom"/>
            <w:hideMark/>
          </w:tcPr>
          <w:p w14:paraId="00421680" w14:textId="77777777" w:rsidR="00000000" w:rsidRDefault="00527094">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14:paraId="0265DAE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AD44A"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0FEE7F9" w14:textId="77777777" w:rsidR="00000000" w:rsidRDefault="00527094">
            <w:pPr>
              <w:jc w:val="right"/>
              <w:rPr>
                <w:rFonts w:eastAsia="Times New Roman"/>
                <w:sz w:val="20"/>
                <w:szCs w:val="20"/>
              </w:rPr>
            </w:pPr>
            <w:r>
              <w:rPr>
                <w:rStyle w:val="a6"/>
                <w:rFonts w:eastAsia="Times New Roman"/>
                <w:b/>
                <w:bCs/>
                <w:i w:val="0"/>
                <w:iCs w:val="0"/>
                <w:sz w:val="20"/>
                <w:szCs w:val="20"/>
              </w:rPr>
              <w:t> </w:t>
            </w:r>
          </w:p>
        </w:tc>
        <w:tc>
          <w:tcPr>
            <w:tcW w:w="0" w:type="auto"/>
            <w:shd w:val="clear" w:color="auto" w:fill="CCEEFF"/>
            <w:tcMar>
              <w:top w:w="0" w:type="dxa"/>
              <w:left w:w="0" w:type="dxa"/>
              <w:bottom w:w="45" w:type="dxa"/>
              <w:right w:w="0" w:type="dxa"/>
            </w:tcMar>
            <w:vAlign w:val="bottom"/>
            <w:hideMark/>
          </w:tcPr>
          <w:p w14:paraId="6E1611E2" w14:textId="77777777" w:rsidR="00000000" w:rsidRDefault="0052709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FB90C2A"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148FA2" w14:textId="77777777" w:rsidR="00000000" w:rsidRDefault="00527094">
            <w:pPr>
              <w:ind w:left="114"/>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04D714AB" w14:textId="77777777" w:rsidR="00000000" w:rsidRDefault="00527094">
            <w:pPr>
              <w:ind w:left="114"/>
              <w:jc w:val="right"/>
              <w:rPr>
                <w:rFonts w:eastAsia="Times New Roman"/>
                <w:sz w:val="20"/>
                <w:szCs w:val="20"/>
              </w:rPr>
            </w:pPr>
            <w:r>
              <w:rPr>
                <w:rFonts w:eastAsia="Times New Roman"/>
                <w:sz w:val="20"/>
                <w:szCs w:val="20"/>
              </w:rPr>
              <w:t>585.0</w:t>
            </w:r>
          </w:p>
        </w:tc>
        <w:tc>
          <w:tcPr>
            <w:tcW w:w="50" w:type="pct"/>
            <w:shd w:val="clear" w:color="auto" w:fill="CCEEFF"/>
            <w:tcMar>
              <w:top w:w="0" w:type="dxa"/>
              <w:left w:w="0" w:type="dxa"/>
              <w:bottom w:w="45" w:type="dxa"/>
              <w:right w:w="0" w:type="dxa"/>
            </w:tcMar>
            <w:vAlign w:val="bottom"/>
            <w:hideMark/>
          </w:tcPr>
          <w:p w14:paraId="4A409D4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DF106D"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785F8B2" w14:textId="77777777" w:rsidR="00000000" w:rsidRDefault="00527094">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59A288FF" w14:textId="77777777" w:rsidR="00000000" w:rsidRDefault="00527094">
            <w:pPr>
              <w:jc w:val="right"/>
              <w:rPr>
                <w:rFonts w:eastAsia="Times New Roman"/>
                <w:sz w:val="20"/>
                <w:szCs w:val="20"/>
              </w:rPr>
            </w:pPr>
            <w:r>
              <w:rPr>
                <w:rFonts w:eastAsia="Times New Roman"/>
                <w:sz w:val="20"/>
                <w:szCs w:val="20"/>
              </w:rPr>
              <w:t>570.9</w:t>
            </w:r>
          </w:p>
        </w:tc>
        <w:tc>
          <w:tcPr>
            <w:tcW w:w="50" w:type="pct"/>
            <w:shd w:val="clear" w:color="auto" w:fill="CCEEFF"/>
            <w:tcMar>
              <w:top w:w="0" w:type="dxa"/>
              <w:left w:w="0" w:type="dxa"/>
              <w:bottom w:w="45" w:type="dxa"/>
              <w:right w:w="0" w:type="dxa"/>
            </w:tcMar>
            <w:vAlign w:val="bottom"/>
            <w:hideMark/>
          </w:tcPr>
          <w:p w14:paraId="4B6E91A7" w14:textId="77777777" w:rsidR="00000000" w:rsidRDefault="00527094">
            <w:pPr>
              <w:rPr>
                <w:rFonts w:eastAsia="Times New Roman"/>
                <w:sz w:val="20"/>
                <w:szCs w:val="20"/>
              </w:rPr>
            </w:pPr>
            <w:r>
              <w:rPr>
                <w:rFonts w:eastAsia="Times New Roman"/>
                <w:sz w:val="20"/>
                <w:szCs w:val="20"/>
              </w:rPr>
              <w:t> </w:t>
            </w:r>
          </w:p>
        </w:tc>
      </w:tr>
    </w:tbl>
    <w:p w14:paraId="1FF431EE" w14:textId="77777777" w:rsidR="00000000" w:rsidRDefault="00527094">
      <w:pPr>
        <w:pStyle w:val="a3"/>
        <w:spacing w:before="0" w:beforeAutospacing="0" w:after="0" w:afterAutospacing="0"/>
        <w:jc w:val="both"/>
        <w:rPr>
          <w:sz w:val="20"/>
          <w:szCs w:val="20"/>
        </w:rPr>
      </w:pPr>
      <w:r>
        <w:rPr>
          <w:sz w:val="20"/>
          <w:szCs w:val="20"/>
        </w:rPr>
        <w:t> </w:t>
      </w:r>
    </w:p>
    <w:p w14:paraId="762C2A2F" w14:textId="77777777" w:rsidR="00000000" w:rsidRDefault="00527094">
      <w:pPr>
        <w:pStyle w:val="a3"/>
        <w:spacing w:before="0" w:beforeAutospacing="0" w:after="0" w:afterAutospacing="0"/>
        <w:ind w:left="360" w:hanging="180"/>
        <w:jc w:val="both"/>
        <w:rPr>
          <w:sz w:val="20"/>
          <w:szCs w:val="20"/>
        </w:rPr>
      </w:pPr>
      <w:r>
        <w:rPr>
          <w:sz w:val="20"/>
          <w:szCs w:val="20"/>
        </w:rPr>
        <w:t>* Representing 104 property interests and 22.2 million square feet of GLA, as of</w:t>
      </w:r>
      <w:r>
        <w:rPr>
          <w:sz w:val="20"/>
          <w:szCs w:val="20"/>
        </w:rPr>
        <w:t xml:space="preserve"> </w:t>
      </w:r>
      <w:r>
        <w:rPr>
          <w:rStyle w:val="a6"/>
          <w:i w:val="0"/>
          <w:iCs w:val="0"/>
          <w:sz w:val="20"/>
          <w:szCs w:val="20"/>
        </w:rPr>
        <w:t xml:space="preserve">June 30, 2019, </w:t>
      </w:r>
      <w:r>
        <w:rPr>
          <w:sz w:val="20"/>
          <w:szCs w:val="20"/>
        </w:rPr>
        <w:t>and 109 property interests and 23.2 million square feet of GLA, as of</w:t>
      </w:r>
      <w:r>
        <w:rPr>
          <w:sz w:val="20"/>
          <w:szCs w:val="20"/>
        </w:rPr>
        <w:t xml:space="preserve"> </w:t>
      </w:r>
      <w:r>
        <w:rPr>
          <w:rStyle w:val="a6"/>
          <w:i w:val="0"/>
          <w:iCs w:val="0"/>
          <w:sz w:val="20"/>
          <w:szCs w:val="20"/>
        </w:rPr>
        <w:t>December 31, 2018.</w:t>
      </w:r>
    </w:p>
    <w:p w14:paraId="175B4C28" w14:textId="77777777" w:rsidR="00000000" w:rsidRDefault="0052709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36182F1" w14:textId="77777777">
        <w:trPr>
          <w:tblCellSpacing w:w="0" w:type="dxa"/>
        </w:trPr>
        <w:tc>
          <w:tcPr>
            <w:tcW w:w="360" w:type="dxa"/>
            <w:hideMark/>
          </w:tcPr>
          <w:p w14:paraId="24855068"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296A7043" w14:textId="77777777" w:rsidR="00000000" w:rsidRDefault="00527094">
            <w:pPr>
              <w:pStyle w:val="a3"/>
              <w:spacing w:before="0" w:beforeAutospacing="0" w:after="0" w:afterAutospacing="0"/>
              <w:jc w:val="both"/>
              <w:rPr>
                <w:sz w:val="20"/>
                <w:szCs w:val="20"/>
              </w:rPr>
            </w:pPr>
            <w:r>
              <w:rPr>
                <w:sz w:val="20"/>
                <w:szCs w:val="20"/>
              </w:rPr>
              <w:t xml:space="preserve">Represents four </w:t>
            </w:r>
            <w:r>
              <w:rPr>
                <w:sz w:val="20"/>
                <w:szCs w:val="20"/>
              </w:rPr>
              <w:t>separate joint ventures, with four separate accounts managed by Prudential Global Investment Management, three of these ventures are collectively referred to as KimPru and the remaining venture is referred to as KimPru II.</w:t>
            </w:r>
          </w:p>
        </w:tc>
      </w:tr>
    </w:tbl>
    <w:p w14:paraId="7EE95820"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DDE2B42" w14:textId="77777777">
        <w:trPr>
          <w:tblCellSpacing w:w="0" w:type="dxa"/>
        </w:trPr>
        <w:tc>
          <w:tcPr>
            <w:tcW w:w="360" w:type="dxa"/>
            <w:hideMark/>
          </w:tcPr>
          <w:p w14:paraId="58E6B823"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263301F0" w14:textId="77777777" w:rsidR="00000000" w:rsidRDefault="00527094">
            <w:pPr>
              <w:pStyle w:val="a3"/>
              <w:spacing w:before="0" w:beforeAutospacing="0" w:after="0" w:afterAutospacing="0"/>
              <w:jc w:val="both"/>
              <w:rPr>
                <w:sz w:val="20"/>
                <w:szCs w:val="20"/>
              </w:rPr>
            </w:pPr>
            <w:r>
              <w:rPr>
                <w:sz w:val="20"/>
                <w:szCs w:val="20"/>
              </w:rPr>
              <w:t>The Company manages these joint venture investments and, where applicable, earns property management fees, construction management fees, property acquisition and disposition fees, leasing management fees and asset management fees.</w:t>
            </w:r>
          </w:p>
        </w:tc>
      </w:tr>
    </w:tbl>
    <w:p w14:paraId="1F2E3901" w14:textId="77777777" w:rsidR="00000000" w:rsidRDefault="00527094">
      <w:pPr>
        <w:pStyle w:val="a3"/>
        <w:spacing w:before="0" w:beforeAutospacing="0" w:after="0" w:afterAutospacing="0"/>
        <w:jc w:val="both"/>
        <w:rPr>
          <w:sz w:val="20"/>
          <w:szCs w:val="20"/>
        </w:rPr>
      </w:pPr>
      <w:r>
        <w:rPr>
          <w:sz w:val="20"/>
          <w:szCs w:val="20"/>
        </w:rPr>
        <w:t> </w:t>
      </w:r>
    </w:p>
    <w:p w14:paraId="4B4D8D6A" w14:textId="77777777" w:rsidR="00000000" w:rsidRDefault="00527094">
      <w:pPr>
        <w:pStyle w:val="a3"/>
        <w:spacing w:before="0" w:beforeAutospacing="0" w:after="0" w:afterAutospacing="0"/>
        <w:ind w:firstLine="360"/>
        <w:jc w:val="both"/>
        <w:rPr>
          <w:sz w:val="20"/>
          <w:szCs w:val="20"/>
        </w:rPr>
      </w:pPr>
      <w:r>
        <w:rPr>
          <w:sz w:val="20"/>
          <w:szCs w:val="20"/>
        </w:rPr>
        <w:t>The table below presen</w:t>
      </w:r>
      <w:r>
        <w:rPr>
          <w:sz w:val="20"/>
          <w:szCs w:val="20"/>
        </w:rPr>
        <w:t>ts the Company’s share of net income for the above investments which is included in Equity in income of joint ventures, net on the Company’s Condensed Consolidated Statements of Income for the</w:t>
      </w:r>
      <w:r>
        <w:rPr>
          <w:sz w:val="20"/>
          <w:szCs w:val="20"/>
        </w:rPr>
        <w:t xml:space="preserve"> </w:t>
      </w:r>
      <w:r>
        <w:rPr>
          <w:rStyle w:val="a6"/>
          <w:i w:val="0"/>
          <w:iCs w:val="0"/>
          <w:sz w:val="20"/>
          <w:szCs w:val="20"/>
        </w:rPr>
        <w:t>three</w:t>
      </w:r>
      <w:r>
        <w:rPr>
          <w:sz w:val="20"/>
          <w:szCs w:val="20"/>
        </w:rPr>
        <w:t xml:space="preserve"> and</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2018</w:t>
      </w:r>
      <w:r>
        <w:rPr>
          <w:sz w:val="20"/>
          <w:szCs w:val="20"/>
        </w:rPr>
        <w:t xml:space="preserve"> (in millions)</w:t>
      </w:r>
      <w:r>
        <w:rPr>
          <w:sz w:val="20"/>
          <w:szCs w:val="20"/>
        </w:rPr>
        <w:t>:</w:t>
      </w:r>
    </w:p>
    <w:p w14:paraId="7937023B"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814"/>
        <w:gridCol w:w="61"/>
        <w:gridCol w:w="100"/>
        <w:gridCol w:w="837"/>
        <w:gridCol w:w="62"/>
        <w:gridCol w:w="62"/>
        <w:gridCol w:w="100"/>
        <w:gridCol w:w="838"/>
        <w:gridCol w:w="62"/>
        <w:gridCol w:w="62"/>
        <w:gridCol w:w="100"/>
        <w:gridCol w:w="838"/>
        <w:gridCol w:w="62"/>
        <w:gridCol w:w="62"/>
        <w:gridCol w:w="100"/>
        <w:gridCol w:w="838"/>
        <w:gridCol w:w="62"/>
      </w:tblGrid>
      <w:tr w:rsidR="00000000" w14:paraId="0B98D095" w14:textId="77777777">
        <w:trPr>
          <w:tblCellSpacing w:w="0" w:type="dxa"/>
        </w:trPr>
        <w:tc>
          <w:tcPr>
            <w:tcW w:w="0" w:type="auto"/>
            <w:vAlign w:val="bottom"/>
            <w:hideMark/>
          </w:tcPr>
          <w:p w14:paraId="4E5D92C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6D40A18"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F9430F5" w14:textId="77777777" w:rsidR="00000000" w:rsidRDefault="00527094">
            <w:pPr>
              <w:pStyle w:val="a3"/>
              <w:spacing w:before="0" w:beforeAutospacing="0" w:after="0" w:afterAutospacing="0"/>
              <w:jc w:val="center"/>
              <w:rPr>
                <w:sz w:val="20"/>
                <w:szCs w:val="20"/>
              </w:rPr>
            </w:pPr>
            <w:r>
              <w:rPr>
                <w:b/>
                <w:bCs/>
                <w:sz w:val="20"/>
                <w:szCs w:val="20"/>
              </w:rPr>
              <w:t xml:space="preserve">Three Months Ended </w:t>
            </w:r>
          </w:p>
          <w:p w14:paraId="3326F2C2" w14:textId="77777777" w:rsidR="00000000" w:rsidRDefault="00527094">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783BC87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885EB06"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49619C6" w14:textId="77777777" w:rsidR="00000000" w:rsidRDefault="00527094">
            <w:pPr>
              <w:pStyle w:val="a3"/>
              <w:spacing w:before="0" w:beforeAutospacing="0" w:after="0" w:afterAutospacing="0"/>
              <w:jc w:val="center"/>
              <w:rPr>
                <w:sz w:val="20"/>
                <w:szCs w:val="20"/>
              </w:rPr>
            </w:pPr>
            <w:r>
              <w:rPr>
                <w:b/>
                <w:bCs/>
                <w:sz w:val="20"/>
                <w:szCs w:val="20"/>
              </w:rPr>
              <w:t xml:space="preserve">Six Months Ended </w:t>
            </w:r>
          </w:p>
          <w:p w14:paraId="7D679D8A" w14:textId="77777777" w:rsidR="00000000" w:rsidRDefault="00527094">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0B13A475" w14:textId="77777777" w:rsidR="00000000" w:rsidRDefault="00527094">
            <w:pPr>
              <w:rPr>
                <w:rFonts w:eastAsia="Times New Roman"/>
                <w:sz w:val="20"/>
                <w:szCs w:val="20"/>
              </w:rPr>
            </w:pPr>
            <w:r>
              <w:rPr>
                <w:rFonts w:eastAsia="Times New Roman"/>
                <w:sz w:val="20"/>
                <w:szCs w:val="20"/>
              </w:rPr>
              <w:t> </w:t>
            </w:r>
          </w:p>
        </w:tc>
      </w:tr>
      <w:tr w:rsidR="00000000" w14:paraId="40325444" w14:textId="77777777">
        <w:trPr>
          <w:tblCellSpacing w:w="0" w:type="dxa"/>
        </w:trPr>
        <w:tc>
          <w:tcPr>
            <w:tcW w:w="2000" w:type="pct"/>
            <w:tcBorders>
              <w:bottom w:val="single" w:sz="6" w:space="0" w:color="000000"/>
            </w:tcBorders>
            <w:vAlign w:val="bottom"/>
            <w:hideMark/>
          </w:tcPr>
          <w:p w14:paraId="0086A0D3" w14:textId="77777777" w:rsidR="00000000" w:rsidRDefault="00527094">
            <w:pPr>
              <w:pStyle w:val="a3"/>
              <w:spacing w:before="0" w:beforeAutospacing="0" w:after="0" w:afterAutospacing="0"/>
              <w:rPr>
                <w:sz w:val="20"/>
                <w:szCs w:val="20"/>
              </w:rPr>
            </w:pPr>
            <w:r>
              <w:rPr>
                <w:b/>
                <w:bCs/>
                <w:sz w:val="20"/>
                <w:szCs w:val="20"/>
              </w:rPr>
              <w:t>Joint Venture</w:t>
            </w:r>
          </w:p>
        </w:tc>
        <w:tc>
          <w:tcPr>
            <w:tcW w:w="0" w:type="auto"/>
            <w:vAlign w:val="bottom"/>
            <w:hideMark/>
          </w:tcPr>
          <w:p w14:paraId="47D47713"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CE8E520"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DAADE0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F14B7D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8DD9244"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741086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4EC3F1F"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3E4AB9"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EC5797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8D1B766"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075B6D9"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EF460CC" w14:textId="77777777" w:rsidR="00000000" w:rsidRDefault="00527094">
            <w:pPr>
              <w:rPr>
                <w:rFonts w:eastAsia="Times New Roman"/>
                <w:sz w:val="20"/>
                <w:szCs w:val="20"/>
              </w:rPr>
            </w:pPr>
            <w:r>
              <w:rPr>
                <w:rFonts w:eastAsia="Times New Roman"/>
                <w:sz w:val="20"/>
                <w:szCs w:val="20"/>
              </w:rPr>
              <w:t> </w:t>
            </w:r>
          </w:p>
        </w:tc>
      </w:tr>
      <w:tr w:rsidR="00000000" w14:paraId="0CDE5A75" w14:textId="77777777">
        <w:trPr>
          <w:tblCellSpacing w:w="0" w:type="dxa"/>
        </w:trPr>
        <w:tc>
          <w:tcPr>
            <w:tcW w:w="0" w:type="auto"/>
            <w:tcBorders>
              <w:bottom w:val="nil"/>
            </w:tcBorders>
            <w:shd w:val="clear" w:color="auto" w:fill="CCEEFF"/>
            <w:vAlign w:val="bottom"/>
            <w:hideMark/>
          </w:tcPr>
          <w:p w14:paraId="65D7980E" w14:textId="77777777" w:rsidR="00000000" w:rsidRDefault="00527094">
            <w:pPr>
              <w:pStyle w:val="a3"/>
              <w:spacing w:before="0" w:beforeAutospacing="0" w:after="0" w:afterAutospacing="0"/>
              <w:rPr>
                <w:sz w:val="20"/>
                <w:szCs w:val="20"/>
              </w:rPr>
            </w:pPr>
            <w:r>
              <w:rPr>
                <w:sz w:val="20"/>
                <w:szCs w:val="20"/>
              </w:rPr>
              <w:t>KimPru and KimPru II</w:t>
            </w:r>
          </w:p>
        </w:tc>
        <w:tc>
          <w:tcPr>
            <w:tcW w:w="50" w:type="pct"/>
            <w:tcBorders>
              <w:bottom w:val="nil"/>
            </w:tcBorders>
            <w:shd w:val="clear" w:color="auto" w:fill="CCEEFF"/>
            <w:vAlign w:val="bottom"/>
            <w:hideMark/>
          </w:tcPr>
          <w:p w14:paraId="1AF14BB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5F39F20" w14:textId="77777777" w:rsidR="00000000" w:rsidRDefault="00527094">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14:paraId="5E2C6611" w14:textId="77777777" w:rsidR="00000000" w:rsidRDefault="00527094">
            <w:pPr>
              <w:jc w:val="right"/>
              <w:rPr>
                <w:rFonts w:eastAsia="Times New Roman"/>
                <w:sz w:val="20"/>
                <w:szCs w:val="20"/>
              </w:rPr>
            </w:pPr>
            <w:r>
              <w:rPr>
                <w:rFonts w:eastAsia="Times New Roman"/>
                <w:sz w:val="20"/>
                <w:szCs w:val="20"/>
              </w:rPr>
              <w:t>2.8</w:t>
            </w:r>
          </w:p>
        </w:tc>
        <w:tc>
          <w:tcPr>
            <w:tcW w:w="50" w:type="pct"/>
            <w:tcBorders>
              <w:bottom w:val="nil"/>
            </w:tcBorders>
            <w:shd w:val="clear" w:color="auto" w:fill="CCEEFF"/>
            <w:vAlign w:val="bottom"/>
            <w:hideMark/>
          </w:tcPr>
          <w:p w14:paraId="6854730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CE30C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333770" w14:textId="77777777" w:rsidR="00000000" w:rsidRDefault="00527094">
            <w:pPr>
              <w:rPr>
                <w:rFonts w:eastAsia="Times New Roman"/>
                <w:sz w:val="20"/>
                <w:szCs w:val="20"/>
              </w:rPr>
            </w:pPr>
            <w:r>
              <w:rPr>
                <w:rFonts w:eastAsia="Times New Roman"/>
                <w:sz w:val="20"/>
                <w:szCs w:val="20"/>
              </w:rPr>
              <w:t>$</w:t>
            </w:r>
          </w:p>
        </w:tc>
        <w:tc>
          <w:tcPr>
            <w:tcW w:w="600" w:type="pct"/>
            <w:shd w:val="clear" w:color="auto" w:fill="CCEEFF"/>
            <w:vAlign w:val="bottom"/>
            <w:hideMark/>
          </w:tcPr>
          <w:p w14:paraId="7EE28D0A" w14:textId="77777777" w:rsidR="00000000" w:rsidRDefault="00527094">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14:paraId="5449B22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44E7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619A5F" w14:textId="77777777" w:rsidR="00000000" w:rsidRDefault="00527094">
            <w:pPr>
              <w:rPr>
                <w:rFonts w:eastAsia="Times New Roman"/>
                <w:sz w:val="20"/>
                <w:szCs w:val="20"/>
              </w:rPr>
            </w:pPr>
            <w:r>
              <w:rPr>
                <w:rFonts w:eastAsia="Times New Roman"/>
                <w:sz w:val="20"/>
                <w:szCs w:val="20"/>
              </w:rPr>
              <w:t>$</w:t>
            </w:r>
          </w:p>
        </w:tc>
        <w:tc>
          <w:tcPr>
            <w:tcW w:w="600" w:type="pct"/>
            <w:shd w:val="clear" w:color="auto" w:fill="CCEEFF"/>
            <w:vAlign w:val="bottom"/>
            <w:hideMark/>
          </w:tcPr>
          <w:p w14:paraId="2B6BF984" w14:textId="77777777" w:rsidR="00000000" w:rsidRDefault="00527094">
            <w:pPr>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14:paraId="68500FF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81A72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F7AD36" w14:textId="77777777" w:rsidR="00000000" w:rsidRDefault="00527094">
            <w:pPr>
              <w:rPr>
                <w:rFonts w:eastAsia="Times New Roman"/>
                <w:sz w:val="20"/>
                <w:szCs w:val="20"/>
              </w:rPr>
            </w:pPr>
            <w:r>
              <w:rPr>
                <w:rFonts w:eastAsia="Times New Roman"/>
                <w:sz w:val="20"/>
                <w:szCs w:val="20"/>
              </w:rPr>
              <w:t>$</w:t>
            </w:r>
          </w:p>
        </w:tc>
        <w:tc>
          <w:tcPr>
            <w:tcW w:w="600" w:type="pct"/>
            <w:shd w:val="clear" w:color="auto" w:fill="CCEEFF"/>
            <w:vAlign w:val="bottom"/>
            <w:hideMark/>
          </w:tcPr>
          <w:p w14:paraId="12BCC31E" w14:textId="77777777" w:rsidR="00000000" w:rsidRDefault="00527094">
            <w:pPr>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14:paraId="6E9608D9" w14:textId="77777777" w:rsidR="00000000" w:rsidRDefault="00527094">
            <w:pPr>
              <w:rPr>
                <w:rFonts w:eastAsia="Times New Roman"/>
                <w:sz w:val="20"/>
                <w:szCs w:val="20"/>
              </w:rPr>
            </w:pPr>
            <w:r>
              <w:rPr>
                <w:rFonts w:eastAsia="Times New Roman"/>
                <w:sz w:val="20"/>
                <w:szCs w:val="20"/>
              </w:rPr>
              <w:t> </w:t>
            </w:r>
          </w:p>
        </w:tc>
      </w:tr>
      <w:tr w:rsidR="00000000" w14:paraId="225A6BA9" w14:textId="77777777">
        <w:trPr>
          <w:tblCellSpacing w:w="0" w:type="dxa"/>
        </w:trPr>
        <w:tc>
          <w:tcPr>
            <w:tcW w:w="0" w:type="auto"/>
            <w:shd w:val="clear" w:color="auto" w:fill="FFFFFF"/>
            <w:vAlign w:val="bottom"/>
            <w:hideMark/>
          </w:tcPr>
          <w:p w14:paraId="4940E417" w14:textId="77777777" w:rsidR="00000000" w:rsidRDefault="00527094">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597B18E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781C61"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4E59EBD" w14:textId="77777777" w:rsidR="00000000" w:rsidRDefault="00527094">
            <w:pPr>
              <w:jc w:val="right"/>
              <w:rPr>
                <w:rFonts w:eastAsia="Times New Roman"/>
                <w:sz w:val="20"/>
                <w:szCs w:val="20"/>
              </w:rPr>
            </w:pPr>
            <w:r>
              <w:rPr>
                <w:rFonts w:eastAsia="Times New Roman"/>
                <w:sz w:val="20"/>
                <w:szCs w:val="20"/>
              </w:rPr>
              <w:t>17.2</w:t>
            </w:r>
          </w:p>
        </w:tc>
        <w:tc>
          <w:tcPr>
            <w:tcW w:w="50" w:type="pct"/>
            <w:shd w:val="clear" w:color="auto" w:fill="FFFFFF"/>
            <w:vAlign w:val="bottom"/>
            <w:hideMark/>
          </w:tcPr>
          <w:p w14:paraId="680788E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1C1AB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3A215E"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21EFE25" w14:textId="77777777" w:rsidR="00000000" w:rsidRDefault="00527094">
            <w:pPr>
              <w:jc w:val="right"/>
              <w:rPr>
                <w:rFonts w:eastAsia="Times New Roman"/>
                <w:sz w:val="20"/>
                <w:szCs w:val="20"/>
              </w:rPr>
            </w:pPr>
            <w:r>
              <w:rPr>
                <w:rFonts w:eastAsia="Times New Roman"/>
                <w:sz w:val="20"/>
                <w:szCs w:val="20"/>
              </w:rPr>
              <w:t>9.9</w:t>
            </w:r>
          </w:p>
        </w:tc>
        <w:tc>
          <w:tcPr>
            <w:tcW w:w="50" w:type="pct"/>
            <w:shd w:val="clear" w:color="auto" w:fill="FFFFFF"/>
            <w:vAlign w:val="bottom"/>
            <w:hideMark/>
          </w:tcPr>
          <w:p w14:paraId="5A08B9F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D3217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B842F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0EE3BBF" w14:textId="77777777" w:rsidR="00000000" w:rsidRDefault="00527094">
            <w:pPr>
              <w:jc w:val="right"/>
              <w:rPr>
                <w:rFonts w:eastAsia="Times New Roman"/>
                <w:sz w:val="20"/>
                <w:szCs w:val="20"/>
              </w:rPr>
            </w:pPr>
            <w:r>
              <w:rPr>
                <w:rFonts w:eastAsia="Times New Roman"/>
                <w:sz w:val="20"/>
                <w:szCs w:val="20"/>
              </w:rPr>
              <w:t>31.8</w:t>
            </w:r>
          </w:p>
        </w:tc>
        <w:tc>
          <w:tcPr>
            <w:tcW w:w="50" w:type="pct"/>
            <w:shd w:val="clear" w:color="auto" w:fill="FFFFFF"/>
            <w:vAlign w:val="bottom"/>
            <w:hideMark/>
          </w:tcPr>
          <w:p w14:paraId="7E7700C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66A0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24408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BCB2100" w14:textId="77777777" w:rsidR="00000000" w:rsidRDefault="00527094">
            <w:pPr>
              <w:jc w:val="right"/>
              <w:rPr>
                <w:rFonts w:eastAsia="Times New Roman"/>
                <w:sz w:val="20"/>
                <w:szCs w:val="20"/>
              </w:rPr>
            </w:pPr>
            <w:r>
              <w:rPr>
                <w:rFonts w:eastAsia="Times New Roman"/>
                <w:sz w:val="20"/>
                <w:szCs w:val="20"/>
              </w:rPr>
              <w:t>18.9</w:t>
            </w:r>
          </w:p>
        </w:tc>
        <w:tc>
          <w:tcPr>
            <w:tcW w:w="50" w:type="pct"/>
            <w:shd w:val="clear" w:color="auto" w:fill="FFFFFF"/>
            <w:vAlign w:val="bottom"/>
            <w:hideMark/>
          </w:tcPr>
          <w:p w14:paraId="3ABDE72D" w14:textId="77777777" w:rsidR="00000000" w:rsidRDefault="00527094">
            <w:pPr>
              <w:rPr>
                <w:rFonts w:eastAsia="Times New Roman"/>
                <w:sz w:val="20"/>
                <w:szCs w:val="20"/>
              </w:rPr>
            </w:pPr>
            <w:r>
              <w:rPr>
                <w:rFonts w:eastAsia="Times New Roman"/>
                <w:sz w:val="20"/>
                <w:szCs w:val="20"/>
              </w:rPr>
              <w:t> </w:t>
            </w:r>
          </w:p>
        </w:tc>
      </w:tr>
      <w:tr w:rsidR="00000000" w14:paraId="24565124" w14:textId="77777777">
        <w:trPr>
          <w:tblCellSpacing w:w="0" w:type="dxa"/>
        </w:trPr>
        <w:tc>
          <w:tcPr>
            <w:tcW w:w="0" w:type="auto"/>
            <w:shd w:val="clear" w:color="auto" w:fill="CCEEFF"/>
            <w:vAlign w:val="bottom"/>
            <w:hideMark/>
          </w:tcPr>
          <w:p w14:paraId="01E102B9" w14:textId="77777777" w:rsidR="00000000" w:rsidRDefault="00527094">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30321BE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64EBE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3B9A605" w14:textId="77777777" w:rsidR="00000000" w:rsidRDefault="00527094">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14:paraId="3423101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2E23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25B49C"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28E9944" w14:textId="77777777" w:rsidR="00000000" w:rsidRDefault="00527094">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14:paraId="439AA25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51C46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E7BDF7"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26F88D1" w14:textId="77777777" w:rsidR="00000000" w:rsidRDefault="00527094">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14:paraId="3BE09CD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ED683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C45289"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E9F26F6" w14:textId="77777777" w:rsidR="00000000" w:rsidRDefault="00527094">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14:paraId="3AA6995D" w14:textId="77777777" w:rsidR="00000000" w:rsidRDefault="00527094">
            <w:pPr>
              <w:rPr>
                <w:rFonts w:eastAsia="Times New Roman"/>
                <w:sz w:val="20"/>
                <w:szCs w:val="20"/>
              </w:rPr>
            </w:pPr>
            <w:r>
              <w:rPr>
                <w:rFonts w:eastAsia="Times New Roman"/>
                <w:sz w:val="20"/>
                <w:szCs w:val="20"/>
              </w:rPr>
              <w:t> </w:t>
            </w:r>
          </w:p>
        </w:tc>
      </w:tr>
      <w:tr w:rsidR="00000000" w14:paraId="229BCBFB" w14:textId="77777777">
        <w:trPr>
          <w:tblCellSpacing w:w="0" w:type="dxa"/>
        </w:trPr>
        <w:tc>
          <w:tcPr>
            <w:tcW w:w="0" w:type="auto"/>
            <w:shd w:val="clear" w:color="auto" w:fill="FFFFFF"/>
            <w:vAlign w:val="bottom"/>
            <w:hideMark/>
          </w:tcPr>
          <w:p w14:paraId="1E738914" w14:textId="77777777" w:rsidR="00000000" w:rsidRDefault="00527094">
            <w:pPr>
              <w:pStyle w:val="a3"/>
              <w:spacing w:before="0" w:beforeAutospacing="0" w:after="0" w:afterAutospacing="0"/>
              <w:rPr>
                <w:sz w:val="20"/>
                <w:szCs w:val="20"/>
              </w:rPr>
            </w:pPr>
            <w:r>
              <w:rPr>
                <w:sz w:val="20"/>
                <w:szCs w:val="20"/>
              </w:rPr>
              <w:t>Other Joint Venture Programs (1)</w:t>
            </w:r>
          </w:p>
        </w:tc>
        <w:tc>
          <w:tcPr>
            <w:tcW w:w="50" w:type="pct"/>
            <w:shd w:val="clear" w:color="auto" w:fill="FFFFFF"/>
            <w:tcMar>
              <w:top w:w="0" w:type="dxa"/>
              <w:left w:w="0" w:type="dxa"/>
              <w:bottom w:w="15" w:type="dxa"/>
              <w:right w:w="0" w:type="dxa"/>
            </w:tcMar>
            <w:vAlign w:val="bottom"/>
            <w:hideMark/>
          </w:tcPr>
          <w:p w14:paraId="515E842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201B03A"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5D280E8" w14:textId="77777777" w:rsidR="00000000" w:rsidRDefault="00527094">
            <w:pPr>
              <w:jc w:val="right"/>
              <w:rPr>
                <w:rFonts w:eastAsia="Times New Roman"/>
                <w:sz w:val="20"/>
                <w:szCs w:val="20"/>
              </w:rPr>
            </w:pPr>
            <w:r>
              <w:rPr>
                <w:rFonts w:eastAsia="Times New Roman"/>
                <w:sz w:val="20"/>
                <w:szCs w:val="20"/>
              </w:rPr>
              <w:t>0.9</w:t>
            </w:r>
          </w:p>
        </w:tc>
        <w:tc>
          <w:tcPr>
            <w:tcW w:w="50" w:type="pct"/>
            <w:shd w:val="clear" w:color="auto" w:fill="FFFFFF"/>
            <w:tcMar>
              <w:top w:w="0" w:type="dxa"/>
              <w:left w:w="0" w:type="dxa"/>
              <w:bottom w:w="15" w:type="dxa"/>
              <w:right w:w="0" w:type="dxa"/>
            </w:tcMar>
            <w:vAlign w:val="bottom"/>
            <w:hideMark/>
          </w:tcPr>
          <w:p w14:paraId="77A803F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03AD2A1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533BA73"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C84934F" w14:textId="77777777" w:rsidR="00000000" w:rsidRDefault="00527094">
            <w:pPr>
              <w:jc w:val="right"/>
              <w:rPr>
                <w:rFonts w:eastAsia="Times New Roman"/>
                <w:sz w:val="20"/>
                <w:szCs w:val="20"/>
              </w:rPr>
            </w:pPr>
            <w:r>
              <w:rPr>
                <w:rFonts w:eastAsia="Times New Roman"/>
                <w:sz w:val="20"/>
                <w:szCs w:val="20"/>
              </w:rPr>
              <w:t>5.1</w:t>
            </w:r>
          </w:p>
        </w:tc>
        <w:tc>
          <w:tcPr>
            <w:tcW w:w="50" w:type="pct"/>
            <w:shd w:val="clear" w:color="auto" w:fill="FFFFFF"/>
            <w:tcMar>
              <w:top w:w="0" w:type="dxa"/>
              <w:left w:w="0" w:type="dxa"/>
              <w:bottom w:w="15" w:type="dxa"/>
              <w:right w:w="0" w:type="dxa"/>
            </w:tcMar>
            <w:vAlign w:val="bottom"/>
            <w:hideMark/>
          </w:tcPr>
          <w:p w14:paraId="15142D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4213B58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9290ABD"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68DBBB2" w14:textId="77777777" w:rsidR="00000000" w:rsidRDefault="00527094">
            <w:pPr>
              <w:jc w:val="right"/>
              <w:rPr>
                <w:rFonts w:eastAsia="Times New Roman"/>
                <w:sz w:val="20"/>
                <w:szCs w:val="20"/>
              </w:rPr>
            </w:pPr>
            <w:r>
              <w:rPr>
                <w:rFonts w:eastAsia="Times New Roman"/>
                <w:sz w:val="20"/>
                <w:szCs w:val="20"/>
              </w:rPr>
              <w:t>0.8</w:t>
            </w:r>
          </w:p>
        </w:tc>
        <w:tc>
          <w:tcPr>
            <w:tcW w:w="50" w:type="pct"/>
            <w:shd w:val="clear" w:color="auto" w:fill="FFFFFF"/>
            <w:tcMar>
              <w:top w:w="0" w:type="dxa"/>
              <w:left w:w="0" w:type="dxa"/>
              <w:bottom w:w="15" w:type="dxa"/>
              <w:right w:w="0" w:type="dxa"/>
            </w:tcMar>
            <w:vAlign w:val="bottom"/>
            <w:hideMark/>
          </w:tcPr>
          <w:p w14:paraId="066656A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1F165CD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7F3A135"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87C3B95" w14:textId="77777777" w:rsidR="00000000" w:rsidRDefault="00527094">
            <w:pPr>
              <w:jc w:val="right"/>
              <w:rPr>
                <w:rFonts w:eastAsia="Times New Roman"/>
                <w:sz w:val="20"/>
                <w:szCs w:val="20"/>
              </w:rPr>
            </w:pPr>
            <w:r>
              <w:rPr>
                <w:rFonts w:eastAsia="Times New Roman"/>
                <w:sz w:val="20"/>
                <w:szCs w:val="20"/>
              </w:rPr>
              <w:t>9.0</w:t>
            </w:r>
          </w:p>
        </w:tc>
        <w:tc>
          <w:tcPr>
            <w:tcW w:w="50" w:type="pct"/>
            <w:shd w:val="clear" w:color="auto" w:fill="FFFFFF"/>
            <w:tcMar>
              <w:top w:w="0" w:type="dxa"/>
              <w:left w:w="0" w:type="dxa"/>
              <w:bottom w:w="15" w:type="dxa"/>
              <w:right w:w="0" w:type="dxa"/>
            </w:tcMar>
            <w:vAlign w:val="bottom"/>
            <w:hideMark/>
          </w:tcPr>
          <w:p w14:paraId="710687FC" w14:textId="77777777" w:rsidR="00000000" w:rsidRDefault="00527094">
            <w:pPr>
              <w:rPr>
                <w:rFonts w:eastAsia="Times New Roman"/>
                <w:sz w:val="20"/>
                <w:szCs w:val="20"/>
              </w:rPr>
            </w:pPr>
            <w:r>
              <w:rPr>
                <w:rFonts w:eastAsia="Times New Roman"/>
                <w:sz w:val="20"/>
                <w:szCs w:val="20"/>
              </w:rPr>
              <w:t> </w:t>
            </w:r>
          </w:p>
        </w:tc>
      </w:tr>
      <w:tr w:rsidR="00000000" w14:paraId="32E9C757" w14:textId="77777777">
        <w:trPr>
          <w:tblCellSpacing w:w="0" w:type="dxa"/>
        </w:trPr>
        <w:tc>
          <w:tcPr>
            <w:tcW w:w="0" w:type="auto"/>
            <w:shd w:val="clear" w:color="auto" w:fill="CCEEFF"/>
            <w:vAlign w:val="bottom"/>
            <w:hideMark/>
          </w:tcPr>
          <w:p w14:paraId="4DED125B" w14:textId="77777777" w:rsidR="00000000" w:rsidRDefault="00527094">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14:paraId="1AE6136A"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78381A2" w14:textId="77777777" w:rsidR="00000000" w:rsidRDefault="00527094">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5B10D933" w14:textId="77777777" w:rsidR="00000000" w:rsidRDefault="00527094">
            <w:pPr>
              <w:jc w:val="right"/>
              <w:rPr>
                <w:rFonts w:eastAsia="Times New Roman"/>
                <w:sz w:val="20"/>
                <w:szCs w:val="20"/>
              </w:rPr>
            </w:pPr>
            <w:r>
              <w:rPr>
                <w:rFonts w:eastAsia="Times New Roman"/>
                <w:sz w:val="20"/>
                <w:szCs w:val="20"/>
              </w:rPr>
              <w:t>22.5</w:t>
            </w:r>
          </w:p>
        </w:tc>
        <w:tc>
          <w:tcPr>
            <w:tcW w:w="50" w:type="pct"/>
            <w:shd w:val="clear" w:color="auto" w:fill="CCEEFF"/>
            <w:tcMar>
              <w:top w:w="0" w:type="dxa"/>
              <w:left w:w="0" w:type="dxa"/>
              <w:bottom w:w="45" w:type="dxa"/>
              <w:right w:w="0" w:type="dxa"/>
            </w:tcMar>
            <w:vAlign w:val="bottom"/>
            <w:hideMark/>
          </w:tcPr>
          <w:p w14:paraId="30695F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92F91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26AE550" w14:textId="77777777" w:rsidR="00000000" w:rsidRDefault="00527094">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59EBEE80" w14:textId="77777777" w:rsidR="00000000" w:rsidRDefault="00527094">
            <w:pPr>
              <w:jc w:val="right"/>
              <w:rPr>
                <w:rFonts w:eastAsia="Times New Roman"/>
                <w:sz w:val="20"/>
                <w:szCs w:val="20"/>
              </w:rPr>
            </w:pPr>
            <w:r>
              <w:rPr>
                <w:rFonts w:eastAsia="Times New Roman"/>
                <w:sz w:val="20"/>
                <w:szCs w:val="20"/>
              </w:rPr>
              <w:t>19.0</w:t>
            </w:r>
          </w:p>
        </w:tc>
        <w:tc>
          <w:tcPr>
            <w:tcW w:w="50" w:type="pct"/>
            <w:shd w:val="clear" w:color="auto" w:fill="CCEEFF"/>
            <w:tcMar>
              <w:top w:w="0" w:type="dxa"/>
              <w:left w:w="0" w:type="dxa"/>
              <w:bottom w:w="45" w:type="dxa"/>
              <w:right w:w="0" w:type="dxa"/>
            </w:tcMar>
            <w:vAlign w:val="bottom"/>
            <w:hideMark/>
          </w:tcPr>
          <w:p w14:paraId="4B29866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172A5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BF1EAB" w14:textId="77777777" w:rsidR="00000000" w:rsidRDefault="00527094">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11087DA3" w14:textId="77777777" w:rsidR="00000000" w:rsidRDefault="00527094">
            <w:pPr>
              <w:jc w:val="right"/>
              <w:rPr>
                <w:rFonts w:eastAsia="Times New Roman"/>
                <w:sz w:val="20"/>
                <w:szCs w:val="20"/>
              </w:rPr>
            </w:pPr>
            <w:r>
              <w:rPr>
                <w:rFonts w:eastAsia="Times New Roman"/>
                <w:sz w:val="20"/>
                <w:szCs w:val="20"/>
              </w:rPr>
              <w:t>41.3</w:t>
            </w:r>
          </w:p>
        </w:tc>
        <w:tc>
          <w:tcPr>
            <w:tcW w:w="50" w:type="pct"/>
            <w:shd w:val="clear" w:color="auto" w:fill="CCEEFF"/>
            <w:tcMar>
              <w:top w:w="0" w:type="dxa"/>
              <w:left w:w="0" w:type="dxa"/>
              <w:bottom w:w="45" w:type="dxa"/>
              <w:right w:w="0" w:type="dxa"/>
            </w:tcMar>
            <w:vAlign w:val="bottom"/>
            <w:hideMark/>
          </w:tcPr>
          <w:p w14:paraId="0DC87EE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B92F9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E63C597" w14:textId="77777777" w:rsidR="00000000" w:rsidRDefault="00527094">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34A016DC" w14:textId="77777777" w:rsidR="00000000" w:rsidRDefault="00527094">
            <w:pPr>
              <w:jc w:val="right"/>
              <w:rPr>
                <w:rFonts w:eastAsia="Times New Roman"/>
                <w:sz w:val="20"/>
                <w:szCs w:val="20"/>
              </w:rPr>
            </w:pPr>
            <w:r>
              <w:rPr>
                <w:rFonts w:eastAsia="Times New Roman"/>
                <w:sz w:val="20"/>
                <w:szCs w:val="20"/>
              </w:rPr>
              <w:t>36.0</w:t>
            </w:r>
          </w:p>
        </w:tc>
        <w:tc>
          <w:tcPr>
            <w:tcW w:w="50" w:type="pct"/>
            <w:shd w:val="clear" w:color="auto" w:fill="CCEEFF"/>
            <w:tcMar>
              <w:top w:w="0" w:type="dxa"/>
              <w:left w:w="0" w:type="dxa"/>
              <w:bottom w:w="45" w:type="dxa"/>
              <w:right w:w="0" w:type="dxa"/>
            </w:tcMar>
            <w:vAlign w:val="bottom"/>
            <w:hideMark/>
          </w:tcPr>
          <w:p w14:paraId="7C99CA10" w14:textId="77777777" w:rsidR="00000000" w:rsidRDefault="00527094">
            <w:pPr>
              <w:rPr>
                <w:rFonts w:eastAsia="Times New Roman"/>
                <w:sz w:val="20"/>
                <w:szCs w:val="20"/>
              </w:rPr>
            </w:pPr>
            <w:r>
              <w:rPr>
                <w:rFonts w:eastAsia="Times New Roman"/>
                <w:sz w:val="20"/>
                <w:szCs w:val="20"/>
              </w:rPr>
              <w:t> </w:t>
            </w:r>
          </w:p>
        </w:tc>
      </w:tr>
    </w:tbl>
    <w:p w14:paraId="4D913470" w14:textId="77777777" w:rsidR="00000000" w:rsidRDefault="0052709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70E654A" w14:textId="77777777">
        <w:trPr>
          <w:tblCellSpacing w:w="0" w:type="dxa"/>
        </w:trPr>
        <w:tc>
          <w:tcPr>
            <w:tcW w:w="360" w:type="dxa"/>
            <w:vAlign w:val="center"/>
            <w:hideMark/>
          </w:tcPr>
          <w:p w14:paraId="569592BD" w14:textId="77777777" w:rsidR="00000000" w:rsidRDefault="00527094">
            <w:pPr>
              <w:rPr>
                <w:rFonts w:eastAsia="Times New Roman"/>
                <w:sz w:val="20"/>
                <w:szCs w:val="20"/>
              </w:rPr>
            </w:pPr>
            <w:r>
              <w:rPr>
                <w:rFonts w:eastAsia="Times New Roman"/>
                <w:sz w:val="20"/>
                <w:szCs w:val="20"/>
              </w:rPr>
              <w:t> </w:t>
            </w:r>
          </w:p>
        </w:tc>
        <w:tc>
          <w:tcPr>
            <w:tcW w:w="360" w:type="dxa"/>
            <w:hideMark/>
          </w:tcPr>
          <w:p w14:paraId="432B45A3"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6E1B440C" w14:textId="77777777" w:rsidR="00000000" w:rsidRDefault="00527094">
            <w:pPr>
              <w:pStyle w:val="a3"/>
              <w:spacing w:before="0" w:beforeAutospacing="0" w:after="0" w:afterAutospacing="0"/>
              <w:jc w:val="both"/>
              <w:rPr>
                <w:sz w:val="20"/>
                <w:szCs w:val="20"/>
              </w:rPr>
            </w:pPr>
            <w:r>
              <w:rPr>
                <w:sz w:val="20"/>
                <w:szCs w:val="20"/>
              </w:rPr>
              <w:t>During the</w:t>
            </w:r>
            <w:r>
              <w:rPr>
                <w:sz w:val="20"/>
                <w:szCs w:val="20"/>
              </w:rPr>
              <w:t xml:space="preserve"> </w:t>
            </w:r>
            <w:r>
              <w:rPr>
                <w:rStyle w:val="a6"/>
                <w:i w:val="0"/>
                <w:iCs w:val="0"/>
                <w:sz w:val="20"/>
                <w:szCs w:val="20"/>
              </w:rPr>
              <w:t>three</w:t>
            </w:r>
            <w:r>
              <w:rPr>
                <w:sz w:val="20"/>
                <w:szCs w:val="20"/>
              </w:rPr>
              <w:t xml:space="preserve"> months ended</w:t>
            </w:r>
            <w:r>
              <w:rPr>
                <w:sz w:val="20"/>
                <w:szCs w:val="20"/>
              </w:rPr>
              <w:t xml:space="preserve"> </w:t>
            </w:r>
            <w:r>
              <w:rPr>
                <w:rStyle w:val="a6"/>
                <w:i w:val="0"/>
                <w:iCs w:val="0"/>
                <w:sz w:val="20"/>
                <w:szCs w:val="20"/>
              </w:rPr>
              <w:t xml:space="preserve">June 30, 2018, </w:t>
            </w:r>
            <w:r>
              <w:rPr>
                <w:sz w:val="20"/>
                <w:szCs w:val="20"/>
              </w:rPr>
              <w:t>a joint venture investment distributed cash proceeds resulting from the refinancing of an existing loan of which the Company’s share was $3.6 million. The distribution was in excess of the Company’s carrying basis in this joint venture investment and as su</w:t>
            </w:r>
            <w:r>
              <w:rPr>
                <w:sz w:val="20"/>
                <w:szCs w:val="20"/>
              </w:rPr>
              <w:t>ch was recognized as income.</w:t>
            </w:r>
          </w:p>
        </w:tc>
      </w:tr>
    </w:tbl>
    <w:p w14:paraId="6E509522" w14:textId="77777777" w:rsidR="00000000" w:rsidRDefault="00527094">
      <w:pPr>
        <w:pStyle w:val="a3"/>
        <w:spacing w:before="0" w:beforeAutospacing="0" w:after="0" w:afterAutospacing="0"/>
        <w:jc w:val="both"/>
        <w:rPr>
          <w:sz w:val="20"/>
          <w:szCs w:val="20"/>
        </w:rPr>
      </w:pPr>
      <w:r>
        <w:rPr>
          <w:sz w:val="20"/>
          <w:szCs w:val="20"/>
        </w:rPr>
        <w:t> </w:t>
      </w:r>
    </w:p>
    <w:p w14:paraId="24761D9C"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 xml:space="preserve">certain of the Company’s real estate joint ventures disposed of five </w:t>
      </w:r>
      <w:r>
        <w:rPr>
          <w:sz w:val="20"/>
          <w:szCs w:val="20"/>
        </w:rPr>
        <w:t>operating properties, in separate transactions, for an aggregate sales price of $128.2 million. These transactions resulted in an aggregate net gain to the Company of $11.9 million for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June 30, 2019.</w:t>
      </w:r>
    </w:p>
    <w:p w14:paraId="625A9EA5" w14:textId="77777777" w:rsidR="00000000" w:rsidRDefault="00527094">
      <w:pPr>
        <w:pStyle w:val="a3"/>
        <w:spacing w:before="0" w:beforeAutospacing="0" w:after="0" w:afterAutospacing="0"/>
        <w:ind w:firstLine="360"/>
        <w:jc w:val="both"/>
        <w:rPr>
          <w:sz w:val="20"/>
          <w:szCs w:val="20"/>
        </w:rPr>
      </w:pPr>
      <w:r>
        <w:rPr>
          <w:sz w:val="20"/>
          <w:szCs w:val="20"/>
        </w:rPr>
        <w:t> </w:t>
      </w:r>
    </w:p>
    <w:p w14:paraId="498509E4"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w:t>
      </w:r>
      <w:r>
        <w:rPr>
          <w:rStyle w:val="a6"/>
          <w:i w:val="0"/>
          <w:iCs w:val="0"/>
          <w:sz w:val="20"/>
          <w:szCs w:val="20"/>
        </w:rPr>
        <w:t xml:space="preserve">30, 2018, </w:t>
      </w:r>
      <w:r>
        <w:rPr>
          <w:sz w:val="20"/>
          <w:szCs w:val="20"/>
        </w:rPr>
        <w:t>certain of the Company’s real estate joint ventures disposed of four operating properties, in separate transactions, for an aggregate sales price of $37.9 million. These transactions resulted in an aggregate net gain to the Company of $3.5 millio</w:t>
      </w:r>
      <w:r>
        <w:rPr>
          <w:sz w:val="20"/>
          <w:szCs w:val="20"/>
        </w:rPr>
        <w:t>n for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June 30, 2018.</w:t>
      </w:r>
    </w:p>
    <w:p w14:paraId="0FD94387" w14:textId="77777777" w:rsidR="00000000" w:rsidRDefault="00527094">
      <w:pPr>
        <w:pStyle w:val="a3"/>
        <w:spacing w:before="0" w:beforeAutospacing="0" w:after="0" w:afterAutospacing="0"/>
        <w:ind w:firstLine="360"/>
        <w:jc w:val="both"/>
        <w:rPr>
          <w:sz w:val="20"/>
          <w:szCs w:val="20"/>
        </w:rPr>
      </w:pPr>
      <w:r>
        <w:rPr>
          <w:sz w:val="20"/>
          <w:szCs w:val="20"/>
        </w:rPr>
        <w:t> </w:t>
      </w:r>
    </w:p>
    <w:p w14:paraId="1D004166" w14:textId="77777777" w:rsidR="00000000" w:rsidRDefault="00527094">
      <w:pPr>
        <w:jc w:val="center"/>
        <w:rPr>
          <w:rFonts w:eastAsia="Times New Roman"/>
          <w:sz w:val="20"/>
          <w:szCs w:val="20"/>
        </w:rPr>
      </w:pPr>
      <w:r>
        <w:rPr>
          <w:rFonts w:eastAsia="Times New Roman"/>
          <w:sz w:val="20"/>
          <w:szCs w:val="20"/>
        </w:rPr>
        <w:t xml:space="preserve">15 </w:t>
      </w:r>
    </w:p>
    <w:p w14:paraId="2DD9B81A" w14:textId="77777777" w:rsidR="00000000" w:rsidRDefault="00527094">
      <w:pPr>
        <w:rPr>
          <w:rFonts w:eastAsia="Times New Roman"/>
          <w:sz w:val="20"/>
          <w:szCs w:val="20"/>
        </w:rPr>
      </w:pPr>
      <w:r>
        <w:rPr>
          <w:rFonts w:eastAsia="Times New Roman"/>
          <w:sz w:val="20"/>
          <w:szCs w:val="20"/>
        </w:rPr>
        <w:pict w14:anchorId="772B4B93">
          <v:rect id="_x0000_i1043" style="width:0;height:1.5pt" o:hralign="center" o:hrstd="t" o:hr="t" fillcolor="#a0a0a0" stroked="f"/>
        </w:pict>
      </w:r>
    </w:p>
    <w:p w14:paraId="14789351"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0B8440B" w14:textId="77777777" w:rsidR="00000000" w:rsidRDefault="00527094">
      <w:pPr>
        <w:pStyle w:val="a3"/>
        <w:spacing w:before="0" w:beforeAutospacing="0" w:after="0" w:afterAutospacing="0"/>
        <w:rPr>
          <w:sz w:val="20"/>
          <w:szCs w:val="20"/>
        </w:rPr>
      </w:pPr>
      <w:r>
        <w:rPr>
          <w:sz w:val="20"/>
          <w:szCs w:val="20"/>
        </w:rPr>
        <w:t> </w:t>
      </w:r>
    </w:p>
    <w:p w14:paraId="68174DFC" w14:textId="77777777" w:rsidR="00000000" w:rsidRDefault="00527094">
      <w:pPr>
        <w:pStyle w:val="a3"/>
        <w:spacing w:before="0" w:beforeAutospacing="0" w:after="0" w:afterAutospacing="0"/>
        <w:ind w:firstLine="360"/>
        <w:jc w:val="both"/>
        <w:rPr>
          <w:sz w:val="20"/>
          <w:szCs w:val="20"/>
        </w:rPr>
      </w:pPr>
      <w:r>
        <w:rPr>
          <w:sz w:val="20"/>
          <w:szCs w:val="20"/>
        </w:rPr>
        <w:t>The table below presents debt balances within the Company’s unconsolidated joint venture investments for which the Company he</w:t>
      </w:r>
      <w:r>
        <w:rPr>
          <w:sz w:val="20"/>
          <w:szCs w:val="20"/>
        </w:rPr>
        <w:t>ld noncontrolling ownership interests at</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December 31, 2018 (</w:t>
      </w:r>
      <w:r>
        <w:rPr>
          <w:sz w:val="20"/>
          <w:szCs w:val="20"/>
        </w:rPr>
        <w:t>dollars in millions):</w:t>
      </w:r>
    </w:p>
    <w:p w14:paraId="61179D47" w14:textId="77777777" w:rsidR="00000000" w:rsidRDefault="00527094">
      <w:pPr>
        <w:pStyle w:val="a3"/>
        <w:spacing w:before="0" w:beforeAutospacing="0" w:after="0" w:afterAutospacing="0"/>
        <w:ind w:firstLine="8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00"/>
        <w:gridCol w:w="50"/>
        <w:gridCol w:w="101"/>
        <w:gridCol w:w="828"/>
        <w:gridCol w:w="50"/>
        <w:gridCol w:w="50"/>
        <w:gridCol w:w="83"/>
        <w:gridCol w:w="740"/>
        <w:gridCol w:w="167"/>
        <w:gridCol w:w="50"/>
        <w:gridCol w:w="94"/>
        <w:gridCol w:w="840"/>
        <w:gridCol w:w="50"/>
        <w:gridCol w:w="50"/>
        <w:gridCol w:w="101"/>
        <w:gridCol w:w="828"/>
        <w:gridCol w:w="50"/>
        <w:gridCol w:w="50"/>
        <w:gridCol w:w="433"/>
        <w:gridCol w:w="390"/>
        <w:gridCol w:w="167"/>
        <w:gridCol w:w="50"/>
        <w:gridCol w:w="94"/>
        <w:gridCol w:w="840"/>
        <w:gridCol w:w="50"/>
      </w:tblGrid>
      <w:tr w:rsidR="00000000" w14:paraId="6EE38607" w14:textId="77777777">
        <w:trPr>
          <w:tblCellSpacing w:w="0" w:type="dxa"/>
        </w:trPr>
        <w:tc>
          <w:tcPr>
            <w:tcW w:w="1300" w:type="pct"/>
            <w:vAlign w:val="bottom"/>
            <w:hideMark/>
          </w:tcPr>
          <w:p w14:paraId="61F999BD"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3F8BC58C" w14:textId="77777777" w:rsidR="00000000" w:rsidRDefault="00527094">
            <w:pPr>
              <w:rPr>
                <w:rFonts w:eastAsia="Times New Roman"/>
                <w:sz w:val="20"/>
                <w:szCs w:val="20"/>
              </w:rPr>
            </w:pPr>
            <w:r>
              <w:rPr>
                <w:rFonts w:eastAsia="Times New Roman"/>
                <w:sz w:val="20"/>
                <w:szCs w:val="20"/>
              </w:rPr>
              <w:t> </w:t>
            </w:r>
          </w:p>
        </w:tc>
        <w:tc>
          <w:tcPr>
            <w:tcW w:w="1300" w:type="pct"/>
            <w:gridSpan w:val="10"/>
            <w:tcBorders>
              <w:bottom w:val="single" w:sz="6" w:space="0" w:color="000000"/>
            </w:tcBorders>
            <w:vAlign w:val="bottom"/>
            <w:hideMark/>
          </w:tcPr>
          <w:p w14:paraId="70265630" w14:textId="77777777" w:rsidR="00000000" w:rsidRDefault="00527094">
            <w:pPr>
              <w:pStyle w:val="a3"/>
              <w:spacing w:before="0" w:beforeAutospacing="0" w:after="0" w:afterAutospacing="0"/>
              <w:jc w:val="center"/>
              <w:rPr>
                <w:sz w:val="20"/>
                <w:szCs w:val="20"/>
              </w:rPr>
            </w:pPr>
            <w:r>
              <w:rPr>
                <w:b/>
                <w:bCs/>
                <w:sz w:val="20"/>
                <w:szCs w:val="20"/>
              </w:rPr>
              <w:t>As of June 30, 2019</w:t>
            </w:r>
          </w:p>
        </w:tc>
        <w:tc>
          <w:tcPr>
            <w:tcW w:w="50" w:type="pct"/>
            <w:tcMar>
              <w:top w:w="0" w:type="dxa"/>
              <w:left w:w="0" w:type="dxa"/>
              <w:bottom w:w="15" w:type="dxa"/>
              <w:right w:w="0" w:type="dxa"/>
            </w:tcMar>
            <w:vAlign w:val="bottom"/>
            <w:hideMark/>
          </w:tcPr>
          <w:p w14:paraId="09C55079"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71ACEE1F" w14:textId="77777777" w:rsidR="00000000" w:rsidRDefault="00527094">
            <w:pPr>
              <w:rPr>
                <w:rFonts w:eastAsia="Times New Roman"/>
                <w:sz w:val="20"/>
                <w:szCs w:val="20"/>
              </w:rPr>
            </w:pPr>
            <w:r>
              <w:rPr>
                <w:rFonts w:eastAsia="Times New Roman"/>
                <w:sz w:val="20"/>
                <w:szCs w:val="20"/>
              </w:rPr>
              <w:t> </w:t>
            </w:r>
          </w:p>
        </w:tc>
        <w:tc>
          <w:tcPr>
            <w:tcW w:w="1300" w:type="pct"/>
            <w:gridSpan w:val="10"/>
            <w:tcBorders>
              <w:bottom w:val="single" w:sz="6" w:space="0" w:color="000000"/>
            </w:tcBorders>
            <w:vAlign w:val="bottom"/>
            <w:hideMark/>
          </w:tcPr>
          <w:p w14:paraId="123815FF" w14:textId="77777777" w:rsidR="00000000" w:rsidRDefault="00527094">
            <w:pPr>
              <w:pStyle w:val="a3"/>
              <w:spacing w:before="0" w:beforeAutospacing="0" w:after="0" w:afterAutospacing="0"/>
              <w:jc w:val="center"/>
              <w:rPr>
                <w:sz w:val="20"/>
                <w:szCs w:val="20"/>
              </w:rPr>
            </w:pPr>
            <w:r>
              <w:rPr>
                <w:b/>
                <w:bCs/>
                <w:sz w:val="20"/>
                <w:szCs w:val="20"/>
              </w:rPr>
              <w:t>As of December 31, 2018</w:t>
            </w:r>
          </w:p>
        </w:tc>
        <w:tc>
          <w:tcPr>
            <w:tcW w:w="50" w:type="pct"/>
            <w:tcMar>
              <w:top w:w="0" w:type="dxa"/>
              <w:left w:w="0" w:type="dxa"/>
              <w:bottom w:w="15" w:type="dxa"/>
              <w:right w:w="0" w:type="dxa"/>
            </w:tcMar>
            <w:vAlign w:val="bottom"/>
            <w:hideMark/>
          </w:tcPr>
          <w:p w14:paraId="0CB09F7F" w14:textId="77777777" w:rsidR="00000000" w:rsidRDefault="00527094">
            <w:pPr>
              <w:rPr>
                <w:rFonts w:eastAsia="Times New Roman"/>
                <w:sz w:val="20"/>
                <w:szCs w:val="20"/>
              </w:rPr>
            </w:pPr>
            <w:r>
              <w:rPr>
                <w:rFonts w:eastAsia="Times New Roman"/>
                <w:sz w:val="20"/>
                <w:szCs w:val="20"/>
              </w:rPr>
              <w:t> </w:t>
            </w:r>
          </w:p>
        </w:tc>
      </w:tr>
      <w:tr w:rsidR="00000000" w14:paraId="3D29E774" w14:textId="77777777">
        <w:trPr>
          <w:tblCellSpacing w:w="0" w:type="dxa"/>
        </w:trPr>
        <w:tc>
          <w:tcPr>
            <w:tcW w:w="1300" w:type="pct"/>
            <w:tcBorders>
              <w:bottom w:val="single" w:sz="6" w:space="0" w:color="000000"/>
            </w:tcBorders>
            <w:vAlign w:val="bottom"/>
            <w:hideMark/>
          </w:tcPr>
          <w:p w14:paraId="2999B1E8" w14:textId="77777777" w:rsidR="00000000" w:rsidRDefault="00527094">
            <w:pPr>
              <w:pStyle w:val="a3"/>
              <w:spacing w:before="0" w:beforeAutospacing="0" w:after="0" w:afterAutospacing="0"/>
              <w:rPr>
                <w:sz w:val="20"/>
                <w:szCs w:val="20"/>
              </w:rPr>
            </w:pPr>
            <w:r>
              <w:rPr>
                <w:b/>
                <w:bCs/>
                <w:sz w:val="20"/>
                <w:szCs w:val="20"/>
              </w:rPr>
              <w:t>Joint Venture</w:t>
            </w:r>
          </w:p>
        </w:tc>
        <w:tc>
          <w:tcPr>
            <w:tcW w:w="50" w:type="pct"/>
            <w:tcBorders>
              <w:bottom w:val="single" w:sz="6" w:space="0" w:color="000000"/>
            </w:tcBorders>
            <w:vAlign w:val="bottom"/>
            <w:hideMark/>
          </w:tcPr>
          <w:p w14:paraId="084AD266"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976409D" w14:textId="77777777" w:rsidR="00000000" w:rsidRDefault="00527094">
            <w:pPr>
              <w:pStyle w:val="a3"/>
              <w:spacing w:before="0" w:beforeAutospacing="0" w:after="0" w:afterAutospacing="0"/>
              <w:jc w:val="center"/>
              <w:rPr>
                <w:sz w:val="20"/>
                <w:szCs w:val="20"/>
              </w:rPr>
            </w:pPr>
            <w:r>
              <w:rPr>
                <w:b/>
                <w:bCs/>
                <w:sz w:val="20"/>
                <w:szCs w:val="20"/>
              </w:rPr>
              <w:t>Mortgages and</w:t>
            </w:r>
          </w:p>
          <w:p w14:paraId="08998B4C" w14:textId="77777777" w:rsidR="00000000" w:rsidRDefault="00527094">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tcMar>
              <w:top w:w="0" w:type="dxa"/>
              <w:left w:w="0" w:type="dxa"/>
              <w:bottom w:w="15" w:type="dxa"/>
              <w:right w:w="0" w:type="dxa"/>
            </w:tcMar>
            <w:vAlign w:val="bottom"/>
            <w:hideMark/>
          </w:tcPr>
          <w:p w14:paraId="0581A84C"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A221C3D"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9A22594" w14:textId="77777777" w:rsidR="00000000" w:rsidRDefault="00527094">
            <w:pPr>
              <w:pStyle w:val="a3"/>
              <w:spacing w:before="0" w:beforeAutospacing="0" w:after="0" w:afterAutospacing="0"/>
              <w:jc w:val="center"/>
              <w:rPr>
                <w:sz w:val="20"/>
                <w:szCs w:val="20"/>
              </w:rPr>
            </w:pPr>
            <w:r>
              <w:rPr>
                <w:b/>
                <w:bCs/>
                <w:sz w:val="20"/>
                <w:szCs w:val="20"/>
              </w:rPr>
              <w:t xml:space="preserve">Weighted </w:t>
            </w:r>
          </w:p>
          <w:p w14:paraId="0C887B4E" w14:textId="77777777" w:rsidR="00000000" w:rsidRDefault="00527094">
            <w:pPr>
              <w:pStyle w:val="a3"/>
              <w:spacing w:before="0" w:beforeAutospacing="0" w:after="0" w:afterAutospacing="0"/>
              <w:jc w:val="center"/>
              <w:rPr>
                <w:sz w:val="20"/>
                <w:szCs w:val="20"/>
              </w:rPr>
            </w:pPr>
            <w:r>
              <w:rPr>
                <w:b/>
                <w:bCs/>
                <w:sz w:val="20"/>
                <w:szCs w:val="20"/>
              </w:rPr>
              <w:t xml:space="preserve">Average </w:t>
            </w:r>
          </w:p>
          <w:p w14:paraId="6AEF1F53" w14:textId="77777777" w:rsidR="00000000" w:rsidRDefault="00527094">
            <w:pPr>
              <w:pStyle w:val="a3"/>
              <w:spacing w:before="0" w:beforeAutospacing="0" w:after="0" w:afterAutospacing="0"/>
              <w:jc w:val="center"/>
              <w:rPr>
                <w:sz w:val="20"/>
                <w:szCs w:val="20"/>
              </w:rPr>
            </w:pPr>
            <w:r>
              <w:rPr>
                <w:b/>
                <w:bCs/>
                <w:sz w:val="20"/>
                <w:szCs w:val="20"/>
              </w:rPr>
              <w:t>Interest Rate</w:t>
            </w:r>
          </w:p>
        </w:tc>
        <w:tc>
          <w:tcPr>
            <w:tcW w:w="50" w:type="pct"/>
            <w:tcBorders>
              <w:bottom w:val="single" w:sz="6" w:space="0" w:color="000000"/>
            </w:tcBorders>
            <w:tcMar>
              <w:top w:w="0" w:type="dxa"/>
              <w:left w:w="0" w:type="dxa"/>
              <w:bottom w:w="15" w:type="dxa"/>
              <w:right w:w="0" w:type="dxa"/>
            </w:tcMar>
            <w:vAlign w:val="bottom"/>
            <w:hideMark/>
          </w:tcPr>
          <w:p w14:paraId="729191A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58CF600"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BC64B79" w14:textId="77777777" w:rsidR="00000000" w:rsidRDefault="00527094">
            <w:pPr>
              <w:pStyle w:val="a3"/>
              <w:spacing w:before="0" w:beforeAutospacing="0" w:after="0" w:afterAutospacing="0"/>
              <w:jc w:val="center"/>
              <w:rPr>
                <w:sz w:val="20"/>
                <w:szCs w:val="20"/>
              </w:rPr>
            </w:pPr>
            <w:r>
              <w:rPr>
                <w:b/>
                <w:bCs/>
                <w:sz w:val="20"/>
                <w:szCs w:val="20"/>
              </w:rPr>
              <w:t>Weighted</w:t>
            </w:r>
          </w:p>
          <w:p w14:paraId="214A22E5" w14:textId="77777777" w:rsidR="00000000" w:rsidRDefault="00527094">
            <w:pPr>
              <w:pStyle w:val="a3"/>
              <w:spacing w:before="0" w:beforeAutospacing="0" w:after="0" w:afterAutospacing="0"/>
              <w:jc w:val="center"/>
              <w:rPr>
                <w:sz w:val="20"/>
                <w:szCs w:val="20"/>
              </w:rPr>
            </w:pPr>
            <w:r>
              <w:rPr>
                <w:b/>
                <w:bCs/>
                <w:sz w:val="20"/>
                <w:szCs w:val="20"/>
              </w:rPr>
              <w:t xml:space="preserve">Average </w:t>
            </w:r>
          </w:p>
          <w:p w14:paraId="34297F0A" w14:textId="77777777" w:rsidR="00000000" w:rsidRDefault="00527094">
            <w:pPr>
              <w:pStyle w:val="a3"/>
              <w:spacing w:before="0" w:beforeAutospacing="0" w:after="0" w:afterAutospacing="0"/>
              <w:jc w:val="center"/>
              <w:rPr>
                <w:sz w:val="20"/>
                <w:szCs w:val="20"/>
              </w:rPr>
            </w:pPr>
            <w:r>
              <w:rPr>
                <w:b/>
                <w:bCs/>
                <w:sz w:val="20"/>
                <w:szCs w:val="20"/>
              </w:rPr>
              <w:t xml:space="preserve">Remaining </w:t>
            </w:r>
          </w:p>
          <w:p w14:paraId="36FB5FED" w14:textId="77777777" w:rsidR="00000000" w:rsidRDefault="00527094">
            <w:pPr>
              <w:pStyle w:val="a3"/>
              <w:spacing w:before="0" w:beforeAutospacing="0" w:after="0" w:afterAutospacing="0"/>
              <w:jc w:val="center"/>
              <w:rPr>
                <w:sz w:val="20"/>
                <w:szCs w:val="20"/>
              </w:rPr>
            </w:pPr>
            <w:r>
              <w:rPr>
                <w:b/>
                <w:bCs/>
                <w:sz w:val="20"/>
                <w:szCs w:val="20"/>
              </w:rPr>
              <w:t>Term (months)*</w:t>
            </w:r>
          </w:p>
        </w:tc>
        <w:tc>
          <w:tcPr>
            <w:tcW w:w="50" w:type="pct"/>
            <w:tcBorders>
              <w:bottom w:val="single" w:sz="6" w:space="0" w:color="000000"/>
            </w:tcBorders>
            <w:tcMar>
              <w:top w:w="0" w:type="dxa"/>
              <w:left w:w="0" w:type="dxa"/>
              <w:bottom w:w="15" w:type="dxa"/>
              <w:right w:w="0" w:type="dxa"/>
            </w:tcMar>
            <w:vAlign w:val="bottom"/>
            <w:hideMark/>
          </w:tcPr>
          <w:p w14:paraId="649BD0E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48AA0489"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D7CD4B6" w14:textId="77777777" w:rsidR="00000000" w:rsidRDefault="00527094">
            <w:pPr>
              <w:pStyle w:val="a3"/>
              <w:spacing w:before="0" w:beforeAutospacing="0" w:after="0" w:afterAutospacing="0"/>
              <w:jc w:val="center"/>
              <w:rPr>
                <w:sz w:val="20"/>
                <w:szCs w:val="20"/>
              </w:rPr>
            </w:pPr>
            <w:r>
              <w:rPr>
                <w:b/>
                <w:bCs/>
                <w:sz w:val="20"/>
                <w:szCs w:val="20"/>
              </w:rPr>
              <w:t>Mortgages and</w:t>
            </w:r>
          </w:p>
          <w:p w14:paraId="78F914E4" w14:textId="77777777" w:rsidR="00000000" w:rsidRDefault="00527094">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tcMar>
              <w:top w:w="0" w:type="dxa"/>
              <w:left w:w="0" w:type="dxa"/>
              <w:bottom w:w="15" w:type="dxa"/>
              <w:right w:w="0" w:type="dxa"/>
            </w:tcMar>
            <w:vAlign w:val="bottom"/>
            <w:hideMark/>
          </w:tcPr>
          <w:p w14:paraId="06A379A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487F854A" w14:textId="77777777" w:rsidR="00000000" w:rsidRDefault="00527094">
            <w:pPr>
              <w:rPr>
                <w:rFonts w:eastAsia="Times New Roman"/>
                <w:sz w:val="20"/>
                <w:szCs w:val="20"/>
              </w:rPr>
            </w:pPr>
            <w:r>
              <w:rPr>
                <w:rFonts w:eastAsia="Times New Roman"/>
                <w:sz w:val="20"/>
                <w:szCs w:val="20"/>
              </w:rPr>
              <w:t> </w:t>
            </w:r>
          </w:p>
        </w:tc>
        <w:tc>
          <w:tcPr>
            <w:tcW w:w="2205" w:type="dxa"/>
            <w:gridSpan w:val="2"/>
            <w:tcBorders>
              <w:bottom w:val="single" w:sz="6" w:space="0" w:color="000000"/>
            </w:tcBorders>
            <w:vAlign w:val="bottom"/>
            <w:hideMark/>
          </w:tcPr>
          <w:p w14:paraId="5F293E80" w14:textId="77777777" w:rsidR="00000000" w:rsidRDefault="00527094">
            <w:pPr>
              <w:pStyle w:val="a3"/>
              <w:spacing w:before="0" w:beforeAutospacing="0" w:after="0" w:afterAutospacing="0"/>
              <w:jc w:val="center"/>
              <w:rPr>
                <w:sz w:val="20"/>
                <w:szCs w:val="20"/>
              </w:rPr>
            </w:pPr>
            <w:r>
              <w:rPr>
                <w:b/>
                <w:bCs/>
                <w:sz w:val="20"/>
                <w:szCs w:val="20"/>
              </w:rPr>
              <w:t xml:space="preserve">Weighted </w:t>
            </w:r>
          </w:p>
          <w:p w14:paraId="4C4F8D71" w14:textId="77777777" w:rsidR="00000000" w:rsidRDefault="00527094">
            <w:pPr>
              <w:pStyle w:val="a3"/>
              <w:spacing w:before="0" w:beforeAutospacing="0" w:after="0" w:afterAutospacing="0"/>
              <w:jc w:val="center"/>
              <w:rPr>
                <w:sz w:val="20"/>
                <w:szCs w:val="20"/>
              </w:rPr>
            </w:pPr>
            <w:r>
              <w:rPr>
                <w:b/>
                <w:bCs/>
                <w:sz w:val="20"/>
                <w:szCs w:val="20"/>
              </w:rPr>
              <w:t>Average</w:t>
            </w:r>
          </w:p>
          <w:p w14:paraId="22F1F2D5" w14:textId="77777777" w:rsidR="00000000" w:rsidRDefault="00527094">
            <w:pPr>
              <w:pStyle w:val="a3"/>
              <w:spacing w:before="0" w:beforeAutospacing="0" w:after="0" w:afterAutospacing="0"/>
              <w:jc w:val="center"/>
              <w:rPr>
                <w:sz w:val="20"/>
                <w:szCs w:val="20"/>
              </w:rPr>
            </w:pPr>
            <w:r>
              <w:rPr>
                <w:b/>
                <w:bCs/>
                <w:sz w:val="20"/>
                <w:szCs w:val="20"/>
              </w:rPr>
              <w:t>Interest Rate</w:t>
            </w:r>
          </w:p>
        </w:tc>
        <w:tc>
          <w:tcPr>
            <w:tcW w:w="210" w:type="dxa"/>
            <w:tcBorders>
              <w:bottom w:val="single" w:sz="6" w:space="0" w:color="000000"/>
            </w:tcBorders>
            <w:tcMar>
              <w:top w:w="0" w:type="dxa"/>
              <w:left w:w="0" w:type="dxa"/>
              <w:bottom w:w="15" w:type="dxa"/>
              <w:right w:w="0" w:type="dxa"/>
            </w:tcMar>
            <w:vAlign w:val="bottom"/>
            <w:hideMark/>
          </w:tcPr>
          <w:p w14:paraId="36FD937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391038DE"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E626C4C" w14:textId="77777777" w:rsidR="00000000" w:rsidRDefault="00527094">
            <w:pPr>
              <w:pStyle w:val="a3"/>
              <w:spacing w:before="0" w:beforeAutospacing="0" w:after="0" w:afterAutospacing="0"/>
              <w:jc w:val="center"/>
              <w:rPr>
                <w:sz w:val="20"/>
                <w:szCs w:val="20"/>
              </w:rPr>
            </w:pPr>
            <w:r>
              <w:rPr>
                <w:b/>
                <w:bCs/>
                <w:sz w:val="20"/>
                <w:szCs w:val="20"/>
              </w:rPr>
              <w:t xml:space="preserve">Weighted </w:t>
            </w:r>
          </w:p>
          <w:p w14:paraId="60E17CAB" w14:textId="77777777" w:rsidR="00000000" w:rsidRDefault="00527094">
            <w:pPr>
              <w:pStyle w:val="a3"/>
              <w:spacing w:before="0" w:beforeAutospacing="0" w:after="0" w:afterAutospacing="0"/>
              <w:jc w:val="center"/>
              <w:rPr>
                <w:sz w:val="20"/>
                <w:szCs w:val="20"/>
              </w:rPr>
            </w:pPr>
            <w:r>
              <w:rPr>
                <w:b/>
                <w:bCs/>
                <w:sz w:val="20"/>
                <w:szCs w:val="20"/>
              </w:rPr>
              <w:t xml:space="preserve">Average </w:t>
            </w:r>
          </w:p>
          <w:p w14:paraId="45789CE3" w14:textId="77777777" w:rsidR="00000000" w:rsidRDefault="00527094">
            <w:pPr>
              <w:pStyle w:val="a3"/>
              <w:spacing w:before="0" w:beforeAutospacing="0" w:after="0" w:afterAutospacing="0"/>
              <w:jc w:val="center"/>
              <w:rPr>
                <w:sz w:val="20"/>
                <w:szCs w:val="20"/>
              </w:rPr>
            </w:pPr>
            <w:r>
              <w:rPr>
                <w:b/>
                <w:bCs/>
                <w:sz w:val="20"/>
                <w:szCs w:val="20"/>
              </w:rPr>
              <w:t>Remaining</w:t>
            </w:r>
          </w:p>
          <w:p w14:paraId="3F279877" w14:textId="77777777" w:rsidR="00000000" w:rsidRDefault="00527094">
            <w:pPr>
              <w:pStyle w:val="a3"/>
              <w:spacing w:before="0" w:beforeAutospacing="0" w:after="0" w:afterAutospacing="0"/>
              <w:jc w:val="center"/>
              <w:rPr>
                <w:sz w:val="20"/>
                <w:szCs w:val="20"/>
              </w:rPr>
            </w:pPr>
            <w:r>
              <w:rPr>
                <w:b/>
                <w:bCs/>
                <w:sz w:val="20"/>
                <w:szCs w:val="20"/>
              </w:rPr>
              <w:t>Term (months)*</w:t>
            </w:r>
          </w:p>
        </w:tc>
        <w:tc>
          <w:tcPr>
            <w:tcW w:w="50" w:type="pct"/>
            <w:tcMar>
              <w:top w:w="0" w:type="dxa"/>
              <w:left w:w="0" w:type="dxa"/>
              <w:bottom w:w="15" w:type="dxa"/>
              <w:right w:w="0" w:type="dxa"/>
            </w:tcMar>
            <w:vAlign w:val="bottom"/>
            <w:hideMark/>
          </w:tcPr>
          <w:p w14:paraId="6D10EB90" w14:textId="77777777" w:rsidR="00000000" w:rsidRDefault="00527094">
            <w:pPr>
              <w:rPr>
                <w:rFonts w:eastAsia="Times New Roman"/>
                <w:sz w:val="20"/>
                <w:szCs w:val="20"/>
              </w:rPr>
            </w:pPr>
            <w:r>
              <w:rPr>
                <w:rFonts w:eastAsia="Times New Roman"/>
                <w:sz w:val="20"/>
                <w:szCs w:val="20"/>
              </w:rPr>
              <w:t> </w:t>
            </w:r>
          </w:p>
        </w:tc>
      </w:tr>
      <w:tr w:rsidR="00000000" w14:paraId="62540B41" w14:textId="77777777">
        <w:trPr>
          <w:tblCellSpacing w:w="0" w:type="dxa"/>
        </w:trPr>
        <w:tc>
          <w:tcPr>
            <w:tcW w:w="1300" w:type="pct"/>
            <w:tcBorders>
              <w:bottom w:val="nil"/>
            </w:tcBorders>
            <w:shd w:val="clear" w:color="auto" w:fill="CCEEFF"/>
            <w:vAlign w:val="bottom"/>
            <w:hideMark/>
          </w:tcPr>
          <w:p w14:paraId="0BA1159A" w14:textId="77777777" w:rsidR="00000000" w:rsidRDefault="00527094">
            <w:pPr>
              <w:pStyle w:val="a3"/>
              <w:spacing w:before="0" w:beforeAutospacing="0" w:after="0" w:afterAutospacing="0"/>
              <w:rPr>
                <w:sz w:val="20"/>
                <w:szCs w:val="20"/>
              </w:rPr>
            </w:pPr>
            <w:r>
              <w:rPr>
                <w:sz w:val="20"/>
                <w:szCs w:val="20"/>
              </w:rPr>
              <w:t>KimPru and KimPru II</w:t>
            </w:r>
          </w:p>
        </w:tc>
        <w:tc>
          <w:tcPr>
            <w:tcW w:w="50" w:type="pct"/>
            <w:tcBorders>
              <w:bottom w:val="nil"/>
            </w:tcBorders>
            <w:shd w:val="clear" w:color="auto" w:fill="CCEEFF"/>
            <w:vAlign w:val="bottom"/>
            <w:hideMark/>
          </w:tcPr>
          <w:p w14:paraId="3DC65ADC"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D988050" w14:textId="77777777" w:rsidR="00000000" w:rsidRDefault="00527094">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5E7F6776" w14:textId="77777777" w:rsidR="00000000" w:rsidRDefault="00527094">
            <w:pPr>
              <w:jc w:val="right"/>
              <w:rPr>
                <w:rFonts w:eastAsia="Times New Roman"/>
                <w:sz w:val="20"/>
                <w:szCs w:val="20"/>
              </w:rPr>
            </w:pPr>
            <w:r>
              <w:rPr>
                <w:rFonts w:eastAsia="Times New Roman"/>
                <w:sz w:val="20"/>
                <w:szCs w:val="20"/>
              </w:rPr>
              <w:t>562.9</w:t>
            </w:r>
          </w:p>
        </w:tc>
        <w:tc>
          <w:tcPr>
            <w:tcW w:w="50" w:type="pct"/>
            <w:tcBorders>
              <w:bottom w:val="nil"/>
            </w:tcBorders>
            <w:shd w:val="clear" w:color="auto" w:fill="CCEEFF"/>
            <w:vAlign w:val="bottom"/>
            <w:hideMark/>
          </w:tcPr>
          <w:p w14:paraId="58B0F102"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71ABD1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7D4A2EC" w14:textId="77777777" w:rsidR="00000000" w:rsidRDefault="00527094">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337B1ED6" w14:textId="77777777" w:rsidR="00000000" w:rsidRDefault="00527094">
            <w:pPr>
              <w:jc w:val="right"/>
              <w:rPr>
                <w:rFonts w:eastAsia="Times New Roman"/>
                <w:sz w:val="20"/>
                <w:szCs w:val="20"/>
              </w:rPr>
            </w:pPr>
            <w:r>
              <w:rPr>
                <w:rFonts w:eastAsia="Times New Roman"/>
                <w:sz w:val="20"/>
                <w:szCs w:val="20"/>
              </w:rPr>
              <w:t>4.02</w:t>
            </w:r>
          </w:p>
        </w:tc>
        <w:tc>
          <w:tcPr>
            <w:tcW w:w="50" w:type="pct"/>
            <w:tcBorders>
              <w:bottom w:val="nil"/>
            </w:tcBorders>
            <w:shd w:val="clear" w:color="auto" w:fill="CCEEFF"/>
            <w:vAlign w:val="bottom"/>
            <w:hideMark/>
          </w:tcPr>
          <w:p w14:paraId="155ACF30" w14:textId="77777777" w:rsidR="00000000" w:rsidRDefault="00527094">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57CB16F0"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53BDF5D" w14:textId="77777777" w:rsidR="00000000" w:rsidRDefault="00527094">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04F4B507" w14:textId="77777777" w:rsidR="00000000" w:rsidRDefault="00527094">
            <w:pPr>
              <w:jc w:val="right"/>
              <w:rPr>
                <w:rFonts w:eastAsia="Times New Roman"/>
                <w:sz w:val="20"/>
                <w:szCs w:val="20"/>
              </w:rPr>
            </w:pPr>
            <w:r>
              <w:rPr>
                <w:rFonts w:eastAsia="Times New Roman"/>
                <w:sz w:val="20"/>
                <w:szCs w:val="20"/>
              </w:rPr>
              <w:t>51.8</w:t>
            </w:r>
          </w:p>
        </w:tc>
        <w:tc>
          <w:tcPr>
            <w:tcW w:w="50" w:type="pct"/>
            <w:tcBorders>
              <w:bottom w:val="nil"/>
            </w:tcBorders>
            <w:shd w:val="clear" w:color="auto" w:fill="CCEEFF"/>
            <w:vAlign w:val="bottom"/>
            <w:hideMark/>
          </w:tcPr>
          <w:p w14:paraId="3AD17089"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FD70AF1"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7CB8ADB" w14:textId="77777777" w:rsidR="00000000" w:rsidRDefault="00527094">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14:paraId="669ABC16" w14:textId="77777777" w:rsidR="00000000" w:rsidRDefault="00527094">
            <w:pPr>
              <w:jc w:val="right"/>
              <w:rPr>
                <w:rFonts w:eastAsia="Times New Roman"/>
                <w:sz w:val="20"/>
                <w:szCs w:val="20"/>
              </w:rPr>
            </w:pPr>
            <w:r>
              <w:rPr>
                <w:rFonts w:eastAsia="Times New Roman"/>
                <w:sz w:val="20"/>
                <w:szCs w:val="20"/>
              </w:rPr>
              <w:t>572.6</w:t>
            </w:r>
          </w:p>
        </w:tc>
        <w:tc>
          <w:tcPr>
            <w:tcW w:w="50" w:type="pct"/>
            <w:tcBorders>
              <w:bottom w:val="nil"/>
            </w:tcBorders>
            <w:shd w:val="clear" w:color="auto" w:fill="CCEEFF"/>
            <w:vAlign w:val="bottom"/>
            <w:hideMark/>
          </w:tcPr>
          <w:p w14:paraId="592E9199"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A949337"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0E08FC0" w14:textId="77777777" w:rsidR="00000000" w:rsidRDefault="00527094">
            <w:pPr>
              <w:rPr>
                <w:rFonts w:eastAsia="Times New Roman"/>
                <w:sz w:val="20"/>
                <w:szCs w:val="20"/>
              </w:rPr>
            </w:pPr>
            <w:r>
              <w:rPr>
                <w:rFonts w:eastAsia="Times New Roman"/>
                <w:sz w:val="20"/>
                <w:szCs w:val="20"/>
              </w:rPr>
              <w:t> </w:t>
            </w:r>
          </w:p>
        </w:tc>
        <w:tc>
          <w:tcPr>
            <w:tcW w:w="1980" w:type="dxa"/>
            <w:tcBorders>
              <w:bottom w:val="nil"/>
            </w:tcBorders>
            <w:shd w:val="clear" w:color="auto" w:fill="CCEEFF"/>
            <w:vAlign w:val="bottom"/>
            <w:hideMark/>
          </w:tcPr>
          <w:p w14:paraId="21F7B2BC" w14:textId="77777777" w:rsidR="00000000" w:rsidRDefault="00527094">
            <w:pPr>
              <w:jc w:val="right"/>
              <w:rPr>
                <w:rFonts w:eastAsia="Times New Roman"/>
                <w:sz w:val="20"/>
                <w:szCs w:val="20"/>
              </w:rPr>
            </w:pPr>
            <w:r>
              <w:rPr>
                <w:rFonts w:eastAsia="Times New Roman"/>
                <w:sz w:val="20"/>
                <w:szCs w:val="20"/>
              </w:rPr>
              <w:t>4.29</w:t>
            </w:r>
          </w:p>
        </w:tc>
        <w:tc>
          <w:tcPr>
            <w:tcW w:w="210" w:type="dxa"/>
            <w:tcBorders>
              <w:bottom w:val="nil"/>
            </w:tcBorders>
            <w:shd w:val="clear" w:color="auto" w:fill="CCEEFF"/>
            <w:vAlign w:val="bottom"/>
            <w:hideMark/>
          </w:tcPr>
          <w:p w14:paraId="3690A50C" w14:textId="77777777" w:rsidR="00000000" w:rsidRDefault="00527094">
            <w:pPr>
              <w:pStyle w:val="a3"/>
              <w:spacing w:before="0" w:beforeAutospacing="0" w:after="0" w:afterAutospacing="0"/>
              <w:rPr>
                <w:sz w:val="20"/>
                <w:szCs w:val="20"/>
              </w:rPr>
            </w:pPr>
            <w:r>
              <w:rPr>
                <w:sz w:val="20"/>
                <w:szCs w:val="20"/>
              </w:rPr>
              <w:t>%</w:t>
            </w:r>
          </w:p>
        </w:tc>
        <w:tc>
          <w:tcPr>
            <w:tcW w:w="50" w:type="pct"/>
            <w:tcBorders>
              <w:bottom w:val="nil"/>
            </w:tcBorders>
            <w:shd w:val="clear" w:color="auto" w:fill="CCEEFF"/>
            <w:vAlign w:val="bottom"/>
            <w:hideMark/>
          </w:tcPr>
          <w:p w14:paraId="6618938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7E07789" w14:textId="77777777" w:rsidR="00000000" w:rsidRDefault="00527094">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5956A646" w14:textId="77777777" w:rsidR="00000000" w:rsidRDefault="00527094">
            <w:pPr>
              <w:jc w:val="right"/>
              <w:rPr>
                <w:rFonts w:eastAsia="Times New Roman"/>
                <w:sz w:val="20"/>
                <w:szCs w:val="20"/>
              </w:rPr>
            </w:pPr>
            <w:r>
              <w:rPr>
                <w:rFonts w:eastAsia="Times New Roman"/>
                <w:sz w:val="20"/>
                <w:szCs w:val="20"/>
              </w:rPr>
              <w:t>49.0</w:t>
            </w:r>
          </w:p>
        </w:tc>
        <w:tc>
          <w:tcPr>
            <w:tcW w:w="50" w:type="pct"/>
            <w:tcBorders>
              <w:bottom w:val="nil"/>
            </w:tcBorders>
            <w:shd w:val="clear" w:color="auto" w:fill="CCEEFF"/>
            <w:vAlign w:val="bottom"/>
            <w:hideMark/>
          </w:tcPr>
          <w:p w14:paraId="6C35ADA9" w14:textId="77777777" w:rsidR="00000000" w:rsidRDefault="00527094">
            <w:pPr>
              <w:rPr>
                <w:rFonts w:eastAsia="Times New Roman"/>
                <w:sz w:val="20"/>
                <w:szCs w:val="20"/>
              </w:rPr>
            </w:pPr>
            <w:r>
              <w:rPr>
                <w:rFonts w:eastAsia="Times New Roman"/>
                <w:sz w:val="20"/>
                <w:szCs w:val="20"/>
              </w:rPr>
              <w:t> </w:t>
            </w:r>
          </w:p>
        </w:tc>
      </w:tr>
      <w:tr w:rsidR="00000000" w14:paraId="3C23DF06" w14:textId="77777777">
        <w:trPr>
          <w:tblCellSpacing w:w="0" w:type="dxa"/>
        </w:trPr>
        <w:tc>
          <w:tcPr>
            <w:tcW w:w="1300" w:type="pct"/>
            <w:shd w:val="clear" w:color="auto" w:fill="FFFFFF"/>
            <w:vAlign w:val="bottom"/>
            <w:hideMark/>
          </w:tcPr>
          <w:p w14:paraId="4D4094F4" w14:textId="77777777" w:rsidR="00000000" w:rsidRDefault="00527094">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419F34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AA0C24"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7DA087CF" w14:textId="77777777" w:rsidR="00000000" w:rsidRDefault="00527094">
            <w:pPr>
              <w:jc w:val="right"/>
              <w:rPr>
                <w:rFonts w:eastAsia="Times New Roman"/>
                <w:sz w:val="20"/>
                <w:szCs w:val="20"/>
              </w:rPr>
            </w:pPr>
            <w:r>
              <w:rPr>
                <w:rFonts w:eastAsia="Times New Roman"/>
                <w:sz w:val="20"/>
                <w:szCs w:val="20"/>
              </w:rPr>
              <w:t>572.0</w:t>
            </w:r>
          </w:p>
        </w:tc>
        <w:tc>
          <w:tcPr>
            <w:tcW w:w="50" w:type="pct"/>
            <w:shd w:val="clear" w:color="auto" w:fill="FFFFFF"/>
            <w:vAlign w:val="bottom"/>
            <w:hideMark/>
          </w:tcPr>
          <w:p w14:paraId="1286FC0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7F345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07D65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DB73859" w14:textId="77777777" w:rsidR="00000000" w:rsidRDefault="00527094">
            <w:pPr>
              <w:jc w:val="right"/>
              <w:rPr>
                <w:rFonts w:eastAsia="Times New Roman"/>
                <w:sz w:val="20"/>
                <w:szCs w:val="20"/>
              </w:rPr>
            </w:pPr>
            <w:r>
              <w:rPr>
                <w:rFonts w:eastAsia="Times New Roman"/>
                <w:sz w:val="20"/>
                <w:szCs w:val="20"/>
              </w:rPr>
              <w:t>4.48</w:t>
            </w:r>
          </w:p>
        </w:tc>
        <w:tc>
          <w:tcPr>
            <w:tcW w:w="50" w:type="pct"/>
            <w:shd w:val="clear" w:color="auto" w:fill="FFFFFF"/>
            <w:vAlign w:val="bottom"/>
            <w:hideMark/>
          </w:tcPr>
          <w:p w14:paraId="78F99F9F"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1B6D89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346B4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A0433CB" w14:textId="77777777" w:rsidR="00000000" w:rsidRDefault="00527094">
            <w:pPr>
              <w:jc w:val="right"/>
              <w:rPr>
                <w:rFonts w:eastAsia="Times New Roman"/>
                <w:sz w:val="20"/>
                <w:szCs w:val="20"/>
              </w:rPr>
            </w:pPr>
            <w:r>
              <w:rPr>
                <w:rFonts w:eastAsia="Times New Roman"/>
                <w:sz w:val="20"/>
                <w:szCs w:val="20"/>
              </w:rPr>
              <w:t>34.0</w:t>
            </w:r>
          </w:p>
        </w:tc>
        <w:tc>
          <w:tcPr>
            <w:tcW w:w="50" w:type="pct"/>
            <w:shd w:val="clear" w:color="auto" w:fill="FFFFFF"/>
            <w:vAlign w:val="bottom"/>
            <w:hideMark/>
          </w:tcPr>
          <w:p w14:paraId="0E43EB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9B73B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B3BC21"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64506BE" w14:textId="77777777" w:rsidR="00000000" w:rsidRDefault="00527094">
            <w:pPr>
              <w:jc w:val="right"/>
              <w:rPr>
                <w:rFonts w:eastAsia="Times New Roman"/>
                <w:sz w:val="20"/>
                <w:szCs w:val="20"/>
              </w:rPr>
            </w:pPr>
            <w:r>
              <w:rPr>
                <w:rFonts w:eastAsia="Times New Roman"/>
                <w:sz w:val="20"/>
                <w:szCs w:val="20"/>
              </w:rPr>
              <w:t>651.4</w:t>
            </w:r>
          </w:p>
        </w:tc>
        <w:tc>
          <w:tcPr>
            <w:tcW w:w="50" w:type="pct"/>
            <w:shd w:val="clear" w:color="auto" w:fill="FFFFFF"/>
            <w:vAlign w:val="bottom"/>
            <w:hideMark/>
          </w:tcPr>
          <w:p w14:paraId="01208F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2177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E8E482" w14:textId="77777777" w:rsidR="00000000" w:rsidRDefault="00527094">
            <w:pPr>
              <w:rPr>
                <w:rFonts w:eastAsia="Times New Roman"/>
                <w:sz w:val="20"/>
                <w:szCs w:val="20"/>
              </w:rPr>
            </w:pPr>
            <w:r>
              <w:rPr>
                <w:rFonts w:eastAsia="Times New Roman"/>
                <w:sz w:val="20"/>
                <w:szCs w:val="20"/>
              </w:rPr>
              <w:t> </w:t>
            </w:r>
          </w:p>
        </w:tc>
        <w:tc>
          <w:tcPr>
            <w:tcW w:w="1980" w:type="dxa"/>
            <w:shd w:val="clear" w:color="auto" w:fill="FFFFFF"/>
            <w:vAlign w:val="bottom"/>
            <w:hideMark/>
          </w:tcPr>
          <w:p w14:paraId="48934A1C" w14:textId="77777777" w:rsidR="00000000" w:rsidRDefault="00527094">
            <w:pPr>
              <w:jc w:val="right"/>
              <w:rPr>
                <w:rFonts w:eastAsia="Times New Roman"/>
                <w:sz w:val="20"/>
                <w:szCs w:val="20"/>
              </w:rPr>
            </w:pPr>
            <w:r>
              <w:rPr>
                <w:rFonts w:eastAsia="Times New Roman"/>
                <w:sz w:val="20"/>
                <w:szCs w:val="20"/>
              </w:rPr>
              <w:t>4.43</w:t>
            </w:r>
          </w:p>
        </w:tc>
        <w:tc>
          <w:tcPr>
            <w:tcW w:w="210" w:type="dxa"/>
            <w:shd w:val="clear" w:color="auto" w:fill="FFFFFF"/>
            <w:vAlign w:val="bottom"/>
            <w:hideMark/>
          </w:tcPr>
          <w:p w14:paraId="558EE9D0"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66ACC20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9B7A5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3B1AE4E" w14:textId="77777777" w:rsidR="00000000" w:rsidRDefault="00527094">
            <w:pPr>
              <w:jc w:val="right"/>
              <w:rPr>
                <w:rFonts w:eastAsia="Times New Roman"/>
                <w:sz w:val="20"/>
                <w:szCs w:val="20"/>
              </w:rPr>
            </w:pPr>
            <w:r>
              <w:rPr>
                <w:rFonts w:eastAsia="Times New Roman"/>
                <w:sz w:val="20"/>
                <w:szCs w:val="20"/>
              </w:rPr>
              <w:t>40.4</w:t>
            </w:r>
          </w:p>
        </w:tc>
        <w:tc>
          <w:tcPr>
            <w:tcW w:w="50" w:type="pct"/>
            <w:shd w:val="clear" w:color="auto" w:fill="FFFFFF"/>
            <w:vAlign w:val="bottom"/>
            <w:hideMark/>
          </w:tcPr>
          <w:p w14:paraId="1278B77D" w14:textId="77777777" w:rsidR="00000000" w:rsidRDefault="00527094">
            <w:pPr>
              <w:rPr>
                <w:rFonts w:eastAsia="Times New Roman"/>
                <w:sz w:val="20"/>
                <w:szCs w:val="20"/>
              </w:rPr>
            </w:pPr>
            <w:r>
              <w:rPr>
                <w:rFonts w:eastAsia="Times New Roman"/>
                <w:sz w:val="20"/>
                <w:szCs w:val="20"/>
              </w:rPr>
              <w:t> </w:t>
            </w:r>
          </w:p>
        </w:tc>
      </w:tr>
      <w:tr w:rsidR="00000000" w14:paraId="23535646" w14:textId="77777777">
        <w:trPr>
          <w:tblCellSpacing w:w="0" w:type="dxa"/>
        </w:trPr>
        <w:tc>
          <w:tcPr>
            <w:tcW w:w="1300" w:type="pct"/>
            <w:shd w:val="clear" w:color="auto" w:fill="CCEEFF"/>
            <w:vAlign w:val="bottom"/>
            <w:hideMark/>
          </w:tcPr>
          <w:p w14:paraId="472FADE4" w14:textId="77777777" w:rsidR="00000000" w:rsidRDefault="00527094">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0B2ECCF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79B7A3"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1869984" w14:textId="77777777" w:rsidR="00000000" w:rsidRDefault="00527094">
            <w:pPr>
              <w:jc w:val="right"/>
              <w:rPr>
                <w:rFonts w:eastAsia="Times New Roman"/>
                <w:sz w:val="20"/>
                <w:szCs w:val="20"/>
              </w:rPr>
            </w:pPr>
            <w:r>
              <w:rPr>
                <w:rFonts w:eastAsia="Times New Roman"/>
                <w:sz w:val="20"/>
                <w:szCs w:val="20"/>
              </w:rPr>
              <w:t>84.7</w:t>
            </w:r>
          </w:p>
        </w:tc>
        <w:tc>
          <w:tcPr>
            <w:tcW w:w="50" w:type="pct"/>
            <w:shd w:val="clear" w:color="auto" w:fill="CCEEFF"/>
            <w:vAlign w:val="bottom"/>
            <w:hideMark/>
          </w:tcPr>
          <w:p w14:paraId="03BC4AB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8B79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AE782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E453B81" w14:textId="77777777" w:rsidR="00000000" w:rsidRDefault="00527094">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14:paraId="11087F96"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E13480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BFFB2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412FE9B" w14:textId="77777777" w:rsidR="00000000" w:rsidRDefault="00527094">
            <w:pPr>
              <w:jc w:val="right"/>
              <w:rPr>
                <w:rFonts w:eastAsia="Times New Roman"/>
                <w:sz w:val="20"/>
                <w:szCs w:val="20"/>
              </w:rPr>
            </w:pPr>
            <w:r>
              <w:rPr>
                <w:rFonts w:eastAsia="Times New Roman"/>
                <w:sz w:val="20"/>
                <w:szCs w:val="20"/>
              </w:rPr>
              <w:t>48.1</w:t>
            </w:r>
          </w:p>
        </w:tc>
        <w:tc>
          <w:tcPr>
            <w:tcW w:w="50" w:type="pct"/>
            <w:shd w:val="clear" w:color="auto" w:fill="CCEEFF"/>
            <w:vAlign w:val="bottom"/>
            <w:hideMark/>
          </w:tcPr>
          <w:p w14:paraId="07BE485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E9144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BAF0BB"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7B21E16" w14:textId="77777777" w:rsidR="00000000" w:rsidRDefault="00527094">
            <w:pPr>
              <w:jc w:val="right"/>
              <w:rPr>
                <w:rFonts w:eastAsia="Times New Roman"/>
                <w:sz w:val="20"/>
                <w:szCs w:val="20"/>
              </w:rPr>
            </w:pPr>
            <w:r>
              <w:rPr>
                <w:rFonts w:eastAsia="Times New Roman"/>
                <w:sz w:val="20"/>
                <w:szCs w:val="20"/>
              </w:rPr>
              <w:t>84.4</w:t>
            </w:r>
          </w:p>
        </w:tc>
        <w:tc>
          <w:tcPr>
            <w:tcW w:w="50" w:type="pct"/>
            <w:shd w:val="clear" w:color="auto" w:fill="CCEEFF"/>
            <w:vAlign w:val="bottom"/>
            <w:hideMark/>
          </w:tcPr>
          <w:p w14:paraId="4738F80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90DE3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A8E4FB" w14:textId="77777777" w:rsidR="00000000" w:rsidRDefault="00527094">
            <w:pPr>
              <w:rPr>
                <w:rFonts w:eastAsia="Times New Roman"/>
                <w:sz w:val="20"/>
                <w:szCs w:val="20"/>
              </w:rPr>
            </w:pPr>
            <w:r>
              <w:rPr>
                <w:rFonts w:eastAsia="Times New Roman"/>
                <w:sz w:val="20"/>
                <w:szCs w:val="20"/>
              </w:rPr>
              <w:t> </w:t>
            </w:r>
          </w:p>
        </w:tc>
        <w:tc>
          <w:tcPr>
            <w:tcW w:w="1980" w:type="dxa"/>
            <w:shd w:val="clear" w:color="auto" w:fill="CCEEFF"/>
            <w:vAlign w:val="bottom"/>
            <w:hideMark/>
          </w:tcPr>
          <w:p w14:paraId="2165294F" w14:textId="77777777" w:rsidR="00000000" w:rsidRDefault="00527094">
            <w:pPr>
              <w:jc w:val="right"/>
              <w:rPr>
                <w:rFonts w:eastAsia="Times New Roman"/>
                <w:sz w:val="20"/>
                <w:szCs w:val="20"/>
              </w:rPr>
            </w:pPr>
            <w:r>
              <w:rPr>
                <w:rFonts w:eastAsia="Times New Roman"/>
                <w:sz w:val="20"/>
                <w:szCs w:val="20"/>
              </w:rPr>
              <w:t>3.85</w:t>
            </w:r>
          </w:p>
        </w:tc>
        <w:tc>
          <w:tcPr>
            <w:tcW w:w="210" w:type="dxa"/>
            <w:shd w:val="clear" w:color="auto" w:fill="CCEEFF"/>
            <w:vAlign w:val="bottom"/>
            <w:hideMark/>
          </w:tcPr>
          <w:p w14:paraId="40EE710C"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673BFC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91677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23B648C" w14:textId="77777777" w:rsidR="00000000" w:rsidRDefault="00527094">
            <w:pPr>
              <w:jc w:val="right"/>
              <w:rPr>
                <w:rFonts w:eastAsia="Times New Roman"/>
                <w:sz w:val="20"/>
                <w:szCs w:val="20"/>
              </w:rPr>
            </w:pPr>
            <w:r>
              <w:rPr>
                <w:rFonts w:eastAsia="Times New Roman"/>
                <w:sz w:val="20"/>
                <w:szCs w:val="20"/>
              </w:rPr>
              <w:t>54.0</w:t>
            </w:r>
          </w:p>
        </w:tc>
        <w:tc>
          <w:tcPr>
            <w:tcW w:w="50" w:type="pct"/>
            <w:shd w:val="clear" w:color="auto" w:fill="CCEEFF"/>
            <w:vAlign w:val="bottom"/>
            <w:hideMark/>
          </w:tcPr>
          <w:p w14:paraId="6B8D35BC" w14:textId="77777777" w:rsidR="00000000" w:rsidRDefault="00527094">
            <w:pPr>
              <w:rPr>
                <w:rFonts w:eastAsia="Times New Roman"/>
                <w:sz w:val="20"/>
                <w:szCs w:val="20"/>
              </w:rPr>
            </w:pPr>
            <w:r>
              <w:rPr>
                <w:rFonts w:eastAsia="Times New Roman"/>
                <w:sz w:val="20"/>
                <w:szCs w:val="20"/>
              </w:rPr>
              <w:t> </w:t>
            </w:r>
          </w:p>
        </w:tc>
      </w:tr>
      <w:tr w:rsidR="00000000" w14:paraId="662A83FB" w14:textId="77777777">
        <w:trPr>
          <w:tblCellSpacing w:w="0" w:type="dxa"/>
        </w:trPr>
        <w:tc>
          <w:tcPr>
            <w:tcW w:w="1300" w:type="pct"/>
            <w:shd w:val="clear" w:color="auto" w:fill="FFFFFF"/>
            <w:vAlign w:val="bottom"/>
            <w:hideMark/>
          </w:tcPr>
          <w:p w14:paraId="4F218156" w14:textId="77777777" w:rsidR="00000000" w:rsidRDefault="00527094">
            <w:pPr>
              <w:pStyle w:val="a3"/>
              <w:spacing w:before="0" w:beforeAutospacing="0" w:after="0" w:afterAutospacing="0"/>
              <w:rPr>
                <w:sz w:val="20"/>
                <w:szCs w:val="20"/>
              </w:rPr>
            </w:pPr>
            <w:r>
              <w:rPr>
                <w:sz w:val="20"/>
                <w:szCs w:val="20"/>
              </w:rPr>
              <w:t>Other Joint Venture Programs</w:t>
            </w:r>
          </w:p>
        </w:tc>
        <w:tc>
          <w:tcPr>
            <w:tcW w:w="50" w:type="pct"/>
            <w:shd w:val="clear" w:color="auto" w:fill="FFFFFF"/>
            <w:vAlign w:val="bottom"/>
            <w:hideMark/>
          </w:tcPr>
          <w:p w14:paraId="536BAC2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4B7AA22"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7506B802" w14:textId="77777777" w:rsidR="00000000" w:rsidRDefault="00527094">
            <w:pPr>
              <w:jc w:val="right"/>
              <w:rPr>
                <w:rFonts w:eastAsia="Times New Roman"/>
                <w:sz w:val="20"/>
                <w:szCs w:val="20"/>
              </w:rPr>
            </w:pPr>
            <w:r>
              <w:rPr>
                <w:rFonts w:eastAsia="Times New Roman"/>
                <w:sz w:val="20"/>
                <w:szCs w:val="20"/>
              </w:rPr>
              <w:t>451.7</w:t>
            </w:r>
          </w:p>
        </w:tc>
        <w:tc>
          <w:tcPr>
            <w:tcW w:w="50" w:type="pct"/>
            <w:shd w:val="clear" w:color="auto" w:fill="FFFFFF"/>
            <w:vAlign w:val="bottom"/>
            <w:hideMark/>
          </w:tcPr>
          <w:p w14:paraId="1DCE26E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B64CD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AEE2C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3E7369" w14:textId="77777777" w:rsidR="00000000" w:rsidRDefault="00527094">
            <w:pPr>
              <w:jc w:val="right"/>
              <w:rPr>
                <w:rFonts w:eastAsia="Times New Roman"/>
                <w:sz w:val="20"/>
                <w:szCs w:val="20"/>
              </w:rPr>
            </w:pPr>
            <w:r>
              <w:rPr>
                <w:rFonts w:eastAsia="Times New Roman"/>
                <w:sz w:val="20"/>
                <w:szCs w:val="20"/>
              </w:rPr>
              <w:t>4.19</w:t>
            </w:r>
          </w:p>
        </w:tc>
        <w:tc>
          <w:tcPr>
            <w:tcW w:w="50" w:type="pct"/>
            <w:shd w:val="clear" w:color="auto" w:fill="FFFFFF"/>
            <w:vAlign w:val="bottom"/>
            <w:hideMark/>
          </w:tcPr>
          <w:p w14:paraId="7ADE66CC"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11A904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1DCA7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8EDD6F5" w14:textId="77777777" w:rsidR="00000000" w:rsidRDefault="00527094">
            <w:pPr>
              <w:jc w:val="right"/>
              <w:rPr>
                <w:rFonts w:eastAsia="Times New Roman"/>
                <w:sz w:val="20"/>
                <w:szCs w:val="20"/>
              </w:rPr>
            </w:pPr>
            <w:r>
              <w:rPr>
                <w:rFonts w:eastAsia="Times New Roman"/>
                <w:sz w:val="20"/>
                <w:szCs w:val="20"/>
              </w:rPr>
              <w:t>77.4</w:t>
            </w:r>
          </w:p>
        </w:tc>
        <w:tc>
          <w:tcPr>
            <w:tcW w:w="50" w:type="pct"/>
            <w:shd w:val="clear" w:color="auto" w:fill="FFFFFF"/>
            <w:vAlign w:val="bottom"/>
            <w:hideMark/>
          </w:tcPr>
          <w:p w14:paraId="775C3B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69A74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842089B"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185111A8" w14:textId="77777777" w:rsidR="00000000" w:rsidRDefault="00527094">
            <w:pPr>
              <w:jc w:val="right"/>
              <w:rPr>
                <w:rFonts w:eastAsia="Times New Roman"/>
                <w:sz w:val="20"/>
                <w:szCs w:val="20"/>
              </w:rPr>
            </w:pPr>
            <w:r>
              <w:rPr>
                <w:rFonts w:eastAsia="Times New Roman"/>
                <w:sz w:val="20"/>
                <w:szCs w:val="20"/>
              </w:rPr>
              <w:t>474.2</w:t>
            </w:r>
          </w:p>
        </w:tc>
        <w:tc>
          <w:tcPr>
            <w:tcW w:w="50" w:type="pct"/>
            <w:shd w:val="clear" w:color="auto" w:fill="FFFFFF"/>
            <w:vAlign w:val="bottom"/>
            <w:hideMark/>
          </w:tcPr>
          <w:p w14:paraId="791F0A8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E30B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2C9678" w14:textId="77777777" w:rsidR="00000000" w:rsidRDefault="00527094">
            <w:pPr>
              <w:rPr>
                <w:rFonts w:eastAsia="Times New Roman"/>
                <w:sz w:val="20"/>
                <w:szCs w:val="20"/>
              </w:rPr>
            </w:pPr>
            <w:r>
              <w:rPr>
                <w:rFonts w:eastAsia="Times New Roman"/>
                <w:sz w:val="20"/>
                <w:szCs w:val="20"/>
              </w:rPr>
              <w:t> </w:t>
            </w:r>
          </w:p>
        </w:tc>
        <w:tc>
          <w:tcPr>
            <w:tcW w:w="1980" w:type="dxa"/>
            <w:shd w:val="clear" w:color="auto" w:fill="FFFFFF"/>
            <w:vAlign w:val="bottom"/>
            <w:hideMark/>
          </w:tcPr>
          <w:p w14:paraId="2C9546C5" w14:textId="77777777" w:rsidR="00000000" w:rsidRDefault="00527094">
            <w:pPr>
              <w:jc w:val="right"/>
              <w:rPr>
                <w:rFonts w:eastAsia="Times New Roman"/>
                <w:sz w:val="20"/>
                <w:szCs w:val="20"/>
              </w:rPr>
            </w:pPr>
            <w:r>
              <w:rPr>
                <w:rFonts w:eastAsia="Times New Roman"/>
                <w:sz w:val="20"/>
                <w:szCs w:val="20"/>
              </w:rPr>
              <w:t>4.26</w:t>
            </w:r>
          </w:p>
        </w:tc>
        <w:tc>
          <w:tcPr>
            <w:tcW w:w="210" w:type="dxa"/>
            <w:shd w:val="clear" w:color="auto" w:fill="FFFFFF"/>
            <w:vAlign w:val="bottom"/>
            <w:hideMark/>
          </w:tcPr>
          <w:p w14:paraId="75C8D0D9"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34011A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62A28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800E7F5" w14:textId="77777777" w:rsidR="00000000" w:rsidRDefault="00527094">
            <w:pPr>
              <w:jc w:val="right"/>
              <w:rPr>
                <w:rFonts w:eastAsia="Times New Roman"/>
                <w:sz w:val="20"/>
                <w:szCs w:val="20"/>
              </w:rPr>
            </w:pPr>
            <w:r>
              <w:rPr>
                <w:rFonts w:eastAsia="Times New Roman"/>
                <w:sz w:val="20"/>
                <w:szCs w:val="20"/>
              </w:rPr>
              <w:t>78.6</w:t>
            </w:r>
          </w:p>
        </w:tc>
        <w:tc>
          <w:tcPr>
            <w:tcW w:w="50" w:type="pct"/>
            <w:shd w:val="clear" w:color="auto" w:fill="FFFFFF"/>
            <w:vAlign w:val="bottom"/>
            <w:hideMark/>
          </w:tcPr>
          <w:p w14:paraId="65CF8B93" w14:textId="77777777" w:rsidR="00000000" w:rsidRDefault="00527094">
            <w:pPr>
              <w:rPr>
                <w:rFonts w:eastAsia="Times New Roman"/>
                <w:sz w:val="20"/>
                <w:szCs w:val="20"/>
              </w:rPr>
            </w:pPr>
            <w:r>
              <w:rPr>
                <w:rFonts w:eastAsia="Times New Roman"/>
                <w:sz w:val="20"/>
                <w:szCs w:val="20"/>
              </w:rPr>
              <w:t> </w:t>
            </w:r>
          </w:p>
        </w:tc>
      </w:tr>
      <w:tr w:rsidR="00000000" w14:paraId="12AC2FAD" w14:textId="77777777">
        <w:trPr>
          <w:tblCellSpacing w:w="0" w:type="dxa"/>
        </w:trPr>
        <w:tc>
          <w:tcPr>
            <w:tcW w:w="1300" w:type="pct"/>
            <w:shd w:val="clear" w:color="auto" w:fill="CCEEFF"/>
            <w:vAlign w:val="bottom"/>
            <w:hideMark/>
          </w:tcPr>
          <w:p w14:paraId="08161E83" w14:textId="77777777" w:rsidR="00000000" w:rsidRDefault="00527094">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14:paraId="539D316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07CFD88" w14:textId="77777777" w:rsidR="00000000" w:rsidRDefault="00527094">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14:paraId="66171E53" w14:textId="77777777" w:rsidR="00000000" w:rsidRDefault="00527094">
            <w:pPr>
              <w:jc w:val="right"/>
              <w:rPr>
                <w:rFonts w:eastAsia="Times New Roman"/>
                <w:sz w:val="20"/>
                <w:szCs w:val="20"/>
              </w:rPr>
            </w:pPr>
            <w:r>
              <w:rPr>
                <w:rFonts w:eastAsia="Times New Roman"/>
                <w:sz w:val="20"/>
                <w:szCs w:val="20"/>
              </w:rPr>
              <w:t>1,671.3</w:t>
            </w:r>
          </w:p>
        </w:tc>
        <w:tc>
          <w:tcPr>
            <w:tcW w:w="50" w:type="pct"/>
            <w:shd w:val="clear" w:color="auto" w:fill="CCEEFF"/>
            <w:tcMar>
              <w:top w:w="0" w:type="dxa"/>
              <w:left w:w="0" w:type="dxa"/>
              <w:bottom w:w="45" w:type="dxa"/>
              <w:right w:w="0" w:type="dxa"/>
            </w:tcMar>
            <w:vAlign w:val="bottom"/>
            <w:hideMark/>
          </w:tcPr>
          <w:p w14:paraId="1FF340C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08D7F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5268D0" w14:textId="77777777" w:rsidR="00000000" w:rsidRDefault="00527094">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4C8BC8FB" w14:textId="77777777" w:rsidR="00000000" w:rsidRDefault="00527094">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CCEEFF"/>
            <w:tcMar>
              <w:top w:w="0" w:type="dxa"/>
              <w:left w:w="0" w:type="dxa"/>
              <w:bottom w:w="45" w:type="dxa"/>
              <w:right w:w="0" w:type="dxa"/>
            </w:tcMar>
            <w:vAlign w:val="bottom"/>
            <w:hideMark/>
          </w:tcPr>
          <w:p w14:paraId="29AA21B9" w14:textId="77777777" w:rsidR="00000000" w:rsidRDefault="0052709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EDC763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AF3AA5" w14:textId="77777777" w:rsidR="00000000" w:rsidRDefault="00527094">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5F69CE17" w14:textId="77777777" w:rsidR="00000000" w:rsidRDefault="00527094">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CCEEFF"/>
            <w:tcMar>
              <w:top w:w="0" w:type="dxa"/>
              <w:left w:w="0" w:type="dxa"/>
              <w:bottom w:w="45" w:type="dxa"/>
              <w:right w:w="0" w:type="dxa"/>
            </w:tcMar>
            <w:vAlign w:val="bottom"/>
            <w:hideMark/>
          </w:tcPr>
          <w:p w14:paraId="791435BF" w14:textId="77777777" w:rsidR="00000000" w:rsidRDefault="0052709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75EE81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EFA45AC" w14:textId="77777777" w:rsidR="00000000" w:rsidRDefault="00527094">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14:paraId="524F9B5E" w14:textId="77777777" w:rsidR="00000000" w:rsidRDefault="00527094">
            <w:pPr>
              <w:jc w:val="right"/>
              <w:rPr>
                <w:rFonts w:eastAsia="Times New Roman"/>
                <w:sz w:val="20"/>
                <w:szCs w:val="20"/>
              </w:rPr>
            </w:pPr>
            <w:r>
              <w:rPr>
                <w:rFonts w:eastAsia="Times New Roman"/>
                <w:sz w:val="20"/>
                <w:szCs w:val="20"/>
              </w:rPr>
              <w:t>1,782.6</w:t>
            </w:r>
          </w:p>
        </w:tc>
        <w:tc>
          <w:tcPr>
            <w:tcW w:w="50" w:type="pct"/>
            <w:shd w:val="clear" w:color="auto" w:fill="CCEEFF"/>
            <w:tcMar>
              <w:top w:w="0" w:type="dxa"/>
              <w:left w:w="0" w:type="dxa"/>
              <w:bottom w:w="45" w:type="dxa"/>
              <w:right w:w="0" w:type="dxa"/>
            </w:tcMar>
            <w:vAlign w:val="bottom"/>
            <w:hideMark/>
          </w:tcPr>
          <w:p w14:paraId="530854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A6DC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55BECF" w14:textId="77777777" w:rsidR="00000000" w:rsidRDefault="00527094">
            <w:pPr>
              <w:rPr>
                <w:rFonts w:eastAsia="Times New Roman"/>
                <w:sz w:val="20"/>
                <w:szCs w:val="20"/>
              </w:rPr>
            </w:pPr>
            <w:r>
              <w:rPr>
                <w:rFonts w:eastAsia="Times New Roman"/>
                <w:b/>
                <w:bCs/>
                <w:sz w:val="20"/>
                <w:szCs w:val="20"/>
              </w:rPr>
              <w:t> </w:t>
            </w:r>
          </w:p>
        </w:tc>
        <w:tc>
          <w:tcPr>
            <w:tcW w:w="1980" w:type="dxa"/>
            <w:shd w:val="clear" w:color="auto" w:fill="CCEEFF"/>
            <w:vAlign w:val="bottom"/>
            <w:hideMark/>
          </w:tcPr>
          <w:p w14:paraId="6985F958" w14:textId="77777777" w:rsidR="00000000" w:rsidRDefault="00527094">
            <w:pPr>
              <w:jc w:val="right"/>
              <w:rPr>
                <w:rFonts w:eastAsia="Times New Roman"/>
                <w:sz w:val="20"/>
                <w:szCs w:val="20"/>
              </w:rPr>
            </w:pPr>
            <w:r>
              <w:rPr>
                <w:rStyle w:val="a6"/>
                <w:rFonts w:eastAsia="Times New Roman"/>
                <w:b/>
                <w:bCs/>
                <w:i w:val="0"/>
                <w:iCs w:val="0"/>
                <w:sz w:val="20"/>
                <w:szCs w:val="20"/>
              </w:rPr>
              <w:t> </w:t>
            </w:r>
          </w:p>
        </w:tc>
        <w:tc>
          <w:tcPr>
            <w:tcW w:w="210" w:type="dxa"/>
            <w:shd w:val="clear" w:color="auto" w:fill="CCEEFF"/>
            <w:tcMar>
              <w:top w:w="0" w:type="dxa"/>
              <w:left w:w="0" w:type="dxa"/>
              <w:bottom w:w="45" w:type="dxa"/>
              <w:right w:w="0" w:type="dxa"/>
            </w:tcMar>
            <w:vAlign w:val="bottom"/>
            <w:hideMark/>
          </w:tcPr>
          <w:p w14:paraId="53BB8ACC" w14:textId="77777777" w:rsidR="00000000" w:rsidRDefault="0052709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CC888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1D1EE9" w14:textId="77777777" w:rsidR="00000000" w:rsidRDefault="00527094">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3C378E16" w14:textId="77777777" w:rsidR="00000000" w:rsidRDefault="00527094">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CCEEFF"/>
            <w:tcMar>
              <w:top w:w="0" w:type="dxa"/>
              <w:left w:w="0" w:type="dxa"/>
              <w:bottom w:w="45" w:type="dxa"/>
              <w:right w:w="0" w:type="dxa"/>
            </w:tcMar>
            <w:vAlign w:val="bottom"/>
            <w:hideMark/>
          </w:tcPr>
          <w:p w14:paraId="3A52B9BC" w14:textId="77777777" w:rsidR="00000000" w:rsidRDefault="00527094">
            <w:pPr>
              <w:rPr>
                <w:rFonts w:eastAsia="Times New Roman"/>
                <w:sz w:val="20"/>
                <w:szCs w:val="20"/>
              </w:rPr>
            </w:pPr>
            <w:r>
              <w:rPr>
                <w:rFonts w:eastAsia="Times New Roman"/>
                <w:b/>
                <w:bCs/>
                <w:sz w:val="20"/>
                <w:szCs w:val="20"/>
              </w:rPr>
              <w:t> </w:t>
            </w:r>
          </w:p>
        </w:tc>
      </w:tr>
    </w:tbl>
    <w:p w14:paraId="72ADB32C" w14:textId="77777777" w:rsidR="00000000" w:rsidRDefault="00527094">
      <w:pPr>
        <w:pStyle w:val="a3"/>
        <w:spacing w:before="0" w:beforeAutospacing="0" w:after="0" w:afterAutospacing="0"/>
        <w:jc w:val="both"/>
        <w:rPr>
          <w:sz w:val="20"/>
          <w:szCs w:val="20"/>
        </w:rPr>
      </w:pPr>
      <w:r>
        <w:rPr>
          <w:sz w:val="20"/>
          <w:szCs w:val="20"/>
        </w:rPr>
        <w:t> </w:t>
      </w:r>
    </w:p>
    <w:p w14:paraId="0CBF8916" w14:textId="77777777" w:rsidR="00000000" w:rsidRDefault="00527094">
      <w:pPr>
        <w:pStyle w:val="a3"/>
        <w:spacing w:before="0" w:beforeAutospacing="0" w:after="0" w:afterAutospacing="0"/>
        <w:jc w:val="both"/>
        <w:rPr>
          <w:sz w:val="20"/>
          <w:szCs w:val="20"/>
        </w:rPr>
      </w:pPr>
      <w:r>
        <w:rPr>
          <w:sz w:val="20"/>
          <w:szCs w:val="20"/>
        </w:rPr>
        <w:t>* Includes extension options</w:t>
      </w:r>
    </w:p>
    <w:p w14:paraId="2AFACC43" w14:textId="77777777" w:rsidR="00000000" w:rsidRDefault="00527094">
      <w:pPr>
        <w:pStyle w:val="a3"/>
        <w:spacing w:before="0" w:beforeAutospacing="0" w:after="0" w:afterAutospacing="0"/>
        <w:jc w:val="both"/>
        <w:rPr>
          <w:sz w:val="20"/>
          <w:szCs w:val="20"/>
        </w:rPr>
      </w:pPr>
      <w:r>
        <w:rPr>
          <w:sz w:val="20"/>
          <w:szCs w:val="20"/>
        </w:rPr>
        <w:t> </w:t>
      </w:r>
    </w:p>
    <w:p w14:paraId="727AF3D0" w14:textId="77777777" w:rsidR="00000000" w:rsidRDefault="00527094">
      <w:pPr>
        <w:divId w:val="799109023"/>
        <w:rPr>
          <w:rFonts w:eastAsia="Times New Roman"/>
          <w:sz w:val="20"/>
          <w:szCs w:val="20"/>
        </w:rPr>
      </w:pPr>
      <w:r>
        <w:rPr>
          <w:rFonts w:eastAsia="Times New Roman"/>
          <w:sz w:val="20"/>
          <w:szCs w:val="20"/>
        </w:rPr>
        <w:t xml:space="preserve">  </w:t>
      </w:r>
    </w:p>
    <w:p w14:paraId="71E86BB8" w14:textId="77777777" w:rsidR="00000000" w:rsidRDefault="00527094">
      <w:pPr>
        <w:pStyle w:val="a3"/>
        <w:spacing w:before="0" w:beforeAutospacing="0" w:after="0" w:afterAutospacing="0"/>
        <w:jc w:val="both"/>
        <w:rPr>
          <w:sz w:val="20"/>
          <w:szCs w:val="20"/>
        </w:rPr>
      </w:pPr>
      <w:r>
        <w:rPr>
          <w:rStyle w:val="a6"/>
          <w:i w:val="0"/>
          <w:iCs w:val="0"/>
          <w:sz w:val="20"/>
          <w:szCs w:val="20"/>
        </w:rPr>
        <w:t>6.</w:t>
      </w:r>
      <w:r>
        <w:rPr>
          <w:sz w:val="20"/>
          <w:szCs w:val="20"/>
        </w:rPr>
        <w:t xml:space="preserve"> </w:t>
      </w:r>
      <w:r>
        <w:rPr>
          <w:sz w:val="20"/>
          <w:szCs w:val="20"/>
          <w:u w:val="single"/>
        </w:rPr>
        <w:t>Other Real Estate Investments</w:t>
      </w:r>
    </w:p>
    <w:p w14:paraId="7C79671A" w14:textId="77777777" w:rsidR="00000000" w:rsidRDefault="00527094">
      <w:pPr>
        <w:pStyle w:val="a3"/>
        <w:spacing w:before="0" w:beforeAutospacing="0" w:after="0" w:afterAutospacing="0"/>
        <w:jc w:val="both"/>
        <w:rPr>
          <w:sz w:val="20"/>
          <w:szCs w:val="20"/>
        </w:rPr>
      </w:pPr>
      <w:r>
        <w:rPr>
          <w:sz w:val="20"/>
          <w:szCs w:val="20"/>
        </w:rPr>
        <w:t> </w:t>
      </w:r>
    </w:p>
    <w:p w14:paraId="58755AFD" w14:textId="77777777" w:rsidR="00000000" w:rsidRDefault="00527094">
      <w:pPr>
        <w:pStyle w:val="a3"/>
        <w:spacing w:before="0" w:beforeAutospacing="0" w:after="0" w:afterAutospacing="0"/>
        <w:ind w:firstLine="360"/>
        <w:jc w:val="both"/>
        <w:rPr>
          <w:sz w:val="20"/>
          <w:szCs w:val="20"/>
        </w:rPr>
      </w:pPr>
      <w:r>
        <w:rPr>
          <w:sz w:val="20"/>
          <w:szCs w:val="20"/>
        </w:rPr>
        <w:t xml:space="preserve">The Company has provided capital to owners and developers of real estate properties through its Preferred Equity Program. The Company’s maximum exposure to losses associated with its preferred equity investments is primarily limited to its net investment. </w:t>
      </w:r>
      <w:r>
        <w:rPr>
          <w:sz w:val="20"/>
          <w:szCs w:val="20"/>
        </w:rPr>
        <w:t>As of</w:t>
      </w:r>
      <w:r>
        <w:rPr>
          <w:sz w:val="20"/>
          <w:szCs w:val="20"/>
        </w:rPr>
        <w:t xml:space="preserve"> </w:t>
      </w:r>
      <w:r>
        <w:rPr>
          <w:rStyle w:val="a6"/>
          <w:i w:val="0"/>
          <w:iCs w:val="0"/>
          <w:sz w:val="20"/>
          <w:szCs w:val="20"/>
        </w:rPr>
        <w:t xml:space="preserve">June 30, 2019, </w:t>
      </w:r>
      <w:r>
        <w:rPr>
          <w:sz w:val="20"/>
          <w:szCs w:val="20"/>
        </w:rPr>
        <w:t>the Company’s net investment under the Preferred Equity Program was $173.5 million relating to 247 properties, including 236 net leased properties.  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the Company recognized income of $19.5 mill</w:t>
      </w:r>
      <w:r>
        <w:rPr>
          <w:sz w:val="20"/>
          <w:szCs w:val="20"/>
        </w:rPr>
        <w:t>ion from its preferred equity investments, including profit participation of $9.8 million. 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2018, </w:t>
      </w:r>
      <w:r>
        <w:rPr>
          <w:sz w:val="20"/>
          <w:szCs w:val="20"/>
        </w:rPr>
        <w:t>the Company recognized income of $19.5 million from its preferred equity investments, including profit participation of $1</w:t>
      </w:r>
      <w:r>
        <w:rPr>
          <w:sz w:val="20"/>
          <w:szCs w:val="20"/>
        </w:rPr>
        <w:t>0.0 million. These amounts are included in Equity in income of other real estate investments, net on the Company’s Condensed Consolidated Statements of Income.</w:t>
      </w:r>
    </w:p>
    <w:p w14:paraId="29307035" w14:textId="77777777" w:rsidR="00000000" w:rsidRDefault="00527094">
      <w:pPr>
        <w:pStyle w:val="a3"/>
        <w:spacing w:before="0" w:beforeAutospacing="0" w:after="0" w:afterAutospacing="0"/>
        <w:ind w:firstLine="360"/>
        <w:jc w:val="both"/>
        <w:rPr>
          <w:sz w:val="20"/>
          <w:szCs w:val="20"/>
        </w:rPr>
      </w:pPr>
      <w:r>
        <w:rPr>
          <w:sz w:val="20"/>
          <w:szCs w:val="20"/>
        </w:rPr>
        <w:t> </w:t>
      </w:r>
    </w:p>
    <w:p w14:paraId="424D61FE" w14:textId="77777777" w:rsidR="00000000" w:rsidRDefault="00527094">
      <w:pPr>
        <w:divId w:val="1566992452"/>
        <w:rPr>
          <w:rFonts w:eastAsia="Times New Roman"/>
          <w:sz w:val="20"/>
          <w:szCs w:val="20"/>
        </w:rPr>
      </w:pPr>
      <w:r>
        <w:rPr>
          <w:rFonts w:eastAsia="Times New Roman"/>
          <w:sz w:val="20"/>
          <w:szCs w:val="20"/>
        </w:rPr>
        <w:t xml:space="preserve">  </w:t>
      </w:r>
    </w:p>
    <w:p w14:paraId="2DB524B7" w14:textId="77777777" w:rsidR="00000000" w:rsidRDefault="00527094">
      <w:pPr>
        <w:pStyle w:val="a3"/>
        <w:spacing w:before="0" w:beforeAutospacing="0" w:after="0" w:afterAutospacing="0"/>
        <w:jc w:val="both"/>
        <w:rPr>
          <w:sz w:val="20"/>
          <w:szCs w:val="20"/>
        </w:rPr>
      </w:pPr>
      <w:r>
        <w:rPr>
          <w:rStyle w:val="a6"/>
          <w:i w:val="0"/>
          <w:iCs w:val="0"/>
          <w:sz w:val="20"/>
          <w:szCs w:val="20"/>
        </w:rPr>
        <w:t>7.</w:t>
      </w:r>
      <w:r>
        <w:rPr>
          <w:sz w:val="20"/>
          <w:szCs w:val="20"/>
        </w:rPr>
        <w:t xml:space="preserve"> </w:t>
      </w:r>
      <w:r>
        <w:rPr>
          <w:sz w:val="20"/>
          <w:szCs w:val="20"/>
          <w:u w:val="single"/>
        </w:rPr>
        <w:t>Leases</w:t>
      </w:r>
    </w:p>
    <w:p w14:paraId="194E5959" w14:textId="77777777" w:rsidR="00000000" w:rsidRDefault="00527094">
      <w:pPr>
        <w:pStyle w:val="a3"/>
        <w:spacing w:before="0" w:beforeAutospacing="0" w:after="0" w:afterAutospacing="0"/>
        <w:jc w:val="both"/>
        <w:rPr>
          <w:sz w:val="20"/>
          <w:szCs w:val="20"/>
        </w:rPr>
      </w:pPr>
      <w:r>
        <w:rPr>
          <w:sz w:val="20"/>
          <w:szCs w:val="20"/>
        </w:rPr>
        <w:t> </w:t>
      </w:r>
    </w:p>
    <w:p w14:paraId="6DC66F24" w14:textId="77777777" w:rsidR="00000000" w:rsidRDefault="00527094">
      <w:pPr>
        <w:pStyle w:val="a3"/>
        <w:spacing w:before="0" w:beforeAutospacing="0" w:after="0" w:afterAutospacing="0"/>
        <w:ind w:firstLine="360"/>
        <w:jc w:val="both"/>
        <w:rPr>
          <w:sz w:val="20"/>
          <w:szCs w:val="20"/>
        </w:rPr>
      </w:pPr>
      <w:r>
        <w:rPr>
          <w:sz w:val="20"/>
          <w:szCs w:val="20"/>
        </w:rPr>
        <w:t>The Company adopted Topic</w:t>
      </w:r>
      <w:r>
        <w:rPr>
          <w:sz w:val="20"/>
          <w:szCs w:val="20"/>
        </w:rPr>
        <w:t xml:space="preserve"> </w:t>
      </w:r>
      <w:r>
        <w:rPr>
          <w:rStyle w:val="a6"/>
          <w:i w:val="0"/>
          <w:iCs w:val="0"/>
          <w:sz w:val="20"/>
          <w:szCs w:val="20"/>
        </w:rPr>
        <w:t>842,</w:t>
      </w:r>
      <w:r>
        <w:rPr>
          <w:sz w:val="20"/>
          <w:szCs w:val="20"/>
        </w:rPr>
        <w:t xml:space="preserve"> on</w:t>
      </w:r>
      <w:r>
        <w:rPr>
          <w:sz w:val="20"/>
          <w:szCs w:val="20"/>
        </w:rPr>
        <w:t xml:space="preserve"> </w:t>
      </w:r>
      <w:r>
        <w:rPr>
          <w:rStyle w:val="a6"/>
          <w:i w:val="0"/>
          <w:iCs w:val="0"/>
          <w:sz w:val="20"/>
          <w:szCs w:val="20"/>
        </w:rPr>
        <w:t xml:space="preserve">January 1, 2019, </w:t>
      </w:r>
      <w:r>
        <w:rPr>
          <w:sz w:val="20"/>
          <w:szCs w:val="20"/>
        </w:rPr>
        <w:t>and as a result, recorded a ROU asset of $106.0 million and a corresponding lease liability of $98.7 million (see Footnote</w:t>
      </w:r>
      <w:r>
        <w:rPr>
          <w:sz w:val="20"/>
          <w:szCs w:val="20"/>
        </w:rPr>
        <w:t xml:space="preserve"> </w:t>
      </w:r>
      <w:r>
        <w:rPr>
          <w:rStyle w:val="a6"/>
          <w:i w:val="0"/>
          <w:iCs w:val="0"/>
          <w:sz w:val="20"/>
          <w:szCs w:val="20"/>
        </w:rPr>
        <w:t>2</w:t>
      </w:r>
      <w:r>
        <w:rPr>
          <w:sz w:val="20"/>
          <w:szCs w:val="20"/>
        </w:rPr>
        <w:t xml:space="preserve"> to the Notes to the Company’s Condensed Consolidated Financial Statements for further discussion on the adoption of Topic</w:t>
      </w:r>
      <w:r>
        <w:rPr>
          <w:sz w:val="20"/>
          <w:szCs w:val="20"/>
        </w:rPr>
        <w:t xml:space="preserve"> </w:t>
      </w:r>
      <w:r>
        <w:rPr>
          <w:rStyle w:val="a6"/>
          <w:i w:val="0"/>
          <w:iCs w:val="0"/>
          <w:sz w:val="20"/>
          <w:szCs w:val="20"/>
        </w:rPr>
        <w:t>842</w:t>
      </w:r>
      <w:r>
        <w:rPr>
          <w:sz w:val="20"/>
          <w:szCs w:val="20"/>
        </w:rPr>
        <w:t xml:space="preserve">). As </w:t>
      </w:r>
      <w:r>
        <w:rPr>
          <w:sz w:val="20"/>
          <w:szCs w:val="20"/>
        </w:rPr>
        <w:t>the lessee, the Company currently leases real estate space under noncancelable operating lease agreements for ground leases and administrative office leases. The Company’s leases have remaining lease terms ranging from less than 1 year to 53 years, some of</w:t>
      </w:r>
      <w:r>
        <w:rPr>
          <w:sz w:val="20"/>
          <w:szCs w:val="20"/>
        </w:rPr>
        <w:t xml:space="preserve"> which include options to extend the terms for up to an additional 75 years. The Company does</w:t>
      </w:r>
      <w:r>
        <w:rPr>
          <w:sz w:val="20"/>
          <w:szCs w:val="20"/>
        </w:rPr>
        <w:t xml:space="preserve"> </w:t>
      </w:r>
      <w:r>
        <w:rPr>
          <w:rStyle w:val="a6"/>
          <w:i w:val="0"/>
          <w:iCs w:val="0"/>
          <w:sz w:val="20"/>
          <w:szCs w:val="20"/>
        </w:rPr>
        <w:t>not</w:t>
      </w:r>
      <w:r>
        <w:rPr>
          <w:sz w:val="20"/>
          <w:szCs w:val="20"/>
        </w:rPr>
        <w:t xml:space="preserve"> include any of its renewal options in its lease terms for calculating its lease liability as the renewal options allow the Company to maintain operational fle</w:t>
      </w:r>
      <w:r>
        <w:rPr>
          <w:sz w:val="20"/>
          <w:szCs w:val="20"/>
        </w:rPr>
        <w:t>xibility, and the Company is</w:t>
      </w:r>
      <w:r>
        <w:rPr>
          <w:sz w:val="20"/>
          <w:szCs w:val="20"/>
        </w:rPr>
        <w:t xml:space="preserve"> </w:t>
      </w:r>
      <w:r>
        <w:rPr>
          <w:rStyle w:val="a6"/>
          <w:i w:val="0"/>
          <w:iCs w:val="0"/>
          <w:sz w:val="20"/>
          <w:szCs w:val="20"/>
        </w:rPr>
        <w:t>not</w:t>
      </w:r>
      <w:r>
        <w:rPr>
          <w:sz w:val="20"/>
          <w:szCs w:val="20"/>
        </w:rPr>
        <w:t xml:space="preserve"> reasonably certain it will exercise these renewal options at this time. The weighted-average remaining non-cancelable lease term for the Company’s operating leases was 21.5 years at</w:t>
      </w:r>
      <w:r>
        <w:rPr>
          <w:sz w:val="20"/>
          <w:szCs w:val="20"/>
        </w:rPr>
        <w:t xml:space="preserve"> </w:t>
      </w:r>
      <w:r>
        <w:rPr>
          <w:rStyle w:val="a6"/>
          <w:i w:val="0"/>
          <w:iCs w:val="0"/>
          <w:sz w:val="20"/>
          <w:szCs w:val="20"/>
        </w:rPr>
        <w:t xml:space="preserve">June 30, 2019. </w:t>
      </w:r>
      <w:r>
        <w:rPr>
          <w:sz w:val="20"/>
          <w:szCs w:val="20"/>
        </w:rPr>
        <w:t>The weighted-average disco</w:t>
      </w:r>
      <w:r>
        <w:rPr>
          <w:sz w:val="20"/>
          <w:szCs w:val="20"/>
        </w:rPr>
        <w:t>unt rate was 6.62% at</w:t>
      </w:r>
      <w:r>
        <w:rPr>
          <w:sz w:val="20"/>
          <w:szCs w:val="20"/>
        </w:rPr>
        <w:t xml:space="preserve"> </w:t>
      </w:r>
      <w:r>
        <w:rPr>
          <w:rStyle w:val="a6"/>
          <w:i w:val="0"/>
          <w:iCs w:val="0"/>
          <w:sz w:val="20"/>
          <w:szCs w:val="20"/>
        </w:rPr>
        <w:t xml:space="preserve">June 30, 2019. </w:t>
      </w:r>
      <w:r>
        <w:rPr>
          <w:sz w:val="20"/>
          <w:szCs w:val="20"/>
        </w:rPr>
        <w:t>The Company’s operating lease liabilities are determined based on the estimated present value of the Company’s minimum lease payments under its lease agreements. The discount rate used to determine the lease liabilities</w:t>
      </w:r>
      <w:r>
        <w:rPr>
          <w:sz w:val="20"/>
          <w:szCs w:val="20"/>
        </w:rPr>
        <w:t xml:space="preserve"> is based on the estimated incremental borrowing rate on a lease by lease basis. When calculating the incremental borrowing rates, the Company utilized data from (i) its recent debt issuances, (ii) publicly available data for instruments with similar chara</w:t>
      </w:r>
      <w:r>
        <w:rPr>
          <w:sz w:val="20"/>
          <w:szCs w:val="20"/>
        </w:rPr>
        <w:t>cteristics, (iii) observable mortgage rates and (iv) unlevered property yields and discount rates. The Company then applied adjustments to account for considerations related to term and security that</w:t>
      </w:r>
      <w:r>
        <w:rPr>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not</w:t>
      </w:r>
      <w:r>
        <w:rPr>
          <w:sz w:val="20"/>
          <w:szCs w:val="20"/>
        </w:rPr>
        <w:t xml:space="preserve"> be fully incorporated by the data sets.</w:t>
      </w:r>
    </w:p>
    <w:p w14:paraId="70A2A0AD" w14:textId="77777777" w:rsidR="00000000" w:rsidRDefault="00527094">
      <w:pPr>
        <w:pStyle w:val="a3"/>
        <w:spacing w:before="0" w:beforeAutospacing="0" w:after="0" w:afterAutospacing="0"/>
        <w:ind w:firstLine="360"/>
        <w:jc w:val="both"/>
        <w:rPr>
          <w:sz w:val="20"/>
          <w:szCs w:val="20"/>
        </w:rPr>
      </w:pPr>
      <w:r>
        <w:rPr>
          <w:sz w:val="20"/>
          <w:szCs w:val="20"/>
        </w:rPr>
        <w:t> </w:t>
      </w:r>
    </w:p>
    <w:p w14:paraId="29FAFC91" w14:textId="77777777" w:rsidR="00000000" w:rsidRDefault="00527094">
      <w:pPr>
        <w:pStyle w:val="a3"/>
        <w:spacing w:before="0" w:beforeAutospacing="0" w:after="0" w:afterAutospacing="0"/>
        <w:ind w:firstLine="360"/>
        <w:jc w:val="both"/>
        <w:rPr>
          <w:sz w:val="20"/>
          <w:szCs w:val="20"/>
        </w:rPr>
      </w:pPr>
      <w:r>
        <w:rPr>
          <w:sz w:val="20"/>
          <w:szCs w:val="20"/>
        </w:rPr>
        <w:t>The co</w:t>
      </w:r>
      <w:r>
        <w:rPr>
          <w:sz w:val="20"/>
          <w:szCs w:val="20"/>
        </w:rPr>
        <w:t>mponents of the Company’s lease expense, which are included in rent expense and general and administrative expense on the Company’s Condensed Consolidated Statements of Income, were as follows (in thousands):</w:t>
      </w:r>
    </w:p>
    <w:p w14:paraId="1CB819EC"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3"/>
        <w:gridCol w:w="58"/>
        <w:gridCol w:w="101"/>
        <w:gridCol w:w="1055"/>
        <w:gridCol w:w="58"/>
      </w:tblGrid>
      <w:tr w:rsidR="00000000" w14:paraId="59AB678B" w14:textId="77777777">
        <w:trPr>
          <w:tblCellSpacing w:w="0" w:type="dxa"/>
        </w:trPr>
        <w:tc>
          <w:tcPr>
            <w:tcW w:w="0" w:type="auto"/>
            <w:vAlign w:val="bottom"/>
            <w:hideMark/>
          </w:tcPr>
          <w:p w14:paraId="5DC7450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0AF2223"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9BD6C56" w14:textId="77777777" w:rsidR="00000000" w:rsidRDefault="00527094">
            <w:pPr>
              <w:pStyle w:val="a3"/>
              <w:spacing w:before="0" w:beforeAutospacing="0" w:after="0" w:afterAutospacing="0"/>
              <w:jc w:val="center"/>
              <w:rPr>
                <w:sz w:val="20"/>
                <w:szCs w:val="20"/>
              </w:rPr>
            </w:pPr>
            <w:r>
              <w:rPr>
                <w:b/>
                <w:bCs/>
                <w:sz w:val="20"/>
                <w:szCs w:val="20"/>
              </w:rPr>
              <w:t>Six Months Ended</w:t>
            </w:r>
          </w:p>
          <w:p w14:paraId="12F1EDFF"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6643FF70" w14:textId="77777777" w:rsidR="00000000" w:rsidRDefault="00527094">
            <w:pPr>
              <w:rPr>
                <w:rFonts w:eastAsia="Times New Roman"/>
                <w:sz w:val="20"/>
                <w:szCs w:val="20"/>
              </w:rPr>
            </w:pPr>
            <w:r>
              <w:rPr>
                <w:rFonts w:eastAsia="Times New Roman"/>
                <w:sz w:val="20"/>
                <w:szCs w:val="20"/>
              </w:rPr>
              <w:t> </w:t>
            </w:r>
          </w:p>
        </w:tc>
      </w:tr>
      <w:tr w:rsidR="00000000" w14:paraId="0FFA488E" w14:textId="77777777">
        <w:trPr>
          <w:tblCellSpacing w:w="0" w:type="dxa"/>
        </w:trPr>
        <w:tc>
          <w:tcPr>
            <w:tcW w:w="4050" w:type="pct"/>
            <w:shd w:val="clear" w:color="auto" w:fill="CCEEFF"/>
            <w:vAlign w:val="bottom"/>
            <w:hideMark/>
          </w:tcPr>
          <w:p w14:paraId="1FB02301" w14:textId="77777777" w:rsidR="00000000" w:rsidRDefault="00527094">
            <w:pPr>
              <w:pStyle w:val="a3"/>
              <w:spacing w:before="0" w:beforeAutospacing="0" w:after="0" w:afterAutospacing="0"/>
              <w:rPr>
                <w:sz w:val="20"/>
                <w:szCs w:val="20"/>
              </w:rPr>
            </w:pPr>
            <w:r>
              <w:rPr>
                <w:sz w:val="20"/>
                <w:szCs w:val="20"/>
              </w:rPr>
              <w:t xml:space="preserve">Lease </w:t>
            </w:r>
            <w:r>
              <w:rPr>
                <w:sz w:val="20"/>
                <w:szCs w:val="20"/>
              </w:rPr>
              <w:t>cost:</w:t>
            </w:r>
          </w:p>
        </w:tc>
        <w:tc>
          <w:tcPr>
            <w:tcW w:w="0" w:type="auto"/>
            <w:shd w:val="clear" w:color="auto" w:fill="CCEEFF"/>
            <w:vAlign w:val="bottom"/>
            <w:hideMark/>
          </w:tcPr>
          <w:p w14:paraId="433B993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724B4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F5470" w14:textId="77777777" w:rsidR="00000000" w:rsidRDefault="0052709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16171E83" w14:textId="77777777" w:rsidR="00000000" w:rsidRDefault="00527094">
            <w:pPr>
              <w:rPr>
                <w:rFonts w:eastAsia="Times New Roman"/>
                <w:sz w:val="20"/>
                <w:szCs w:val="20"/>
              </w:rPr>
            </w:pPr>
            <w:r>
              <w:rPr>
                <w:rFonts w:eastAsia="Times New Roman"/>
                <w:sz w:val="20"/>
                <w:szCs w:val="20"/>
              </w:rPr>
              <w:t> </w:t>
            </w:r>
          </w:p>
        </w:tc>
      </w:tr>
      <w:tr w:rsidR="00000000" w14:paraId="51AF9894" w14:textId="77777777">
        <w:trPr>
          <w:tblCellSpacing w:w="0" w:type="dxa"/>
        </w:trPr>
        <w:tc>
          <w:tcPr>
            <w:tcW w:w="0" w:type="auto"/>
            <w:shd w:val="clear" w:color="auto" w:fill="FFFFFF"/>
            <w:vAlign w:val="bottom"/>
            <w:hideMark/>
          </w:tcPr>
          <w:p w14:paraId="0FBE3592" w14:textId="77777777" w:rsidR="00000000" w:rsidRDefault="00527094">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14:paraId="0F19EE8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E10F6D" w14:textId="77777777" w:rsidR="00000000" w:rsidRDefault="00527094">
            <w:pPr>
              <w:rPr>
                <w:rFonts w:eastAsia="Times New Roman"/>
                <w:sz w:val="20"/>
                <w:szCs w:val="20"/>
              </w:rPr>
            </w:pPr>
            <w:r>
              <w:rPr>
                <w:rFonts w:eastAsia="Times New Roman"/>
                <w:sz w:val="20"/>
                <w:szCs w:val="20"/>
              </w:rPr>
              <w:t>$</w:t>
            </w:r>
          </w:p>
        </w:tc>
        <w:tc>
          <w:tcPr>
            <w:tcW w:w="800" w:type="pct"/>
            <w:shd w:val="clear" w:color="auto" w:fill="FFFFFF"/>
            <w:vAlign w:val="bottom"/>
            <w:hideMark/>
          </w:tcPr>
          <w:p w14:paraId="0519CD00" w14:textId="77777777" w:rsidR="00000000" w:rsidRDefault="00527094">
            <w:pPr>
              <w:jc w:val="right"/>
              <w:rPr>
                <w:rFonts w:eastAsia="Times New Roman"/>
                <w:sz w:val="20"/>
                <w:szCs w:val="20"/>
              </w:rPr>
            </w:pPr>
            <w:r>
              <w:rPr>
                <w:rFonts w:eastAsia="Times New Roman"/>
                <w:sz w:val="20"/>
                <w:szCs w:val="20"/>
              </w:rPr>
              <w:t>6,557</w:t>
            </w:r>
          </w:p>
        </w:tc>
        <w:tc>
          <w:tcPr>
            <w:tcW w:w="50" w:type="pct"/>
            <w:shd w:val="clear" w:color="auto" w:fill="FFFFFF"/>
            <w:vAlign w:val="bottom"/>
            <w:hideMark/>
          </w:tcPr>
          <w:p w14:paraId="49DA2AFA" w14:textId="77777777" w:rsidR="00000000" w:rsidRDefault="00527094">
            <w:pPr>
              <w:rPr>
                <w:rFonts w:eastAsia="Times New Roman"/>
                <w:sz w:val="20"/>
                <w:szCs w:val="20"/>
              </w:rPr>
            </w:pPr>
            <w:r>
              <w:rPr>
                <w:rFonts w:eastAsia="Times New Roman"/>
                <w:sz w:val="20"/>
                <w:szCs w:val="20"/>
              </w:rPr>
              <w:t> </w:t>
            </w:r>
          </w:p>
        </w:tc>
      </w:tr>
      <w:tr w:rsidR="00000000" w14:paraId="265BB6B2" w14:textId="77777777">
        <w:trPr>
          <w:tblCellSpacing w:w="0" w:type="dxa"/>
        </w:trPr>
        <w:tc>
          <w:tcPr>
            <w:tcW w:w="0" w:type="auto"/>
            <w:shd w:val="clear" w:color="auto" w:fill="CCEEFF"/>
            <w:vAlign w:val="bottom"/>
            <w:hideMark/>
          </w:tcPr>
          <w:p w14:paraId="587D44D9" w14:textId="77777777" w:rsidR="00000000" w:rsidRDefault="00527094">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14:paraId="58C725E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B06E0EB"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01EF7FD3" w14:textId="77777777" w:rsidR="00000000" w:rsidRDefault="00527094">
            <w:pPr>
              <w:jc w:val="right"/>
              <w:rPr>
                <w:rFonts w:eastAsia="Times New Roman"/>
                <w:sz w:val="20"/>
                <w:szCs w:val="20"/>
              </w:rPr>
            </w:pPr>
            <w:r>
              <w:rPr>
                <w:rFonts w:eastAsia="Times New Roman"/>
                <w:sz w:val="20"/>
                <w:szCs w:val="20"/>
              </w:rPr>
              <w:t>804</w:t>
            </w:r>
          </w:p>
        </w:tc>
        <w:tc>
          <w:tcPr>
            <w:tcW w:w="50" w:type="pct"/>
            <w:shd w:val="clear" w:color="auto" w:fill="CCEEFF"/>
            <w:tcMar>
              <w:top w:w="0" w:type="dxa"/>
              <w:left w:w="0" w:type="dxa"/>
              <w:bottom w:w="15" w:type="dxa"/>
              <w:right w:w="0" w:type="dxa"/>
            </w:tcMar>
            <w:vAlign w:val="bottom"/>
            <w:hideMark/>
          </w:tcPr>
          <w:p w14:paraId="5C077D38" w14:textId="77777777" w:rsidR="00000000" w:rsidRDefault="00527094">
            <w:pPr>
              <w:rPr>
                <w:rFonts w:eastAsia="Times New Roman"/>
                <w:sz w:val="20"/>
                <w:szCs w:val="20"/>
              </w:rPr>
            </w:pPr>
            <w:r>
              <w:rPr>
                <w:rFonts w:eastAsia="Times New Roman"/>
                <w:sz w:val="20"/>
                <w:szCs w:val="20"/>
              </w:rPr>
              <w:t> </w:t>
            </w:r>
          </w:p>
        </w:tc>
      </w:tr>
      <w:tr w:rsidR="00000000" w14:paraId="66FDFBDD" w14:textId="77777777">
        <w:trPr>
          <w:tblCellSpacing w:w="0" w:type="dxa"/>
        </w:trPr>
        <w:tc>
          <w:tcPr>
            <w:tcW w:w="0" w:type="auto"/>
            <w:shd w:val="clear" w:color="auto" w:fill="FFFFFF"/>
            <w:vAlign w:val="bottom"/>
            <w:hideMark/>
          </w:tcPr>
          <w:p w14:paraId="277CA3FB" w14:textId="77777777" w:rsidR="00000000" w:rsidRDefault="00527094">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14:paraId="73AB9B7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9770DED" w14:textId="77777777" w:rsidR="00000000" w:rsidRDefault="0052709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075E08DB" w14:textId="77777777" w:rsidR="00000000" w:rsidRDefault="00527094">
            <w:pPr>
              <w:jc w:val="right"/>
              <w:rPr>
                <w:rFonts w:eastAsia="Times New Roman"/>
                <w:sz w:val="20"/>
                <w:szCs w:val="20"/>
              </w:rPr>
            </w:pPr>
            <w:r>
              <w:rPr>
                <w:rFonts w:eastAsia="Times New Roman"/>
                <w:sz w:val="20"/>
                <w:szCs w:val="20"/>
              </w:rPr>
              <w:t>7,361</w:t>
            </w:r>
          </w:p>
        </w:tc>
        <w:tc>
          <w:tcPr>
            <w:tcW w:w="50" w:type="pct"/>
            <w:shd w:val="clear" w:color="auto" w:fill="FFFFFF"/>
            <w:tcMar>
              <w:top w:w="0" w:type="dxa"/>
              <w:left w:w="0" w:type="dxa"/>
              <w:bottom w:w="45" w:type="dxa"/>
              <w:right w:w="0" w:type="dxa"/>
            </w:tcMar>
            <w:vAlign w:val="bottom"/>
            <w:hideMark/>
          </w:tcPr>
          <w:p w14:paraId="3D865F2C" w14:textId="77777777" w:rsidR="00000000" w:rsidRDefault="00527094">
            <w:pPr>
              <w:rPr>
                <w:rFonts w:eastAsia="Times New Roman"/>
                <w:sz w:val="20"/>
                <w:szCs w:val="20"/>
              </w:rPr>
            </w:pPr>
            <w:r>
              <w:rPr>
                <w:rFonts w:eastAsia="Times New Roman"/>
                <w:sz w:val="20"/>
                <w:szCs w:val="20"/>
              </w:rPr>
              <w:t> </w:t>
            </w:r>
          </w:p>
        </w:tc>
      </w:tr>
    </w:tbl>
    <w:p w14:paraId="38B4482B" w14:textId="77777777" w:rsidR="00000000" w:rsidRDefault="00527094">
      <w:pPr>
        <w:pStyle w:val="a3"/>
        <w:spacing w:before="0" w:beforeAutospacing="0" w:after="0" w:afterAutospacing="0"/>
        <w:ind w:firstLine="360"/>
        <w:jc w:val="both"/>
        <w:rPr>
          <w:sz w:val="20"/>
          <w:szCs w:val="20"/>
        </w:rPr>
      </w:pPr>
      <w:r>
        <w:rPr>
          <w:sz w:val="20"/>
          <w:szCs w:val="20"/>
        </w:rPr>
        <w:t> </w:t>
      </w:r>
    </w:p>
    <w:p w14:paraId="77416F43" w14:textId="77777777" w:rsidR="00000000" w:rsidRDefault="00527094">
      <w:pPr>
        <w:pStyle w:val="a3"/>
        <w:spacing w:before="0" w:beforeAutospacing="0" w:after="0" w:afterAutospacing="0"/>
        <w:ind w:firstLine="360"/>
        <w:jc w:val="both"/>
        <w:rPr>
          <w:sz w:val="20"/>
          <w:szCs w:val="20"/>
        </w:rPr>
      </w:pPr>
      <w:r>
        <w:rPr>
          <w:sz w:val="20"/>
          <w:szCs w:val="20"/>
        </w:rPr>
        <w:t>The future minimum lease payments to be paid under noncancelable operating leases in effect at</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are as follows (in thousands):</w:t>
      </w:r>
    </w:p>
    <w:p w14:paraId="24564EC9" w14:textId="77777777" w:rsidR="00000000" w:rsidRDefault="00527094">
      <w:pPr>
        <w:pStyle w:val="a3"/>
        <w:spacing w:before="0" w:beforeAutospacing="0" w:after="0" w:afterAutospacing="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7"/>
        <w:gridCol w:w="101"/>
        <w:gridCol w:w="1040"/>
        <w:gridCol w:w="68"/>
      </w:tblGrid>
      <w:tr w:rsidR="00000000" w14:paraId="4684CE68" w14:textId="77777777">
        <w:trPr>
          <w:tblCellSpacing w:w="0" w:type="dxa"/>
        </w:trPr>
        <w:tc>
          <w:tcPr>
            <w:tcW w:w="3300" w:type="pct"/>
            <w:tcBorders>
              <w:bottom w:val="single" w:sz="6" w:space="0" w:color="000000"/>
            </w:tcBorders>
            <w:vAlign w:val="bottom"/>
            <w:hideMark/>
          </w:tcPr>
          <w:p w14:paraId="1E1928CC" w14:textId="77777777" w:rsidR="00000000" w:rsidRDefault="00527094">
            <w:pPr>
              <w:pStyle w:val="a3"/>
              <w:spacing w:before="0" w:beforeAutospacing="0" w:after="0" w:afterAutospacing="0"/>
              <w:jc w:val="center"/>
              <w:rPr>
                <w:sz w:val="20"/>
                <w:szCs w:val="20"/>
              </w:rPr>
            </w:pPr>
            <w:r>
              <w:rPr>
                <w:b/>
                <w:bCs/>
                <w:sz w:val="20"/>
                <w:szCs w:val="20"/>
              </w:rPr>
              <w:t>Year Ending December 31,</w:t>
            </w:r>
          </w:p>
        </w:tc>
        <w:tc>
          <w:tcPr>
            <w:tcW w:w="0" w:type="auto"/>
            <w:vAlign w:val="bottom"/>
            <w:hideMark/>
          </w:tcPr>
          <w:p w14:paraId="463EE14B"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7555C326" w14:textId="77777777" w:rsidR="00000000" w:rsidRDefault="00527094">
            <w:pPr>
              <w:pStyle w:val="a3"/>
              <w:spacing w:before="0" w:beforeAutospacing="0" w:after="0" w:afterAutospacing="0"/>
              <w:jc w:val="center"/>
              <w:rPr>
                <w:sz w:val="20"/>
                <w:szCs w:val="20"/>
              </w:rPr>
            </w:pPr>
            <w:r>
              <w:rPr>
                <w:b/>
                <w:bCs/>
                <w:sz w:val="20"/>
                <w:szCs w:val="20"/>
              </w:rPr>
              <w:t>As of June 30, 2019</w:t>
            </w:r>
          </w:p>
        </w:tc>
        <w:tc>
          <w:tcPr>
            <w:tcW w:w="0" w:type="auto"/>
            <w:tcMar>
              <w:top w:w="0" w:type="dxa"/>
              <w:left w:w="0" w:type="dxa"/>
              <w:bottom w:w="15" w:type="dxa"/>
              <w:right w:w="0" w:type="dxa"/>
            </w:tcMar>
            <w:vAlign w:val="bottom"/>
            <w:hideMark/>
          </w:tcPr>
          <w:p w14:paraId="762C7EE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40CD4DC"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1B4EC248" w14:textId="77777777" w:rsidR="00000000" w:rsidRDefault="00527094">
            <w:pPr>
              <w:pStyle w:val="a3"/>
              <w:spacing w:before="0" w:beforeAutospacing="0" w:after="0" w:afterAutospacing="0"/>
              <w:jc w:val="center"/>
              <w:rPr>
                <w:sz w:val="20"/>
                <w:szCs w:val="20"/>
              </w:rPr>
            </w:pPr>
            <w:r>
              <w:rPr>
                <w:b/>
                <w:bCs/>
                <w:sz w:val="20"/>
                <w:szCs w:val="20"/>
              </w:rPr>
              <w:t>As of December 31, 2018</w:t>
            </w:r>
          </w:p>
        </w:tc>
        <w:tc>
          <w:tcPr>
            <w:tcW w:w="0" w:type="auto"/>
            <w:tcMar>
              <w:top w:w="0" w:type="dxa"/>
              <w:left w:w="0" w:type="dxa"/>
              <w:bottom w:w="15" w:type="dxa"/>
              <w:right w:w="0" w:type="dxa"/>
            </w:tcMar>
            <w:vAlign w:val="bottom"/>
            <w:hideMark/>
          </w:tcPr>
          <w:p w14:paraId="37800D23" w14:textId="77777777" w:rsidR="00000000" w:rsidRDefault="00527094">
            <w:pPr>
              <w:rPr>
                <w:rFonts w:eastAsia="Times New Roman"/>
                <w:sz w:val="20"/>
                <w:szCs w:val="20"/>
              </w:rPr>
            </w:pPr>
            <w:r>
              <w:rPr>
                <w:rFonts w:eastAsia="Times New Roman"/>
                <w:sz w:val="20"/>
                <w:szCs w:val="20"/>
              </w:rPr>
              <w:t> </w:t>
            </w:r>
          </w:p>
        </w:tc>
      </w:tr>
      <w:tr w:rsidR="00000000" w14:paraId="26FA1ABF" w14:textId="77777777">
        <w:trPr>
          <w:tblCellSpacing w:w="0" w:type="dxa"/>
        </w:trPr>
        <w:tc>
          <w:tcPr>
            <w:tcW w:w="0" w:type="auto"/>
            <w:tcBorders>
              <w:bottom w:val="nil"/>
            </w:tcBorders>
            <w:shd w:val="clear" w:color="auto" w:fill="CCEEFF"/>
            <w:vAlign w:val="bottom"/>
            <w:hideMark/>
          </w:tcPr>
          <w:p w14:paraId="6FEF4BB0" w14:textId="77777777" w:rsidR="00000000" w:rsidRDefault="00527094">
            <w:pPr>
              <w:pStyle w:val="a3"/>
              <w:spacing w:before="0" w:beforeAutospacing="0" w:after="0" w:afterAutospacing="0"/>
              <w:rPr>
                <w:sz w:val="20"/>
                <w:szCs w:val="20"/>
              </w:rPr>
            </w:pPr>
            <w:r>
              <w:rPr>
                <w:sz w:val="20"/>
                <w:szCs w:val="20"/>
              </w:rPr>
              <w:t>2019</w:t>
            </w:r>
          </w:p>
        </w:tc>
        <w:tc>
          <w:tcPr>
            <w:tcW w:w="50" w:type="pct"/>
            <w:tcBorders>
              <w:bottom w:val="nil"/>
            </w:tcBorders>
            <w:shd w:val="clear" w:color="auto" w:fill="CCEEFF"/>
            <w:vAlign w:val="bottom"/>
            <w:hideMark/>
          </w:tcPr>
          <w:p w14:paraId="4A378BF5"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0011AEF" w14:textId="77777777" w:rsidR="00000000" w:rsidRDefault="00527094">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55731000" w14:textId="77777777" w:rsidR="00000000" w:rsidRDefault="00527094">
            <w:pPr>
              <w:jc w:val="right"/>
              <w:rPr>
                <w:rFonts w:eastAsia="Times New Roman"/>
                <w:sz w:val="20"/>
                <w:szCs w:val="20"/>
              </w:rPr>
            </w:pPr>
            <w:r>
              <w:rPr>
                <w:rFonts w:eastAsia="Times New Roman"/>
                <w:sz w:val="20"/>
                <w:szCs w:val="20"/>
              </w:rPr>
              <w:t>6,209</w:t>
            </w:r>
          </w:p>
        </w:tc>
        <w:tc>
          <w:tcPr>
            <w:tcW w:w="50" w:type="pct"/>
            <w:tcBorders>
              <w:bottom w:val="nil"/>
            </w:tcBorders>
            <w:shd w:val="clear" w:color="auto" w:fill="CCEEFF"/>
            <w:vAlign w:val="bottom"/>
            <w:hideMark/>
          </w:tcPr>
          <w:p w14:paraId="3A39AD49"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1B9A8D4"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A8EA8A7" w14:textId="77777777" w:rsidR="00000000" w:rsidRDefault="00527094">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2DE8EE21" w14:textId="77777777" w:rsidR="00000000" w:rsidRDefault="00527094">
            <w:pPr>
              <w:jc w:val="right"/>
              <w:rPr>
                <w:rFonts w:eastAsia="Times New Roman"/>
                <w:sz w:val="20"/>
                <w:szCs w:val="20"/>
              </w:rPr>
            </w:pPr>
            <w:r>
              <w:rPr>
                <w:rFonts w:eastAsia="Times New Roman"/>
                <w:sz w:val="20"/>
                <w:szCs w:val="20"/>
              </w:rPr>
              <w:t>12,206</w:t>
            </w:r>
          </w:p>
        </w:tc>
        <w:tc>
          <w:tcPr>
            <w:tcW w:w="50" w:type="pct"/>
            <w:tcBorders>
              <w:bottom w:val="nil"/>
            </w:tcBorders>
            <w:shd w:val="clear" w:color="auto" w:fill="CCEEFF"/>
            <w:vAlign w:val="bottom"/>
            <w:hideMark/>
          </w:tcPr>
          <w:p w14:paraId="5C042B33" w14:textId="77777777" w:rsidR="00000000" w:rsidRDefault="00527094">
            <w:pPr>
              <w:rPr>
                <w:rFonts w:eastAsia="Times New Roman"/>
                <w:sz w:val="20"/>
                <w:szCs w:val="20"/>
              </w:rPr>
            </w:pPr>
            <w:r>
              <w:rPr>
                <w:rFonts w:eastAsia="Times New Roman"/>
                <w:sz w:val="20"/>
                <w:szCs w:val="20"/>
              </w:rPr>
              <w:t> </w:t>
            </w:r>
          </w:p>
        </w:tc>
      </w:tr>
      <w:tr w:rsidR="00000000" w14:paraId="08E4652E" w14:textId="77777777">
        <w:trPr>
          <w:tblCellSpacing w:w="0" w:type="dxa"/>
        </w:trPr>
        <w:tc>
          <w:tcPr>
            <w:tcW w:w="0" w:type="auto"/>
            <w:shd w:val="clear" w:color="auto" w:fill="FFFFFF"/>
            <w:vAlign w:val="bottom"/>
            <w:hideMark/>
          </w:tcPr>
          <w:p w14:paraId="63E0D558" w14:textId="77777777" w:rsidR="00000000" w:rsidRDefault="00527094">
            <w:pPr>
              <w:pStyle w:val="a3"/>
              <w:spacing w:before="0" w:beforeAutospacing="0" w:after="0" w:afterAutospacing="0"/>
              <w:rPr>
                <w:sz w:val="20"/>
                <w:szCs w:val="20"/>
              </w:rPr>
            </w:pPr>
            <w:r>
              <w:rPr>
                <w:sz w:val="20"/>
                <w:szCs w:val="20"/>
              </w:rPr>
              <w:t>2020</w:t>
            </w:r>
          </w:p>
        </w:tc>
        <w:tc>
          <w:tcPr>
            <w:tcW w:w="50" w:type="pct"/>
            <w:shd w:val="clear" w:color="auto" w:fill="FFFFFF"/>
            <w:vAlign w:val="bottom"/>
            <w:hideMark/>
          </w:tcPr>
          <w:p w14:paraId="436587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0C4757"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719A886" w14:textId="77777777" w:rsidR="00000000" w:rsidRDefault="00527094">
            <w:pPr>
              <w:jc w:val="right"/>
              <w:rPr>
                <w:rFonts w:eastAsia="Times New Roman"/>
                <w:sz w:val="20"/>
                <w:szCs w:val="20"/>
              </w:rPr>
            </w:pPr>
            <w:r>
              <w:rPr>
                <w:rFonts w:eastAsia="Times New Roman"/>
                <w:sz w:val="20"/>
                <w:szCs w:val="20"/>
              </w:rPr>
              <w:t>10,375</w:t>
            </w:r>
          </w:p>
        </w:tc>
        <w:tc>
          <w:tcPr>
            <w:tcW w:w="50" w:type="pct"/>
            <w:shd w:val="clear" w:color="auto" w:fill="FFFFFF"/>
            <w:vAlign w:val="bottom"/>
            <w:hideMark/>
          </w:tcPr>
          <w:p w14:paraId="0E63074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1C010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5FF3CF"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D19219E" w14:textId="77777777" w:rsidR="00000000" w:rsidRDefault="00527094">
            <w:pPr>
              <w:jc w:val="right"/>
              <w:rPr>
                <w:rFonts w:eastAsia="Times New Roman"/>
                <w:sz w:val="20"/>
                <w:szCs w:val="20"/>
              </w:rPr>
            </w:pPr>
            <w:r>
              <w:rPr>
                <w:rFonts w:eastAsia="Times New Roman"/>
                <w:sz w:val="20"/>
                <w:szCs w:val="20"/>
              </w:rPr>
              <w:t>9,901</w:t>
            </w:r>
          </w:p>
        </w:tc>
        <w:tc>
          <w:tcPr>
            <w:tcW w:w="50" w:type="pct"/>
            <w:shd w:val="clear" w:color="auto" w:fill="FFFFFF"/>
            <w:vAlign w:val="bottom"/>
            <w:hideMark/>
          </w:tcPr>
          <w:p w14:paraId="082B86F0" w14:textId="77777777" w:rsidR="00000000" w:rsidRDefault="00527094">
            <w:pPr>
              <w:rPr>
                <w:rFonts w:eastAsia="Times New Roman"/>
                <w:sz w:val="20"/>
                <w:szCs w:val="20"/>
              </w:rPr>
            </w:pPr>
            <w:r>
              <w:rPr>
                <w:rFonts w:eastAsia="Times New Roman"/>
                <w:sz w:val="20"/>
                <w:szCs w:val="20"/>
              </w:rPr>
              <w:t> </w:t>
            </w:r>
          </w:p>
        </w:tc>
      </w:tr>
      <w:tr w:rsidR="00000000" w14:paraId="09D13E3D" w14:textId="77777777">
        <w:trPr>
          <w:tblCellSpacing w:w="0" w:type="dxa"/>
        </w:trPr>
        <w:tc>
          <w:tcPr>
            <w:tcW w:w="0" w:type="auto"/>
            <w:shd w:val="clear" w:color="auto" w:fill="CCEEFF"/>
            <w:vAlign w:val="bottom"/>
            <w:hideMark/>
          </w:tcPr>
          <w:p w14:paraId="3D0A4DD5" w14:textId="77777777" w:rsidR="00000000" w:rsidRDefault="00527094">
            <w:pPr>
              <w:pStyle w:val="a3"/>
              <w:spacing w:before="0" w:beforeAutospacing="0" w:after="0" w:afterAutospacing="0"/>
              <w:rPr>
                <w:sz w:val="20"/>
                <w:szCs w:val="20"/>
              </w:rPr>
            </w:pPr>
            <w:r>
              <w:rPr>
                <w:sz w:val="20"/>
                <w:szCs w:val="20"/>
              </w:rPr>
              <w:t>2021</w:t>
            </w:r>
          </w:p>
        </w:tc>
        <w:tc>
          <w:tcPr>
            <w:tcW w:w="50" w:type="pct"/>
            <w:shd w:val="clear" w:color="auto" w:fill="CCEEFF"/>
            <w:vAlign w:val="bottom"/>
            <w:hideMark/>
          </w:tcPr>
          <w:p w14:paraId="4F58C01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CE18C9"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F99961B" w14:textId="77777777" w:rsidR="00000000" w:rsidRDefault="00527094">
            <w:pPr>
              <w:jc w:val="right"/>
              <w:rPr>
                <w:rFonts w:eastAsia="Times New Roman"/>
                <w:sz w:val="20"/>
                <w:szCs w:val="20"/>
              </w:rPr>
            </w:pPr>
            <w:r>
              <w:rPr>
                <w:rFonts w:eastAsia="Times New Roman"/>
                <w:sz w:val="20"/>
                <w:szCs w:val="20"/>
              </w:rPr>
              <w:t>9,858</w:t>
            </w:r>
          </w:p>
        </w:tc>
        <w:tc>
          <w:tcPr>
            <w:tcW w:w="50" w:type="pct"/>
            <w:shd w:val="clear" w:color="auto" w:fill="CCEEFF"/>
            <w:vAlign w:val="bottom"/>
            <w:hideMark/>
          </w:tcPr>
          <w:p w14:paraId="722087C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052A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449775"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C732956" w14:textId="77777777" w:rsidR="00000000" w:rsidRDefault="00527094">
            <w:pPr>
              <w:jc w:val="right"/>
              <w:rPr>
                <w:rFonts w:eastAsia="Times New Roman"/>
                <w:sz w:val="20"/>
                <w:szCs w:val="20"/>
              </w:rPr>
            </w:pPr>
            <w:r>
              <w:rPr>
                <w:rFonts w:eastAsia="Times New Roman"/>
                <w:sz w:val="20"/>
                <w:szCs w:val="20"/>
              </w:rPr>
              <w:t>9,716</w:t>
            </w:r>
          </w:p>
        </w:tc>
        <w:tc>
          <w:tcPr>
            <w:tcW w:w="50" w:type="pct"/>
            <w:shd w:val="clear" w:color="auto" w:fill="CCEEFF"/>
            <w:vAlign w:val="bottom"/>
            <w:hideMark/>
          </w:tcPr>
          <w:p w14:paraId="1905AD2C" w14:textId="77777777" w:rsidR="00000000" w:rsidRDefault="00527094">
            <w:pPr>
              <w:rPr>
                <w:rFonts w:eastAsia="Times New Roman"/>
                <w:sz w:val="20"/>
                <w:szCs w:val="20"/>
              </w:rPr>
            </w:pPr>
            <w:r>
              <w:rPr>
                <w:rFonts w:eastAsia="Times New Roman"/>
                <w:sz w:val="20"/>
                <w:szCs w:val="20"/>
              </w:rPr>
              <w:t> </w:t>
            </w:r>
          </w:p>
        </w:tc>
      </w:tr>
      <w:tr w:rsidR="00000000" w14:paraId="4CC38825" w14:textId="77777777">
        <w:trPr>
          <w:tblCellSpacing w:w="0" w:type="dxa"/>
        </w:trPr>
        <w:tc>
          <w:tcPr>
            <w:tcW w:w="0" w:type="auto"/>
            <w:shd w:val="clear" w:color="auto" w:fill="FFFFFF"/>
            <w:vAlign w:val="bottom"/>
            <w:hideMark/>
          </w:tcPr>
          <w:p w14:paraId="3B4D680D" w14:textId="77777777" w:rsidR="00000000" w:rsidRDefault="00527094">
            <w:pPr>
              <w:pStyle w:val="a3"/>
              <w:spacing w:before="0" w:beforeAutospacing="0" w:after="0" w:afterAutospacing="0"/>
              <w:rPr>
                <w:sz w:val="20"/>
                <w:szCs w:val="20"/>
              </w:rPr>
            </w:pPr>
            <w:r>
              <w:rPr>
                <w:sz w:val="20"/>
                <w:szCs w:val="20"/>
              </w:rPr>
              <w:t>2022</w:t>
            </w:r>
          </w:p>
        </w:tc>
        <w:tc>
          <w:tcPr>
            <w:tcW w:w="50" w:type="pct"/>
            <w:shd w:val="clear" w:color="auto" w:fill="FFFFFF"/>
            <w:vAlign w:val="bottom"/>
            <w:hideMark/>
          </w:tcPr>
          <w:p w14:paraId="239D95E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8CE7A7"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B9FF3F9" w14:textId="77777777" w:rsidR="00000000" w:rsidRDefault="00527094">
            <w:pPr>
              <w:jc w:val="right"/>
              <w:rPr>
                <w:rFonts w:eastAsia="Times New Roman"/>
                <w:sz w:val="20"/>
                <w:szCs w:val="20"/>
              </w:rPr>
            </w:pPr>
            <w:r>
              <w:rPr>
                <w:rFonts w:eastAsia="Times New Roman"/>
                <w:sz w:val="20"/>
                <w:szCs w:val="20"/>
              </w:rPr>
              <w:t>9,237</w:t>
            </w:r>
          </w:p>
        </w:tc>
        <w:tc>
          <w:tcPr>
            <w:tcW w:w="50" w:type="pct"/>
            <w:shd w:val="clear" w:color="auto" w:fill="FFFFFF"/>
            <w:vAlign w:val="bottom"/>
            <w:hideMark/>
          </w:tcPr>
          <w:p w14:paraId="125F462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128C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AF5C87"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87D5D5E" w14:textId="77777777" w:rsidR="00000000" w:rsidRDefault="00527094">
            <w:pPr>
              <w:jc w:val="right"/>
              <w:rPr>
                <w:rFonts w:eastAsia="Times New Roman"/>
                <w:sz w:val="20"/>
                <w:szCs w:val="20"/>
              </w:rPr>
            </w:pPr>
            <w:r>
              <w:rPr>
                <w:rFonts w:eastAsia="Times New Roman"/>
                <w:sz w:val="20"/>
                <w:szCs w:val="20"/>
              </w:rPr>
              <w:t>9,236</w:t>
            </w:r>
          </w:p>
        </w:tc>
        <w:tc>
          <w:tcPr>
            <w:tcW w:w="50" w:type="pct"/>
            <w:shd w:val="clear" w:color="auto" w:fill="FFFFFF"/>
            <w:vAlign w:val="bottom"/>
            <w:hideMark/>
          </w:tcPr>
          <w:p w14:paraId="0C73AD14" w14:textId="77777777" w:rsidR="00000000" w:rsidRDefault="00527094">
            <w:pPr>
              <w:rPr>
                <w:rFonts w:eastAsia="Times New Roman"/>
                <w:sz w:val="20"/>
                <w:szCs w:val="20"/>
              </w:rPr>
            </w:pPr>
            <w:r>
              <w:rPr>
                <w:rFonts w:eastAsia="Times New Roman"/>
                <w:sz w:val="20"/>
                <w:szCs w:val="20"/>
              </w:rPr>
              <w:t> </w:t>
            </w:r>
          </w:p>
        </w:tc>
      </w:tr>
      <w:tr w:rsidR="00000000" w14:paraId="67AC4578" w14:textId="77777777">
        <w:trPr>
          <w:tblCellSpacing w:w="0" w:type="dxa"/>
        </w:trPr>
        <w:tc>
          <w:tcPr>
            <w:tcW w:w="0" w:type="auto"/>
            <w:shd w:val="clear" w:color="auto" w:fill="CCEEFF"/>
            <w:vAlign w:val="bottom"/>
            <w:hideMark/>
          </w:tcPr>
          <w:p w14:paraId="044ACFE8" w14:textId="77777777" w:rsidR="00000000" w:rsidRDefault="00527094">
            <w:pPr>
              <w:pStyle w:val="a3"/>
              <w:spacing w:before="0" w:beforeAutospacing="0" w:after="0" w:afterAutospacing="0"/>
              <w:rPr>
                <w:sz w:val="20"/>
                <w:szCs w:val="20"/>
              </w:rPr>
            </w:pPr>
            <w:r>
              <w:rPr>
                <w:sz w:val="20"/>
                <w:szCs w:val="20"/>
              </w:rPr>
              <w:t>2023</w:t>
            </w:r>
          </w:p>
        </w:tc>
        <w:tc>
          <w:tcPr>
            <w:tcW w:w="50" w:type="pct"/>
            <w:shd w:val="clear" w:color="auto" w:fill="CCEEFF"/>
            <w:vAlign w:val="bottom"/>
            <w:hideMark/>
          </w:tcPr>
          <w:p w14:paraId="4516B04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765C95"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1CA751A" w14:textId="77777777" w:rsidR="00000000" w:rsidRDefault="00527094">
            <w:pPr>
              <w:jc w:val="right"/>
              <w:rPr>
                <w:rFonts w:eastAsia="Times New Roman"/>
                <w:sz w:val="20"/>
                <w:szCs w:val="20"/>
              </w:rPr>
            </w:pPr>
            <w:r>
              <w:rPr>
                <w:rFonts w:eastAsia="Times New Roman"/>
                <w:sz w:val="20"/>
                <w:szCs w:val="20"/>
              </w:rPr>
              <w:t>9,250</w:t>
            </w:r>
          </w:p>
        </w:tc>
        <w:tc>
          <w:tcPr>
            <w:tcW w:w="50" w:type="pct"/>
            <w:shd w:val="clear" w:color="auto" w:fill="CCEEFF"/>
            <w:vAlign w:val="bottom"/>
            <w:hideMark/>
          </w:tcPr>
          <w:p w14:paraId="2EFB506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48066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29D9AF" w14:textId="77777777" w:rsidR="00000000" w:rsidRDefault="0052709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890E09F" w14:textId="77777777" w:rsidR="00000000" w:rsidRDefault="00527094">
            <w:pPr>
              <w:jc w:val="right"/>
              <w:rPr>
                <w:rFonts w:eastAsia="Times New Roman"/>
                <w:sz w:val="20"/>
                <w:szCs w:val="20"/>
              </w:rPr>
            </w:pPr>
            <w:r>
              <w:rPr>
                <w:rFonts w:eastAsia="Times New Roman"/>
                <w:sz w:val="20"/>
                <w:szCs w:val="20"/>
              </w:rPr>
              <w:t>8,936</w:t>
            </w:r>
          </w:p>
        </w:tc>
        <w:tc>
          <w:tcPr>
            <w:tcW w:w="50" w:type="pct"/>
            <w:shd w:val="clear" w:color="auto" w:fill="CCEEFF"/>
            <w:vAlign w:val="bottom"/>
            <w:hideMark/>
          </w:tcPr>
          <w:p w14:paraId="290609A2" w14:textId="77777777" w:rsidR="00000000" w:rsidRDefault="00527094">
            <w:pPr>
              <w:rPr>
                <w:rFonts w:eastAsia="Times New Roman"/>
                <w:sz w:val="20"/>
                <w:szCs w:val="20"/>
              </w:rPr>
            </w:pPr>
            <w:r>
              <w:rPr>
                <w:rFonts w:eastAsia="Times New Roman"/>
                <w:sz w:val="20"/>
                <w:szCs w:val="20"/>
              </w:rPr>
              <w:t> </w:t>
            </w:r>
          </w:p>
        </w:tc>
      </w:tr>
      <w:tr w:rsidR="00000000" w14:paraId="1A2AFB2B" w14:textId="77777777">
        <w:trPr>
          <w:tblCellSpacing w:w="0" w:type="dxa"/>
        </w:trPr>
        <w:tc>
          <w:tcPr>
            <w:tcW w:w="0" w:type="auto"/>
            <w:shd w:val="clear" w:color="auto" w:fill="FFFFFF"/>
            <w:vAlign w:val="bottom"/>
            <w:hideMark/>
          </w:tcPr>
          <w:p w14:paraId="56F20095" w14:textId="77777777" w:rsidR="00000000" w:rsidRDefault="00527094">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14:paraId="1D0D34D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EB1C8DF" w14:textId="77777777" w:rsidR="00000000" w:rsidRDefault="0052709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2573CA89" w14:textId="77777777" w:rsidR="00000000" w:rsidRDefault="00527094">
            <w:pPr>
              <w:jc w:val="right"/>
              <w:rPr>
                <w:rFonts w:eastAsia="Times New Roman"/>
                <w:sz w:val="20"/>
                <w:szCs w:val="20"/>
              </w:rPr>
            </w:pPr>
            <w:r>
              <w:rPr>
                <w:rFonts w:eastAsia="Times New Roman"/>
                <w:sz w:val="20"/>
                <w:szCs w:val="20"/>
              </w:rPr>
              <w:t>136,608</w:t>
            </w:r>
          </w:p>
        </w:tc>
        <w:tc>
          <w:tcPr>
            <w:tcW w:w="50" w:type="pct"/>
            <w:shd w:val="clear" w:color="auto" w:fill="FFFFFF"/>
            <w:tcMar>
              <w:top w:w="0" w:type="dxa"/>
              <w:left w:w="0" w:type="dxa"/>
              <w:bottom w:w="15" w:type="dxa"/>
              <w:right w:w="0" w:type="dxa"/>
            </w:tcMar>
            <w:vAlign w:val="bottom"/>
            <w:hideMark/>
          </w:tcPr>
          <w:p w14:paraId="662DB4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63041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BA1AEFE" w14:textId="77777777" w:rsidR="00000000" w:rsidRDefault="0052709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74C313AC" w14:textId="77777777" w:rsidR="00000000" w:rsidRDefault="00527094">
            <w:pPr>
              <w:jc w:val="right"/>
              <w:rPr>
                <w:rFonts w:eastAsia="Times New Roman"/>
                <w:sz w:val="20"/>
                <w:szCs w:val="20"/>
              </w:rPr>
            </w:pPr>
            <w:r>
              <w:rPr>
                <w:rFonts w:eastAsia="Times New Roman"/>
                <w:sz w:val="20"/>
                <w:szCs w:val="20"/>
              </w:rPr>
              <w:t>115,788</w:t>
            </w:r>
          </w:p>
        </w:tc>
        <w:tc>
          <w:tcPr>
            <w:tcW w:w="50" w:type="pct"/>
            <w:shd w:val="clear" w:color="auto" w:fill="FFFFFF"/>
            <w:tcMar>
              <w:top w:w="0" w:type="dxa"/>
              <w:left w:w="0" w:type="dxa"/>
              <w:bottom w:w="15" w:type="dxa"/>
              <w:right w:w="0" w:type="dxa"/>
            </w:tcMar>
            <w:vAlign w:val="bottom"/>
            <w:hideMark/>
          </w:tcPr>
          <w:p w14:paraId="7AD6B6AD" w14:textId="77777777" w:rsidR="00000000" w:rsidRDefault="00527094">
            <w:pPr>
              <w:rPr>
                <w:rFonts w:eastAsia="Times New Roman"/>
                <w:sz w:val="20"/>
                <w:szCs w:val="20"/>
              </w:rPr>
            </w:pPr>
            <w:r>
              <w:rPr>
                <w:rFonts w:eastAsia="Times New Roman"/>
                <w:sz w:val="20"/>
                <w:szCs w:val="20"/>
              </w:rPr>
              <w:t> </w:t>
            </w:r>
          </w:p>
        </w:tc>
      </w:tr>
      <w:tr w:rsidR="00000000" w14:paraId="1BE2C2C3" w14:textId="77777777">
        <w:trPr>
          <w:tblCellSpacing w:w="0" w:type="dxa"/>
        </w:trPr>
        <w:tc>
          <w:tcPr>
            <w:tcW w:w="0" w:type="auto"/>
            <w:shd w:val="clear" w:color="auto" w:fill="CCEEFF"/>
            <w:vAlign w:val="bottom"/>
            <w:hideMark/>
          </w:tcPr>
          <w:p w14:paraId="7DF25EE2" w14:textId="77777777" w:rsidR="00000000" w:rsidRDefault="00527094">
            <w:pPr>
              <w:pStyle w:val="a3"/>
              <w:spacing w:before="0" w:beforeAutospacing="0" w:after="0" w:afterAutospacing="0"/>
              <w:rPr>
                <w:sz w:val="20"/>
                <w:szCs w:val="20"/>
              </w:rPr>
            </w:pPr>
            <w:r>
              <w:rPr>
                <w:sz w:val="20"/>
                <w:szCs w:val="20"/>
              </w:rPr>
              <w:t>Total minimum lease payments</w:t>
            </w:r>
          </w:p>
        </w:tc>
        <w:tc>
          <w:tcPr>
            <w:tcW w:w="50" w:type="pct"/>
            <w:tcBorders>
              <w:bottom w:val="nil"/>
            </w:tcBorders>
            <w:shd w:val="clear" w:color="auto" w:fill="CCEEFF"/>
            <w:vAlign w:val="bottom"/>
            <w:hideMark/>
          </w:tcPr>
          <w:p w14:paraId="562F0221"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47199E8" w14:textId="77777777" w:rsidR="00000000" w:rsidRDefault="00527094">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752A4506" w14:textId="77777777" w:rsidR="00000000" w:rsidRDefault="00527094">
            <w:pPr>
              <w:jc w:val="right"/>
              <w:rPr>
                <w:rFonts w:eastAsia="Times New Roman"/>
                <w:sz w:val="20"/>
                <w:szCs w:val="20"/>
              </w:rPr>
            </w:pPr>
            <w:r>
              <w:rPr>
                <w:rFonts w:eastAsia="Times New Roman"/>
                <w:sz w:val="20"/>
                <w:szCs w:val="20"/>
              </w:rPr>
              <w:t>181,537</w:t>
            </w:r>
          </w:p>
        </w:tc>
        <w:tc>
          <w:tcPr>
            <w:tcW w:w="50" w:type="pct"/>
            <w:tcBorders>
              <w:bottom w:val="nil"/>
            </w:tcBorders>
            <w:shd w:val="clear" w:color="auto" w:fill="CCEEFF"/>
            <w:vAlign w:val="bottom"/>
            <w:hideMark/>
          </w:tcPr>
          <w:p w14:paraId="71A6FF0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E926F29"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2BF339D" w14:textId="77777777" w:rsidR="00000000" w:rsidRDefault="00527094">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3C2BDEF5" w14:textId="77777777" w:rsidR="00000000" w:rsidRDefault="00527094">
            <w:pPr>
              <w:jc w:val="right"/>
              <w:rPr>
                <w:rFonts w:eastAsia="Times New Roman"/>
                <w:sz w:val="20"/>
                <w:szCs w:val="20"/>
              </w:rPr>
            </w:pPr>
            <w:r>
              <w:rPr>
                <w:rFonts w:eastAsia="Times New Roman"/>
                <w:sz w:val="20"/>
                <w:szCs w:val="20"/>
              </w:rPr>
              <w:t>165,783</w:t>
            </w:r>
          </w:p>
        </w:tc>
        <w:tc>
          <w:tcPr>
            <w:tcW w:w="50" w:type="pct"/>
            <w:tcBorders>
              <w:bottom w:val="nil"/>
            </w:tcBorders>
            <w:shd w:val="clear" w:color="auto" w:fill="CCEEFF"/>
            <w:vAlign w:val="bottom"/>
            <w:hideMark/>
          </w:tcPr>
          <w:p w14:paraId="7A153D6F" w14:textId="77777777" w:rsidR="00000000" w:rsidRDefault="00527094">
            <w:pPr>
              <w:rPr>
                <w:rFonts w:eastAsia="Times New Roman"/>
                <w:sz w:val="20"/>
                <w:szCs w:val="20"/>
              </w:rPr>
            </w:pPr>
            <w:r>
              <w:rPr>
                <w:rFonts w:eastAsia="Times New Roman"/>
                <w:sz w:val="20"/>
                <w:szCs w:val="20"/>
              </w:rPr>
              <w:t> </w:t>
            </w:r>
          </w:p>
        </w:tc>
      </w:tr>
      <w:tr w:rsidR="00000000" w14:paraId="50E2ACCF" w14:textId="77777777">
        <w:trPr>
          <w:tblCellSpacing w:w="0" w:type="dxa"/>
        </w:trPr>
        <w:tc>
          <w:tcPr>
            <w:tcW w:w="0" w:type="auto"/>
            <w:shd w:val="clear" w:color="auto" w:fill="FFFFFF"/>
            <w:vAlign w:val="bottom"/>
            <w:hideMark/>
          </w:tcPr>
          <w:p w14:paraId="65567A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B95F6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8DD94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D5FB2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109FA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CA4C3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DBE0A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669B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5285C5" w14:textId="77777777" w:rsidR="00000000" w:rsidRDefault="00527094">
            <w:pPr>
              <w:rPr>
                <w:rFonts w:eastAsia="Times New Roman"/>
                <w:sz w:val="20"/>
                <w:szCs w:val="20"/>
              </w:rPr>
            </w:pPr>
            <w:r>
              <w:rPr>
                <w:rFonts w:eastAsia="Times New Roman"/>
                <w:sz w:val="20"/>
                <w:szCs w:val="20"/>
              </w:rPr>
              <w:t> </w:t>
            </w:r>
          </w:p>
        </w:tc>
      </w:tr>
      <w:tr w:rsidR="00000000" w14:paraId="767BFD79" w14:textId="77777777">
        <w:trPr>
          <w:tblCellSpacing w:w="0" w:type="dxa"/>
        </w:trPr>
        <w:tc>
          <w:tcPr>
            <w:tcW w:w="0" w:type="auto"/>
            <w:shd w:val="clear" w:color="auto" w:fill="CCEEFF"/>
            <w:vAlign w:val="bottom"/>
            <w:hideMark/>
          </w:tcPr>
          <w:p w14:paraId="230C5DAA" w14:textId="77777777" w:rsidR="00000000" w:rsidRDefault="00527094">
            <w:pPr>
              <w:pStyle w:val="a3"/>
              <w:spacing w:before="0" w:beforeAutospacing="0" w:after="0" w:afterAutospacing="0"/>
              <w:rPr>
                <w:sz w:val="20"/>
                <w:szCs w:val="20"/>
              </w:rPr>
            </w:pPr>
            <w:r>
              <w:rPr>
                <w:sz w:val="20"/>
                <w:szCs w:val="20"/>
              </w:rPr>
              <w:t>Less imputed interest</w:t>
            </w:r>
          </w:p>
        </w:tc>
        <w:tc>
          <w:tcPr>
            <w:tcW w:w="50" w:type="pct"/>
            <w:shd w:val="clear" w:color="auto" w:fill="CCEEFF"/>
            <w:vAlign w:val="bottom"/>
            <w:hideMark/>
          </w:tcPr>
          <w:p w14:paraId="2C71FBC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BD4E3E6" w14:textId="77777777" w:rsidR="00000000" w:rsidRDefault="0052709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2137C9E5" w14:textId="77777777" w:rsidR="00000000" w:rsidRDefault="00527094">
            <w:pPr>
              <w:jc w:val="right"/>
              <w:rPr>
                <w:rFonts w:eastAsia="Times New Roman"/>
                <w:sz w:val="20"/>
                <w:szCs w:val="20"/>
              </w:rPr>
            </w:pPr>
            <w:r>
              <w:rPr>
                <w:rFonts w:eastAsia="Times New Roman"/>
                <w:sz w:val="20"/>
                <w:szCs w:val="20"/>
              </w:rPr>
              <w:t>(88,304</w:t>
            </w:r>
          </w:p>
        </w:tc>
        <w:tc>
          <w:tcPr>
            <w:tcW w:w="50" w:type="pct"/>
            <w:shd w:val="clear" w:color="auto" w:fill="CCEEFF"/>
            <w:tcMar>
              <w:top w:w="0" w:type="dxa"/>
              <w:left w:w="0" w:type="dxa"/>
              <w:bottom w:w="15" w:type="dxa"/>
              <w:right w:w="0" w:type="dxa"/>
            </w:tcMar>
            <w:vAlign w:val="bottom"/>
            <w:hideMark/>
          </w:tcPr>
          <w:p w14:paraId="744919C6" w14:textId="77777777" w:rsidR="00000000" w:rsidRDefault="00527094">
            <w:pPr>
              <w:rPr>
                <w:rFonts w:eastAsia="Times New Roman"/>
                <w:sz w:val="20"/>
                <w:szCs w:val="20"/>
              </w:rPr>
            </w:pPr>
            <w:r>
              <w:rPr>
                <w:rFonts w:eastAsia="Times New Roman"/>
                <w:sz w:val="20"/>
                <w:szCs w:val="20"/>
              </w:rPr>
              <w:t>)</w:t>
            </w:r>
          </w:p>
        </w:tc>
        <w:tc>
          <w:tcPr>
            <w:tcW w:w="0" w:type="auto"/>
            <w:shd w:val="clear" w:color="auto" w:fill="CCEEFF"/>
            <w:vAlign w:val="bottom"/>
            <w:hideMark/>
          </w:tcPr>
          <w:p w14:paraId="336EBAF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0851B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333F67" w14:textId="77777777" w:rsidR="00000000" w:rsidRDefault="00527094">
            <w:pPr>
              <w:jc w:val="right"/>
              <w:rPr>
                <w:rFonts w:eastAsia="Times New Roman"/>
                <w:sz w:val="20"/>
                <w:szCs w:val="20"/>
              </w:rPr>
            </w:pPr>
            <w:r>
              <w:rPr>
                <w:rStyle w:val="a6"/>
                <w:rFonts w:eastAsia="Times New Roman"/>
                <w:i w:val="0"/>
                <w:iCs w:val="0"/>
                <w:sz w:val="20"/>
                <w:szCs w:val="20"/>
              </w:rPr>
              <w:t> </w:t>
            </w:r>
          </w:p>
        </w:tc>
        <w:tc>
          <w:tcPr>
            <w:tcW w:w="0" w:type="auto"/>
            <w:shd w:val="clear" w:color="auto" w:fill="CCEEFF"/>
            <w:tcMar>
              <w:top w:w="0" w:type="dxa"/>
              <w:left w:w="0" w:type="dxa"/>
              <w:bottom w:w="15" w:type="dxa"/>
              <w:right w:w="0" w:type="dxa"/>
            </w:tcMar>
            <w:vAlign w:val="bottom"/>
            <w:hideMark/>
          </w:tcPr>
          <w:p w14:paraId="05144A88" w14:textId="77777777" w:rsidR="00000000" w:rsidRDefault="00527094">
            <w:pPr>
              <w:rPr>
                <w:rFonts w:eastAsia="Times New Roman"/>
                <w:sz w:val="20"/>
                <w:szCs w:val="20"/>
              </w:rPr>
            </w:pPr>
            <w:r>
              <w:rPr>
                <w:rFonts w:eastAsia="Times New Roman"/>
                <w:sz w:val="20"/>
                <w:szCs w:val="20"/>
              </w:rPr>
              <w:t> </w:t>
            </w:r>
          </w:p>
        </w:tc>
      </w:tr>
      <w:tr w:rsidR="00000000" w14:paraId="6F6477AA" w14:textId="77777777">
        <w:trPr>
          <w:tblCellSpacing w:w="0" w:type="dxa"/>
        </w:trPr>
        <w:tc>
          <w:tcPr>
            <w:tcW w:w="0" w:type="auto"/>
            <w:shd w:val="clear" w:color="auto" w:fill="FFFFFF"/>
            <w:vAlign w:val="bottom"/>
            <w:hideMark/>
          </w:tcPr>
          <w:p w14:paraId="0DB80265" w14:textId="77777777" w:rsidR="00000000" w:rsidRDefault="00527094">
            <w:pPr>
              <w:pStyle w:val="a3"/>
              <w:spacing w:before="0" w:beforeAutospacing="0" w:after="0" w:afterAutospacing="0"/>
              <w:rPr>
                <w:sz w:val="20"/>
                <w:szCs w:val="20"/>
              </w:rPr>
            </w:pPr>
            <w:r>
              <w:rPr>
                <w:sz w:val="20"/>
                <w:szCs w:val="20"/>
              </w:rPr>
              <w:t>Total operating lease liabilities</w:t>
            </w:r>
          </w:p>
        </w:tc>
        <w:tc>
          <w:tcPr>
            <w:tcW w:w="50" w:type="pct"/>
            <w:shd w:val="clear" w:color="auto" w:fill="FFFFFF"/>
            <w:vAlign w:val="bottom"/>
            <w:hideMark/>
          </w:tcPr>
          <w:p w14:paraId="6740A4D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600EF9A" w14:textId="77777777" w:rsidR="00000000" w:rsidRDefault="00527094">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5CF4A775" w14:textId="77777777" w:rsidR="00000000" w:rsidRDefault="00527094">
            <w:pPr>
              <w:jc w:val="right"/>
              <w:rPr>
                <w:rFonts w:eastAsia="Times New Roman"/>
                <w:sz w:val="20"/>
                <w:szCs w:val="20"/>
              </w:rPr>
            </w:pPr>
            <w:r>
              <w:rPr>
                <w:rFonts w:eastAsia="Times New Roman"/>
                <w:sz w:val="20"/>
                <w:szCs w:val="20"/>
              </w:rPr>
              <w:t>93,233</w:t>
            </w:r>
          </w:p>
        </w:tc>
        <w:tc>
          <w:tcPr>
            <w:tcW w:w="50" w:type="pct"/>
            <w:shd w:val="clear" w:color="auto" w:fill="FFFFFF"/>
            <w:tcMar>
              <w:top w:w="0" w:type="dxa"/>
              <w:left w:w="0" w:type="dxa"/>
              <w:bottom w:w="45" w:type="dxa"/>
              <w:right w:w="0" w:type="dxa"/>
            </w:tcMar>
            <w:vAlign w:val="bottom"/>
            <w:hideMark/>
          </w:tcPr>
          <w:p w14:paraId="30C91C6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5380A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7B22F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FA3714" w14:textId="77777777" w:rsidR="00000000" w:rsidRDefault="00527094">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tcMar>
              <w:top w:w="0" w:type="dxa"/>
              <w:left w:w="0" w:type="dxa"/>
              <w:bottom w:w="45" w:type="dxa"/>
              <w:right w:w="0" w:type="dxa"/>
            </w:tcMar>
            <w:vAlign w:val="bottom"/>
            <w:hideMark/>
          </w:tcPr>
          <w:p w14:paraId="241FB4B6" w14:textId="77777777" w:rsidR="00000000" w:rsidRDefault="00527094">
            <w:pPr>
              <w:rPr>
                <w:rFonts w:eastAsia="Times New Roman"/>
                <w:sz w:val="20"/>
                <w:szCs w:val="20"/>
              </w:rPr>
            </w:pPr>
            <w:r>
              <w:rPr>
                <w:rFonts w:eastAsia="Times New Roman"/>
                <w:sz w:val="20"/>
                <w:szCs w:val="20"/>
              </w:rPr>
              <w:t> </w:t>
            </w:r>
          </w:p>
        </w:tc>
      </w:tr>
    </w:tbl>
    <w:p w14:paraId="7C4FB4E2" w14:textId="77777777" w:rsidR="00000000" w:rsidRDefault="00527094">
      <w:pPr>
        <w:pStyle w:val="a3"/>
        <w:spacing w:before="0" w:beforeAutospacing="0" w:after="0" w:afterAutospacing="0"/>
        <w:jc w:val="both"/>
        <w:rPr>
          <w:sz w:val="20"/>
          <w:szCs w:val="20"/>
        </w:rPr>
      </w:pPr>
      <w:r>
        <w:rPr>
          <w:sz w:val="20"/>
          <w:szCs w:val="20"/>
        </w:rPr>
        <w:t> </w:t>
      </w:r>
    </w:p>
    <w:p w14:paraId="18DB3352" w14:textId="77777777" w:rsidR="00000000" w:rsidRDefault="00527094">
      <w:pPr>
        <w:jc w:val="center"/>
        <w:rPr>
          <w:rFonts w:eastAsia="Times New Roman"/>
          <w:sz w:val="20"/>
          <w:szCs w:val="20"/>
        </w:rPr>
      </w:pPr>
      <w:r>
        <w:rPr>
          <w:rFonts w:eastAsia="Times New Roman"/>
          <w:sz w:val="20"/>
          <w:szCs w:val="20"/>
        </w:rPr>
        <w:t xml:space="preserve">16 </w:t>
      </w:r>
    </w:p>
    <w:p w14:paraId="2C4C95F3" w14:textId="77777777" w:rsidR="00000000" w:rsidRDefault="00527094">
      <w:pPr>
        <w:rPr>
          <w:rFonts w:eastAsia="Times New Roman"/>
          <w:sz w:val="20"/>
          <w:szCs w:val="20"/>
        </w:rPr>
      </w:pPr>
      <w:r>
        <w:rPr>
          <w:rFonts w:eastAsia="Times New Roman"/>
          <w:sz w:val="20"/>
          <w:szCs w:val="20"/>
        </w:rPr>
        <w:pict w14:anchorId="52FF36A5">
          <v:rect id="_x0000_i1044" style="width:0;height:1.5pt" o:hralign="center" o:hrstd="t" o:hr="t" fillcolor="#a0a0a0" stroked="f"/>
        </w:pict>
      </w:r>
    </w:p>
    <w:p w14:paraId="112157DB"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7343876" w14:textId="77777777" w:rsidR="00000000" w:rsidRDefault="00527094">
      <w:pPr>
        <w:pStyle w:val="a3"/>
        <w:spacing w:before="0" w:beforeAutospacing="0" w:after="0" w:afterAutospacing="0"/>
        <w:rPr>
          <w:sz w:val="20"/>
          <w:szCs w:val="20"/>
        </w:rPr>
      </w:pPr>
      <w:r>
        <w:rPr>
          <w:sz w:val="20"/>
          <w:szCs w:val="20"/>
        </w:rPr>
        <w:t> </w:t>
      </w:r>
    </w:p>
    <w:p w14:paraId="3966E0C8" w14:textId="77777777" w:rsidR="00000000" w:rsidRDefault="00527094">
      <w:pPr>
        <w:pStyle w:val="a3"/>
        <w:spacing w:before="0" w:beforeAutospacing="0" w:after="0" w:afterAutospacing="0"/>
        <w:ind w:firstLine="360"/>
        <w:jc w:val="both"/>
        <w:rPr>
          <w:sz w:val="20"/>
          <w:szCs w:val="20"/>
        </w:rPr>
      </w:pPr>
      <w:r>
        <w:rPr>
          <w:sz w:val="20"/>
          <w:szCs w:val="20"/>
        </w:rPr>
        <w:t>The future minimum revenues from rental properties under the terms of all noncancelable tenant operating leases in effect, assuming</w:t>
      </w:r>
      <w:r>
        <w:rPr>
          <w:sz w:val="20"/>
          <w:szCs w:val="20"/>
        </w:rPr>
        <w:t xml:space="preserve"> </w:t>
      </w:r>
      <w:r>
        <w:rPr>
          <w:rStyle w:val="a6"/>
          <w:i w:val="0"/>
          <w:iCs w:val="0"/>
          <w:sz w:val="20"/>
          <w:szCs w:val="20"/>
        </w:rPr>
        <w:t>no</w:t>
      </w:r>
      <w:r>
        <w:rPr>
          <w:sz w:val="20"/>
          <w:szCs w:val="20"/>
        </w:rPr>
        <w:t xml:space="preserve"> new or renegotiated leases are execute</w:t>
      </w:r>
      <w:r>
        <w:rPr>
          <w:sz w:val="20"/>
          <w:szCs w:val="20"/>
        </w:rPr>
        <w:t>d for such premises, at</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are as follows (in thousands):</w:t>
      </w:r>
    </w:p>
    <w:p w14:paraId="3ACA314C"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14:paraId="338E9483" w14:textId="77777777">
        <w:trPr>
          <w:tblCellSpacing w:w="0" w:type="dxa"/>
        </w:trPr>
        <w:tc>
          <w:tcPr>
            <w:tcW w:w="3200" w:type="pct"/>
            <w:tcBorders>
              <w:bottom w:val="single" w:sz="6" w:space="0" w:color="000000"/>
            </w:tcBorders>
            <w:vAlign w:val="bottom"/>
            <w:hideMark/>
          </w:tcPr>
          <w:p w14:paraId="79D205E0" w14:textId="77777777" w:rsidR="00000000" w:rsidRDefault="00527094">
            <w:pPr>
              <w:pStyle w:val="a3"/>
              <w:spacing w:before="0" w:beforeAutospacing="0" w:after="0" w:afterAutospacing="0"/>
              <w:jc w:val="center"/>
              <w:rPr>
                <w:sz w:val="20"/>
                <w:szCs w:val="20"/>
              </w:rPr>
            </w:pPr>
            <w:r>
              <w:rPr>
                <w:b/>
                <w:bCs/>
                <w:sz w:val="20"/>
                <w:szCs w:val="20"/>
              </w:rPr>
              <w:t>Year Ending December 31,</w:t>
            </w:r>
          </w:p>
        </w:tc>
        <w:tc>
          <w:tcPr>
            <w:tcW w:w="0" w:type="auto"/>
            <w:vAlign w:val="bottom"/>
            <w:hideMark/>
          </w:tcPr>
          <w:p w14:paraId="09385757"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517B6CE9" w14:textId="77777777" w:rsidR="00000000" w:rsidRDefault="00527094">
            <w:pPr>
              <w:pStyle w:val="a3"/>
              <w:spacing w:before="0" w:beforeAutospacing="0" w:after="0" w:afterAutospacing="0"/>
              <w:jc w:val="center"/>
              <w:rPr>
                <w:sz w:val="20"/>
                <w:szCs w:val="20"/>
              </w:rPr>
            </w:pPr>
            <w:r>
              <w:rPr>
                <w:b/>
                <w:bCs/>
                <w:sz w:val="20"/>
                <w:szCs w:val="20"/>
              </w:rPr>
              <w:t>As of June 30, 2019</w:t>
            </w:r>
          </w:p>
        </w:tc>
        <w:tc>
          <w:tcPr>
            <w:tcW w:w="0" w:type="auto"/>
            <w:tcMar>
              <w:top w:w="0" w:type="dxa"/>
              <w:left w:w="0" w:type="dxa"/>
              <w:bottom w:w="15" w:type="dxa"/>
              <w:right w:w="0" w:type="dxa"/>
            </w:tcMar>
            <w:vAlign w:val="bottom"/>
            <w:hideMark/>
          </w:tcPr>
          <w:p w14:paraId="070E0B5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0D633F7"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74947460" w14:textId="77777777" w:rsidR="00000000" w:rsidRDefault="00527094">
            <w:pPr>
              <w:pStyle w:val="a3"/>
              <w:spacing w:before="0" w:beforeAutospacing="0" w:after="0" w:afterAutospacing="0"/>
              <w:jc w:val="center"/>
              <w:rPr>
                <w:sz w:val="20"/>
                <w:szCs w:val="20"/>
              </w:rPr>
            </w:pPr>
            <w:r>
              <w:rPr>
                <w:b/>
                <w:bCs/>
                <w:sz w:val="20"/>
                <w:szCs w:val="20"/>
              </w:rPr>
              <w:t>As of December 31, 2018</w:t>
            </w:r>
          </w:p>
        </w:tc>
        <w:tc>
          <w:tcPr>
            <w:tcW w:w="0" w:type="auto"/>
            <w:tcMar>
              <w:top w:w="0" w:type="dxa"/>
              <w:left w:w="0" w:type="dxa"/>
              <w:bottom w:w="15" w:type="dxa"/>
              <w:right w:w="0" w:type="dxa"/>
            </w:tcMar>
            <w:vAlign w:val="bottom"/>
            <w:hideMark/>
          </w:tcPr>
          <w:p w14:paraId="7E418B6B" w14:textId="77777777" w:rsidR="00000000" w:rsidRDefault="00527094">
            <w:pPr>
              <w:rPr>
                <w:rFonts w:eastAsia="Times New Roman"/>
                <w:sz w:val="20"/>
                <w:szCs w:val="20"/>
              </w:rPr>
            </w:pPr>
            <w:r>
              <w:rPr>
                <w:rFonts w:eastAsia="Times New Roman"/>
                <w:sz w:val="20"/>
                <w:szCs w:val="20"/>
              </w:rPr>
              <w:t> </w:t>
            </w:r>
          </w:p>
        </w:tc>
      </w:tr>
      <w:tr w:rsidR="00000000" w14:paraId="37C76748" w14:textId="77777777">
        <w:trPr>
          <w:tblCellSpacing w:w="0" w:type="dxa"/>
        </w:trPr>
        <w:tc>
          <w:tcPr>
            <w:tcW w:w="0" w:type="auto"/>
            <w:tcBorders>
              <w:bottom w:val="nil"/>
            </w:tcBorders>
            <w:shd w:val="clear" w:color="auto" w:fill="CCEEFF"/>
            <w:vAlign w:val="bottom"/>
            <w:hideMark/>
          </w:tcPr>
          <w:p w14:paraId="7FE43D2D" w14:textId="77777777" w:rsidR="00000000" w:rsidRDefault="00527094">
            <w:pPr>
              <w:pStyle w:val="a3"/>
              <w:spacing w:before="0" w:beforeAutospacing="0" w:after="0" w:afterAutospacing="0"/>
              <w:rPr>
                <w:sz w:val="20"/>
                <w:szCs w:val="20"/>
              </w:rPr>
            </w:pPr>
            <w:r>
              <w:rPr>
                <w:sz w:val="20"/>
                <w:szCs w:val="20"/>
              </w:rPr>
              <w:t>2019</w:t>
            </w:r>
          </w:p>
        </w:tc>
        <w:tc>
          <w:tcPr>
            <w:tcW w:w="50" w:type="pct"/>
            <w:tcBorders>
              <w:bottom w:val="nil"/>
            </w:tcBorders>
            <w:shd w:val="clear" w:color="auto" w:fill="CCEEFF"/>
            <w:vAlign w:val="bottom"/>
            <w:hideMark/>
          </w:tcPr>
          <w:p w14:paraId="720BF483"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FB02785" w14:textId="77777777" w:rsidR="00000000" w:rsidRDefault="0052709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33E902BE" w14:textId="77777777" w:rsidR="00000000" w:rsidRDefault="00527094">
            <w:pPr>
              <w:jc w:val="right"/>
              <w:rPr>
                <w:rFonts w:eastAsia="Times New Roman"/>
                <w:sz w:val="20"/>
                <w:szCs w:val="20"/>
              </w:rPr>
            </w:pPr>
            <w:r>
              <w:rPr>
                <w:rFonts w:eastAsia="Times New Roman"/>
                <w:sz w:val="20"/>
                <w:szCs w:val="20"/>
              </w:rPr>
              <w:t>411,793</w:t>
            </w:r>
          </w:p>
        </w:tc>
        <w:tc>
          <w:tcPr>
            <w:tcW w:w="50" w:type="pct"/>
            <w:tcBorders>
              <w:bottom w:val="nil"/>
            </w:tcBorders>
            <w:shd w:val="clear" w:color="auto" w:fill="CCEEFF"/>
            <w:vAlign w:val="bottom"/>
            <w:hideMark/>
          </w:tcPr>
          <w:p w14:paraId="0D1AFC4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F4E0889"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FAA658E" w14:textId="77777777" w:rsidR="00000000" w:rsidRDefault="0052709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5706E71B" w14:textId="77777777" w:rsidR="00000000" w:rsidRDefault="00527094">
            <w:pPr>
              <w:jc w:val="right"/>
              <w:rPr>
                <w:rFonts w:eastAsia="Times New Roman"/>
                <w:sz w:val="20"/>
                <w:szCs w:val="20"/>
              </w:rPr>
            </w:pPr>
            <w:r>
              <w:rPr>
                <w:rFonts w:eastAsia="Times New Roman"/>
                <w:sz w:val="20"/>
                <w:szCs w:val="20"/>
              </w:rPr>
              <w:t>816,409</w:t>
            </w:r>
          </w:p>
        </w:tc>
        <w:tc>
          <w:tcPr>
            <w:tcW w:w="50" w:type="pct"/>
            <w:tcBorders>
              <w:bottom w:val="nil"/>
            </w:tcBorders>
            <w:shd w:val="clear" w:color="auto" w:fill="CCEEFF"/>
            <w:vAlign w:val="bottom"/>
            <w:hideMark/>
          </w:tcPr>
          <w:p w14:paraId="3EDCCD93" w14:textId="77777777" w:rsidR="00000000" w:rsidRDefault="00527094">
            <w:pPr>
              <w:rPr>
                <w:rFonts w:eastAsia="Times New Roman"/>
                <w:sz w:val="20"/>
                <w:szCs w:val="20"/>
              </w:rPr>
            </w:pPr>
            <w:r>
              <w:rPr>
                <w:rFonts w:eastAsia="Times New Roman"/>
                <w:sz w:val="20"/>
                <w:szCs w:val="20"/>
              </w:rPr>
              <w:t> </w:t>
            </w:r>
          </w:p>
        </w:tc>
      </w:tr>
      <w:tr w:rsidR="00000000" w14:paraId="4ED65455" w14:textId="77777777">
        <w:trPr>
          <w:tblCellSpacing w:w="0" w:type="dxa"/>
        </w:trPr>
        <w:tc>
          <w:tcPr>
            <w:tcW w:w="0" w:type="auto"/>
            <w:shd w:val="clear" w:color="auto" w:fill="FFFFFF"/>
            <w:vAlign w:val="bottom"/>
            <w:hideMark/>
          </w:tcPr>
          <w:p w14:paraId="77D1F7B1" w14:textId="77777777" w:rsidR="00000000" w:rsidRDefault="00527094">
            <w:pPr>
              <w:pStyle w:val="a3"/>
              <w:spacing w:before="0" w:beforeAutospacing="0" w:after="0" w:afterAutospacing="0"/>
              <w:rPr>
                <w:sz w:val="20"/>
                <w:szCs w:val="20"/>
              </w:rPr>
            </w:pPr>
            <w:r>
              <w:rPr>
                <w:sz w:val="20"/>
                <w:szCs w:val="20"/>
              </w:rPr>
              <w:t>2020</w:t>
            </w:r>
          </w:p>
        </w:tc>
        <w:tc>
          <w:tcPr>
            <w:tcW w:w="50" w:type="pct"/>
            <w:shd w:val="clear" w:color="auto" w:fill="FFFFFF"/>
            <w:vAlign w:val="bottom"/>
            <w:hideMark/>
          </w:tcPr>
          <w:p w14:paraId="4D18268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8AF22B"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7792F65" w14:textId="77777777" w:rsidR="00000000" w:rsidRDefault="00527094">
            <w:pPr>
              <w:jc w:val="right"/>
              <w:rPr>
                <w:rFonts w:eastAsia="Times New Roman"/>
                <w:sz w:val="20"/>
                <w:szCs w:val="20"/>
              </w:rPr>
            </w:pPr>
            <w:r>
              <w:rPr>
                <w:rFonts w:eastAsia="Times New Roman"/>
                <w:sz w:val="20"/>
                <w:szCs w:val="20"/>
              </w:rPr>
              <w:t>805,916</w:t>
            </w:r>
          </w:p>
        </w:tc>
        <w:tc>
          <w:tcPr>
            <w:tcW w:w="50" w:type="pct"/>
            <w:shd w:val="clear" w:color="auto" w:fill="FFFFFF"/>
            <w:vAlign w:val="bottom"/>
            <w:hideMark/>
          </w:tcPr>
          <w:p w14:paraId="1F1BEC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3A236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6C167C"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FA74924" w14:textId="77777777" w:rsidR="00000000" w:rsidRDefault="00527094">
            <w:pPr>
              <w:jc w:val="right"/>
              <w:rPr>
                <w:rFonts w:eastAsia="Times New Roman"/>
                <w:sz w:val="20"/>
                <w:szCs w:val="20"/>
              </w:rPr>
            </w:pPr>
            <w:r>
              <w:rPr>
                <w:rFonts w:eastAsia="Times New Roman"/>
                <w:sz w:val="20"/>
                <w:szCs w:val="20"/>
              </w:rPr>
              <w:t>769,074</w:t>
            </w:r>
          </w:p>
        </w:tc>
        <w:tc>
          <w:tcPr>
            <w:tcW w:w="50" w:type="pct"/>
            <w:shd w:val="clear" w:color="auto" w:fill="FFFFFF"/>
            <w:vAlign w:val="bottom"/>
            <w:hideMark/>
          </w:tcPr>
          <w:p w14:paraId="7FADEFD2" w14:textId="77777777" w:rsidR="00000000" w:rsidRDefault="00527094">
            <w:pPr>
              <w:rPr>
                <w:rFonts w:eastAsia="Times New Roman"/>
                <w:sz w:val="20"/>
                <w:szCs w:val="20"/>
              </w:rPr>
            </w:pPr>
            <w:r>
              <w:rPr>
                <w:rFonts w:eastAsia="Times New Roman"/>
                <w:sz w:val="20"/>
                <w:szCs w:val="20"/>
              </w:rPr>
              <w:t> </w:t>
            </w:r>
          </w:p>
        </w:tc>
      </w:tr>
      <w:tr w:rsidR="00000000" w14:paraId="368D6E75" w14:textId="77777777">
        <w:trPr>
          <w:tblCellSpacing w:w="0" w:type="dxa"/>
        </w:trPr>
        <w:tc>
          <w:tcPr>
            <w:tcW w:w="0" w:type="auto"/>
            <w:shd w:val="clear" w:color="auto" w:fill="CCEEFF"/>
            <w:vAlign w:val="bottom"/>
            <w:hideMark/>
          </w:tcPr>
          <w:p w14:paraId="0F6E2343" w14:textId="77777777" w:rsidR="00000000" w:rsidRDefault="00527094">
            <w:pPr>
              <w:pStyle w:val="a3"/>
              <w:spacing w:before="0" w:beforeAutospacing="0" w:after="0" w:afterAutospacing="0"/>
              <w:rPr>
                <w:sz w:val="20"/>
                <w:szCs w:val="20"/>
              </w:rPr>
            </w:pPr>
            <w:r>
              <w:rPr>
                <w:sz w:val="20"/>
                <w:szCs w:val="20"/>
              </w:rPr>
              <w:t>2021</w:t>
            </w:r>
          </w:p>
        </w:tc>
        <w:tc>
          <w:tcPr>
            <w:tcW w:w="50" w:type="pct"/>
            <w:shd w:val="clear" w:color="auto" w:fill="CCEEFF"/>
            <w:vAlign w:val="bottom"/>
            <w:hideMark/>
          </w:tcPr>
          <w:p w14:paraId="0F4B87C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A486E0"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45D7384F" w14:textId="77777777" w:rsidR="00000000" w:rsidRDefault="00527094">
            <w:pPr>
              <w:jc w:val="right"/>
              <w:rPr>
                <w:rFonts w:eastAsia="Times New Roman"/>
                <w:sz w:val="20"/>
                <w:szCs w:val="20"/>
              </w:rPr>
            </w:pPr>
            <w:r>
              <w:rPr>
                <w:rFonts w:eastAsia="Times New Roman"/>
                <w:sz w:val="20"/>
                <w:szCs w:val="20"/>
              </w:rPr>
              <w:t>733,053</w:t>
            </w:r>
          </w:p>
        </w:tc>
        <w:tc>
          <w:tcPr>
            <w:tcW w:w="50" w:type="pct"/>
            <w:shd w:val="clear" w:color="auto" w:fill="CCEEFF"/>
            <w:vAlign w:val="bottom"/>
            <w:hideMark/>
          </w:tcPr>
          <w:p w14:paraId="6C980EF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839CA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1EB5D2"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93227BB" w14:textId="77777777" w:rsidR="00000000" w:rsidRDefault="00527094">
            <w:pPr>
              <w:jc w:val="right"/>
              <w:rPr>
                <w:rFonts w:eastAsia="Times New Roman"/>
                <w:sz w:val="20"/>
                <w:szCs w:val="20"/>
              </w:rPr>
            </w:pPr>
            <w:r>
              <w:rPr>
                <w:rFonts w:eastAsia="Times New Roman"/>
                <w:sz w:val="20"/>
                <w:szCs w:val="20"/>
              </w:rPr>
              <w:t>690,678</w:t>
            </w:r>
          </w:p>
        </w:tc>
        <w:tc>
          <w:tcPr>
            <w:tcW w:w="50" w:type="pct"/>
            <w:shd w:val="clear" w:color="auto" w:fill="CCEEFF"/>
            <w:vAlign w:val="bottom"/>
            <w:hideMark/>
          </w:tcPr>
          <w:p w14:paraId="742B273E" w14:textId="77777777" w:rsidR="00000000" w:rsidRDefault="00527094">
            <w:pPr>
              <w:rPr>
                <w:rFonts w:eastAsia="Times New Roman"/>
                <w:sz w:val="20"/>
                <w:szCs w:val="20"/>
              </w:rPr>
            </w:pPr>
            <w:r>
              <w:rPr>
                <w:rFonts w:eastAsia="Times New Roman"/>
                <w:sz w:val="20"/>
                <w:szCs w:val="20"/>
              </w:rPr>
              <w:t> </w:t>
            </w:r>
          </w:p>
        </w:tc>
      </w:tr>
      <w:tr w:rsidR="00000000" w14:paraId="633A5B66" w14:textId="77777777">
        <w:trPr>
          <w:tblCellSpacing w:w="0" w:type="dxa"/>
        </w:trPr>
        <w:tc>
          <w:tcPr>
            <w:tcW w:w="0" w:type="auto"/>
            <w:shd w:val="clear" w:color="auto" w:fill="FFFFFF"/>
            <w:vAlign w:val="bottom"/>
            <w:hideMark/>
          </w:tcPr>
          <w:p w14:paraId="6AD35EEF" w14:textId="77777777" w:rsidR="00000000" w:rsidRDefault="00527094">
            <w:pPr>
              <w:pStyle w:val="a3"/>
              <w:spacing w:before="0" w:beforeAutospacing="0" w:after="0" w:afterAutospacing="0"/>
              <w:rPr>
                <w:sz w:val="20"/>
                <w:szCs w:val="20"/>
              </w:rPr>
            </w:pPr>
            <w:r>
              <w:rPr>
                <w:sz w:val="20"/>
                <w:szCs w:val="20"/>
              </w:rPr>
              <w:t>2022</w:t>
            </w:r>
          </w:p>
        </w:tc>
        <w:tc>
          <w:tcPr>
            <w:tcW w:w="50" w:type="pct"/>
            <w:shd w:val="clear" w:color="auto" w:fill="FFFFFF"/>
            <w:vAlign w:val="bottom"/>
            <w:hideMark/>
          </w:tcPr>
          <w:p w14:paraId="49EDEE4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DA487F"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C1C06E8" w14:textId="77777777" w:rsidR="00000000" w:rsidRDefault="00527094">
            <w:pPr>
              <w:jc w:val="right"/>
              <w:rPr>
                <w:rFonts w:eastAsia="Times New Roman"/>
                <w:sz w:val="20"/>
                <w:szCs w:val="20"/>
              </w:rPr>
            </w:pPr>
            <w:r>
              <w:rPr>
                <w:rFonts w:eastAsia="Times New Roman"/>
                <w:sz w:val="20"/>
                <w:szCs w:val="20"/>
              </w:rPr>
              <w:t>636,703</w:t>
            </w:r>
          </w:p>
        </w:tc>
        <w:tc>
          <w:tcPr>
            <w:tcW w:w="50" w:type="pct"/>
            <w:shd w:val="clear" w:color="auto" w:fill="FFFFFF"/>
            <w:vAlign w:val="bottom"/>
            <w:hideMark/>
          </w:tcPr>
          <w:p w14:paraId="7A41B2C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74FEA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59E52C"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7B98BAB" w14:textId="77777777" w:rsidR="00000000" w:rsidRDefault="00527094">
            <w:pPr>
              <w:jc w:val="right"/>
              <w:rPr>
                <w:rFonts w:eastAsia="Times New Roman"/>
                <w:sz w:val="20"/>
                <w:szCs w:val="20"/>
              </w:rPr>
            </w:pPr>
            <w:r>
              <w:rPr>
                <w:rFonts w:eastAsia="Times New Roman"/>
                <w:sz w:val="20"/>
                <w:szCs w:val="20"/>
              </w:rPr>
              <w:t>594,638</w:t>
            </w:r>
          </w:p>
        </w:tc>
        <w:tc>
          <w:tcPr>
            <w:tcW w:w="50" w:type="pct"/>
            <w:shd w:val="clear" w:color="auto" w:fill="FFFFFF"/>
            <w:vAlign w:val="bottom"/>
            <w:hideMark/>
          </w:tcPr>
          <w:p w14:paraId="2430124A" w14:textId="77777777" w:rsidR="00000000" w:rsidRDefault="00527094">
            <w:pPr>
              <w:rPr>
                <w:rFonts w:eastAsia="Times New Roman"/>
                <w:sz w:val="20"/>
                <w:szCs w:val="20"/>
              </w:rPr>
            </w:pPr>
            <w:r>
              <w:rPr>
                <w:rFonts w:eastAsia="Times New Roman"/>
                <w:sz w:val="20"/>
                <w:szCs w:val="20"/>
              </w:rPr>
              <w:t> </w:t>
            </w:r>
          </w:p>
        </w:tc>
      </w:tr>
      <w:tr w:rsidR="00000000" w14:paraId="2D20C718" w14:textId="77777777">
        <w:trPr>
          <w:tblCellSpacing w:w="0" w:type="dxa"/>
        </w:trPr>
        <w:tc>
          <w:tcPr>
            <w:tcW w:w="0" w:type="auto"/>
            <w:shd w:val="clear" w:color="auto" w:fill="CCEEFF"/>
            <w:vAlign w:val="bottom"/>
            <w:hideMark/>
          </w:tcPr>
          <w:p w14:paraId="50D152F0" w14:textId="77777777" w:rsidR="00000000" w:rsidRDefault="00527094">
            <w:pPr>
              <w:pStyle w:val="a3"/>
              <w:spacing w:before="0" w:beforeAutospacing="0" w:after="0" w:afterAutospacing="0"/>
              <w:rPr>
                <w:sz w:val="20"/>
                <w:szCs w:val="20"/>
              </w:rPr>
            </w:pPr>
            <w:r>
              <w:rPr>
                <w:sz w:val="20"/>
                <w:szCs w:val="20"/>
              </w:rPr>
              <w:t>2023</w:t>
            </w:r>
          </w:p>
        </w:tc>
        <w:tc>
          <w:tcPr>
            <w:tcW w:w="50" w:type="pct"/>
            <w:shd w:val="clear" w:color="auto" w:fill="CCEEFF"/>
            <w:vAlign w:val="bottom"/>
            <w:hideMark/>
          </w:tcPr>
          <w:p w14:paraId="096796D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123474"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6373467E" w14:textId="77777777" w:rsidR="00000000" w:rsidRDefault="00527094">
            <w:pPr>
              <w:jc w:val="right"/>
              <w:rPr>
                <w:rFonts w:eastAsia="Times New Roman"/>
                <w:sz w:val="20"/>
                <w:szCs w:val="20"/>
              </w:rPr>
            </w:pPr>
            <w:r>
              <w:rPr>
                <w:rFonts w:eastAsia="Times New Roman"/>
                <w:sz w:val="20"/>
                <w:szCs w:val="20"/>
              </w:rPr>
              <w:t>536,045</w:t>
            </w:r>
          </w:p>
        </w:tc>
        <w:tc>
          <w:tcPr>
            <w:tcW w:w="50" w:type="pct"/>
            <w:shd w:val="clear" w:color="auto" w:fill="CCEEFF"/>
            <w:vAlign w:val="bottom"/>
            <w:hideMark/>
          </w:tcPr>
          <w:p w14:paraId="58642F6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7A93C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82FBB9"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6FFD347" w14:textId="77777777" w:rsidR="00000000" w:rsidRDefault="00527094">
            <w:pPr>
              <w:jc w:val="right"/>
              <w:rPr>
                <w:rFonts w:eastAsia="Times New Roman"/>
                <w:sz w:val="20"/>
                <w:szCs w:val="20"/>
              </w:rPr>
            </w:pPr>
            <w:r>
              <w:rPr>
                <w:rFonts w:eastAsia="Times New Roman"/>
                <w:sz w:val="20"/>
                <w:szCs w:val="20"/>
              </w:rPr>
              <w:t>492,631</w:t>
            </w:r>
          </w:p>
        </w:tc>
        <w:tc>
          <w:tcPr>
            <w:tcW w:w="50" w:type="pct"/>
            <w:shd w:val="clear" w:color="auto" w:fill="CCEEFF"/>
            <w:vAlign w:val="bottom"/>
            <w:hideMark/>
          </w:tcPr>
          <w:p w14:paraId="4F593A5C" w14:textId="77777777" w:rsidR="00000000" w:rsidRDefault="00527094">
            <w:pPr>
              <w:rPr>
                <w:rFonts w:eastAsia="Times New Roman"/>
                <w:sz w:val="20"/>
                <w:szCs w:val="20"/>
              </w:rPr>
            </w:pPr>
            <w:r>
              <w:rPr>
                <w:rFonts w:eastAsia="Times New Roman"/>
                <w:sz w:val="20"/>
                <w:szCs w:val="20"/>
              </w:rPr>
              <w:t> </w:t>
            </w:r>
          </w:p>
        </w:tc>
      </w:tr>
      <w:tr w:rsidR="00000000" w14:paraId="5982484D" w14:textId="77777777">
        <w:trPr>
          <w:tblCellSpacing w:w="0" w:type="dxa"/>
        </w:trPr>
        <w:tc>
          <w:tcPr>
            <w:tcW w:w="0" w:type="auto"/>
            <w:shd w:val="clear" w:color="auto" w:fill="FFFFFF"/>
            <w:vAlign w:val="bottom"/>
            <w:hideMark/>
          </w:tcPr>
          <w:p w14:paraId="5D82BE3B" w14:textId="77777777" w:rsidR="00000000" w:rsidRDefault="00527094">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14:paraId="7BC8C77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098AE2A" w14:textId="77777777" w:rsidR="00000000" w:rsidRDefault="00527094">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5C5E795E" w14:textId="77777777" w:rsidR="00000000" w:rsidRDefault="00527094">
            <w:pPr>
              <w:jc w:val="right"/>
              <w:rPr>
                <w:rFonts w:eastAsia="Times New Roman"/>
                <w:sz w:val="20"/>
                <w:szCs w:val="20"/>
              </w:rPr>
            </w:pPr>
            <w:r>
              <w:rPr>
                <w:rFonts w:eastAsia="Times New Roman"/>
                <w:sz w:val="20"/>
                <w:szCs w:val="20"/>
              </w:rPr>
              <w:t>2,792,780</w:t>
            </w:r>
          </w:p>
        </w:tc>
        <w:tc>
          <w:tcPr>
            <w:tcW w:w="50" w:type="pct"/>
            <w:shd w:val="clear" w:color="auto" w:fill="FFFFFF"/>
            <w:tcMar>
              <w:top w:w="0" w:type="dxa"/>
              <w:left w:w="0" w:type="dxa"/>
              <w:bottom w:w="15" w:type="dxa"/>
              <w:right w:w="0" w:type="dxa"/>
            </w:tcMar>
            <w:vAlign w:val="bottom"/>
            <w:hideMark/>
          </w:tcPr>
          <w:p w14:paraId="2F62EB8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F1A45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13A1D01" w14:textId="77777777" w:rsidR="00000000" w:rsidRDefault="00527094">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3D779E2F" w14:textId="77777777" w:rsidR="00000000" w:rsidRDefault="00527094">
            <w:pPr>
              <w:jc w:val="right"/>
              <w:rPr>
                <w:rFonts w:eastAsia="Times New Roman"/>
                <w:sz w:val="20"/>
                <w:szCs w:val="20"/>
              </w:rPr>
            </w:pPr>
            <w:r>
              <w:rPr>
                <w:rFonts w:eastAsia="Times New Roman"/>
                <w:sz w:val="20"/>
                <w:szCs w:val="20"/>
              </w:rPr>
              <w:t>2,540,231</w:t>
            </w:r>
          </w:p>
        </w:tc>
        <w:tc>
          <w:tcPr>
            <w:tcW w:w="50" w:type="pct"/>
            <w:shd w:val="clear" w:color="auto" w:fill="FFFFFF"/>
            <w:tcMar>
              <w:top w:w="0" w:type="dxa"/>
              <w:left w:w="0" w:type="dxa"/>
              <w:bottom w:w="15" w:type="dxa"/>
              <w:right w:w="0" w:type="dxa"/>
            </w:tcMar>
            <w:vAlign w:val="bottom"/>
            <w:hideMark/>
          </w:tcPr>
          <w:p w14:paraId="30FC48D1" w14:textId="77777777" w:rsidR="00000000" w:rsidRDefault="00527094">
            <w:pPr>
              <w:rPr>
                <w:rFonts w:eastAsia="Times New Roman"/>
                <w:sz w:val="20"/>
                <w:szCs w:val="20"/>
              </w:rPr>
            </w:pPr>
            <w:r>
              <w:rPr>
                <w:rFonts w:eastAsia="Times New Roman"/>
                <w:sz w:val="20"/>
                <w:szCs w:val="20"/>
              </w:rPr>
              <w:t> </w:t>
            </w:r>
          </w:p>
        </w:tc>
      </w:tr>
      <w:tr w:rsidR="00000000" w14:paraId="2190EA55" w14:textId="77777777">
        <w:trPr>
          <w:tblCellSpacing w:w="0" w:type="dxa"/>
        </w:trPr>
        <w:tc>
          <w:tcPr>
            <w:tcW w:w="0" w:type="auto"/>
            <w:shd w:val="clear" w:color="auto" w:fill="CCEEFF"/>
            <w:vAlign w:val="bottom"/>
            <w:hideMark/>
          </w:tcPr>
          <w:p w14:paraId="761C8BA9" w14:textId="77777777" w:rsidR="00000000" w:rsidRDefault="00527094">
            <w:pPr>
              <w:pStyle w:val="a3"/>
              <w:spacing w:before="0" w:beforeAutospacing="0" w:after="0" w:afterAutospacing="0"/>
              <w:rPr>
                <w:sz w:val="20"/>
                <w:szCs w:val="20"/>
              </w:rPr>
            </w:pPr>
            <w:r>
              <w:rPr>
                <w:sz w:val="20"/>
                <w:szCs w:val="20"/>
              </w:rPr>
              <w:t>Total minimum revenues</w:t>
            </w:r>
          </w:p>
        </w:tc>
        <w:tc>
          <w:tcPr>
            <w:tcW w:w="50" w:type="pct"/>
            <w:shd w:val="clear" w:color="auto" w:fill="CCEEFF"/>
            <w:vAlign w:val="bottom"/>
            <w:hideMark/>
          </w:tcPr>
          <w:p w14:paraId="4026BC7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91A0F68" w14:textId="77777777" w:rsidR="00000000" w:rsidRDefault="00527094">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67CDD641" w14:textId="77777777" w:rsidR="00000000" w:rsidRDefault="00527094">
            <w:pPr>
              <w:jc w:val="right"/>
              <w:rPr>
                <w:rFonts w:eastAsia="Times New Roman"/>
                <w:sz w:val="20"/>
                <w:szCs w:val="20"/>
              </w:rPr>
            </w:pPr>
            <w:r>
              <w:rPr>
                <w:rFonts w:eastAsia="Times New Roman"/>
                <w:sz w:val="20"/>
                <w:szCs w:val="20"/>
              </w:rPr>
              <w:t>5,916,290</w:t>
            </w:r>
          </w:p>
        </w:tc>
        <w:tc>
          <w:tcPr>
            <w:tcW w:w="50" w:type="pct"/>
            <w:shd w:val="clear" w:color="auto" w:fill="CCEEFF"/>
            <w:tcMar>
              <w:top w:w="0" w:type="dxa"/>
              <w:left w:w="0" w:type="dxa"/>
              <w:bottom w:w="45" w:type="dxa"/>
              <w:right w:w="0" w:type="dxa"/>
            </w:tcMar>
            <w:vAlign w:val="bottom"/>
            <w:hideMark/>
          </w:tcPr>
          <w:p w14:paraId="5EA174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099EC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31C2F40" w14:textId="77777777" w:rsidR="00000000" w:rsidRDefault="00527094">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14:paraId="7B4D7BB2" w14:textId="77777777" w:rsidR="00000000" w:rsidRDefault="00527094">
            <w:pPr>
              <w:jc w:val="right"/>
              <w:rPr>
                <w:rFonts w:eastAsia="Times New Roman"/>
                <w:sz w:val="20"/>
                <w:szCs w:val="20"/>
              </w:rPr>
            </w:pPr>
            <w:r>
              <w:rPr>
                <w:rFonts w:eastAsia="Times New Roman"/>
                <w:sz w:val="20"/>
                <w:szCs w:val="20"/>
              </w:rPr>
              <w:t>5,903,661</w:t>
            </w:r>
          </w:p>
        </w:tc>
        <w:tc>
          <w:tcPr>
            <w:tcW w:w="50" w:type="pct"/>
            <w:shd w:val="clear" w:color="auto" w:fill="CCEEFF"/>
            <w:tcMar>
              <w:top w:w="0" w:type="dxa"/>
              <w:left w:w="0" w:type="dxa"/>
              <w:bottom w:w="45" w:type="dxa"/>
              <w:right w:w="0" w:type="dxa"/>
            </w:tcMar>
            <w:vAlign w:val="bottom"/>
            <w:hideMark/>
          </w:tcPr>
          <w:p w14:paraId="668F4683" w14:textId="77777777" w:rsidR="00000000" w:rsidRDefault="00527094">
            <w:pPr>
              <w:rPr>
                <w:rFonts w:eastAsia="Times New Roman"/>
                <w:sz w:val="20"/>
                <w:szCs w:val="20"/>
              </w:rPr>
            </w:pPr>
            <w:r>
              <w:rPr>
                <w:rFonts w:eastAsia="Times New Roman"/>
                <w:sz w:val="20"/>
                <w:szCs w:val="20"/>
              </w:rPr>
              <w:t> </w:t>
            </w:r>
          </w:p>
        </w:tc>
      </w:tr>
    </w:tbl>
    <w:p w14:paraId="4F7A7115" w14:textId="77777777" w:rsidR="00000000" w:rsidRDefault="00527094">
      <w:pPr>
        <w:pStyle w:val="a3"/>
        <w:spacing w:before="0" w:beforeAutospacing="0" w:after="0" w:afterAutospacing="0"/>
        <w:jc w:val="both"/>
        <w:rPr>
          <w:sz w:val="20"/>
          <w:szCs w:val="20"/>
        </w:rPr>
      </w:pPr>
      <w:r>
        <w:rPr>
          <w:sz w:val="20"/>
          <w:szCs w:val="20"/>
        </w:rPr>
        <w:t> </w:t>
      </w:r>
    </w:p>
    <w:p w14:paraId="275100EE" w14:textId="77777777" w:rsidR="00000000" w:rsidRDefault="00527094">
      <w:pPr>
        <w:divId w:val="44648997"/>
        <w:rPr>
          <w:rFonts w:eastAsia="Times New Roman"/>
          <w:sz w:val="20"/>
          <w:szCs w:val="20"/>
        </w:rPr>
      </w:pPr>
      <w:r>
        <w:rPr>
          <w:rFonts w:eastAsia="Times New Roman"/>
          <w:sz w:val="20"/>
          <w:szCs w:val="20"/>
        </w:rPr>
        <w:t xml:space="preserve">  </w:t>
      </w:r>
    </w:p>
    <w:p w14:paraId="699D7D2E" w14:textId="77777777" w:rsidR="00000000" w:rsidRDefault="00527094">
      <w:pPr>
        <w:pStyle w:val="a3"/>
        <w:spacing w:before="0" w:beforeAutospacing="0" w:after="0" w:afterAutospacing="0"/>
        <w:rPr>
          <w:sz w:val="20"/>
          <w:szCs w:val="20"/>
        </w:rPr>
      </w:pPr>
      <w:r>
        <w:rPr>
          <w:rStyle w:val="a6"/>
          <w:i w:val="0"/>
          <w:iCs w:val="0"/>
          <w:sz w:val="20"/>
          <w:szCs w:val="20"/>
        </w:rPr>
        <w:t>8.</w:t>
      </w:r>
      <w:r>
        <w:rPr>
          <w:sz w:val="20"/>
          <w:szCs w:val="20"/>
        </w:rPr>
        <w:t xml:space="preserve"> </w:t>
      </w:r>
      <w:r>
        <w:rPr>
          <w:sz w:val="20"/>
          <w:szCs w:val="20"/>
          <w:u w:val="single"/>
        </w:rPr>
        <w:t>Other Assets</w:t>
      </w:r>
    </w:p>
    <w:p w14:paraId="59D83BEE" w14:textId="77777777" w:rsidR="00000000" w:rsidRDefault="00527094">
      <w:pPr>
        <w:pStyle w:val="a3"/>
        <w:spacing w:before="0" w:beforeAutospacing="0" w:after="0" w:afterAutospacing="0"/>
        <w:rPr>
          <w:sz w:val="20"/>
          <w:szCs w:val="20"/>
        </w:rPr>
      </w:pPr>
      <w:r>
        <w:rPr>
          <w:sz w:val="20"/>
          <w:szCs w:val="20"/>
        </w:rPr>
        <w:t> </w:t>
      </w:r>
    </w:p>
    <w:p w14:paraId="577FFAB7" w14:textId="77777777" w:rsidR="00000000" w:rsidRDefault="00527094">
      <w:pPr>
        <w:pStyle w:val="a3"/>
        <w:spacing w:before="0" w:beforeAutospacing="0" w:after="0" w:afterAutospacing="0"/>
        <w:rPr>
          <w:sz w:val="20"/>
          <w:szCs w:val="20"/>
        </w:rPr>
      </w:pPr>
      <w:r>
        <w:rPr>
          <w:i/>
          <w:iCs/>
          <w:sz w:val="20"/>
          <w:szCs w:val="20"/>
        </w:rPr>
        <w:t>Mortgages and Other Financing Receivables -</w:t>
      </w:r>
    </w:p>
    <w:p w14:paraId="63C235D7" w14:textId="77777777" w:rsidR="00000000" w:rsidRDefault="00527094">
      <w:pPr>
        <w:pStyle w:val="a3"/>
        <w:spacing w:before="0" w:beforeAutospacing="0" w:after="0" w:afterAutospacing="0"/>
        <w:ind w:firstLine="720"/>
        <w:jc w:val="both"/>
        <w:rPr>
          <w:sz w:val="20"/>
          <w:szCs w:val="20"/>
        </w:rPr>
      </w:pPr>
      <w:r>
        <w:rPr>
          <w:sz w:val="20"/>
          <w:szCs w:val="20"/>
        </w:rPr>
        <w:t> </w:t>
      </w:r>
    </w:p>
    <w:p w14:paraId="2C986082"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the Company received full payment relating to the following mortgages receivable (dollars in millions):</w:t>
      </w:r>
    </w:p>
    <w:p w14:paraId="6CBB282D"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957"/>
        <w:gridCol w:w="50"/>
        <w:gridCol w:w="101"/>
        <w:gridCol w:w="1045"/>
        <w:gridCol w:w="50"/>
        <w:gridCol w:w="50"/>
        <w:gridCol w:w="51"/>
        <w:gridCol w:w="1044"/>
        <w:gridCol w:w="167"/>
        <w:gridCol w:w="2130"/>
      </w:tblGrid>
      <w:tr w:rsidR="00000000" w14:paraId="48F64E20" w14:textId="77777777">
        <w:trPr>
          <w:tblCellSpacing w:w="0" w:type="dxa"/>
        </w:trPr>
        <w:tc>
          <w:tcPr>
            <w:tcW w:w="1485" w:type="pct"/>
            <w:tcBorders>
              <w:bottom w:val="single" w:sz="6" w:space="0" w:color="000000"/>
            </w:tcBorders>
            <w:vAlign w:val="bottom"/>
            <w:hideMark/>
          </w:tcPr>
          <w:p w14:paraId="63013517" w14:textId="77777777" w:rsidR="00000000" w:rsidRDefault="00527094">
            <w:pPr>
              <w:pStyle w:val="a3"/>
              <w:spacing w:before="0" w:beforeAutospacing="0" w:after="0" w:afterAutospacing="0"/>
              <w:jc w:val="center"/>
              <w:rPr>
                <w:sz w:val="20"/>
                <w:szCs w:val="20"/>
              </w:rPr>
            </w:pPr>
            <w:r>
              <w:rPr>
                <w:b/>
                <w:bCs/>
                <w:sz w:val="20"/>
                <w:szCs w:val="20"/>
              </w:rPr>
              <w:t>Date Paid</w:t>
            </w:r>
          </w:p>
        </w:tc>
        <w:tc>
          <w:tcPr>
            <w:tcW w:w="0" w:type="auto"/>
            <w:tcMar>
              <w:top w:w="0" w:type="dxa"/>
              <w:left w:w="0" w:type="dxa"/>
              <w:bottom w:w="15" w:type="dxa"/>
              <w:right w:w="0" w:type="dxa"/>
            </w:tcMar>
            <w:vAlign w:val="bottom"/>
            <w:hideMark/>
          </w:tcPr>
          <w:p w14:paraId="405E9F2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90D69CD" w14:textId="77777777" w:rsidR="00000000" w:rsidRDefault="00527094">
            <w:pPr>
              <w:pStyle w:val="a3"/>
              <w:spacing w:before="0" w:beforeAutospacing="0" w:after="0" w:afterAutospacing="0"/>
              <w:jc w:val="center"/>
              <w:rPr>
                <w:sz w:val="20"/>
                <w:szCs w:val="20"/>
              </w:rPr>
            </w:pPr>
            <w:r>
              <w:rPr>
                <w:b/>
                <w:bCs/>
                <w:sz w:val="20"/>
                <w:szCs w:val="20"/>
              </w:rPr>
              <w:t>Amount Received</w:t>
            </w:r>
          </w:p>
        </w:tc>
        <w:tc>
          <w:tcPr>
            <w:tcW w:w="0" w:type="auto"/>
            <w:tcMar>
              <w:top w:w="0" w:type="dxa"/>
              <w:left w:w="0" w:type="dxa"/>
              <w:bottom w:w="15" w:type="dxa"/>
              <w:right w:w="0" w:type="dxa"/>
            </w:tcMar>
            <w:vAlign w:val="bottom"/>
            <w:hideMark/>
          </w:tcPr>
          <w:p w14:paraId="62A098E4" w14:textId="77777777" w:rsidR="00000000" w:rsidRDefault="00527094">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46163E3E"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E5E9B13" w14:textId="77777777" w:rsidR="00000000" w:rsidRDefault="00527094">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14:paraId="6E701DD6" w14:textId="77777777" w:rsidR="00000000" w:rsidRDefault="00527094">
            <w:pPr>
              <w:rPr>
                <w:rFonts w:eastAsia="Times New Roman"/>
                <w:sz w:val="20"/>
                <w:szCs w:val="20"/>
              </w:rPr>
            </w:pPr>
            <w:r>
              <w:rPr>
                <w:rFonts w:eastAsia="Times New Roman"/>
                <w:sz w:val="20"/>
                <w:szCs w:val="20"/>
              </w:rPr>
              <w:t> </w:t>
            </w:r>
          </w:p>
        </w:tc>
        <w:tc>
          <w:tcPr>
            <w:tcW w:w="1615" w:type="pct"/>
            <w:tcBorders>
              <w:bottom w:val="single" w:sz="6" w:space="0" w:color="000000"/>
            </w:tcBorders>
            <w:vAlign w:val="bottom"/>
            <w:hideMark/>
          </w:tcPr>
          <w:p w14:paraId="5E359732" w14:textId="77777777" w:rsidR="00000000" w:rsidRDefault="00527094">
            <w:pPr>
              <w:pStyle w:val="a3"/>
              <w:spacing w:before="0" w:beforeAutospacing="0" w:after="0" w:afterAutospacing="0"/>
              <w:jc w:val="center"/>
              <w:rPr>
                <w:sz w:val="20"/>
                <w:szCs w:val="20"/>
              </w:rPr>
            </w:pPr>
            <w:r>
              <w:rPr>
                <w:b/>
                <w:bCs/>
                <w:sz w:val="20"/>
                <w:szCs w:val="20"/>
              </w:rPr>
              <w:t>Maturity Date</w:t>
            </w:r>
          </w:p>
        </w:tc>
      </w:tr>
      <w:tr w:rsidR="00000000" w14:paraId="102EE099" w14:textId="77777777">
        <w:trPr>
          <w:tblCellSpacing w:w="0" w:type="dxa"/>
        </w:trPr>
        <w:tc>
          <w:tcPr>
            <w:tcW w:w="0" w:type="auto"/>
            <w:tcBorders>
              <w:bottom w:val="nil"/>
            </w:tcBorders>
            <w:shd w:val="clear" w:color="auto" w:fill="CCEEFF"/>
            <w:vAlign w:val="bottom"/>
            <w:hideMark/>
          </w:tcPr>
          <w:p w14:paraId="2C201038" w14:textId="77777777" w:rsidR="00000000" w:rsidRDefault="00527094">
            <w:pPr>
              <w:pStyle w:val="a3"/>
              <w:spacing w:before="0" w:beforeAutospacing="0" w:after="0" w:afterAutospacing="0"/>
              <w:jc w:val="center"/>
              <w:rPr>
                <w:sz w:val="20"/>
                <w:szCs w:val="20"/>
              </w:rPr>
            </w:pPr>
            <w:r>
              <w:rPr>
                <w:sz w:val="20"/>
                <w:szCs w:val="20"/>
              </w:rPr>
              <w:t>May-19</w:t>
            </w:r>
          </w:p>
        </w:tc>
        <w:tc>
          <w:tcPr>
            <w:tcW w:w="50" w:type="pct"/>
            <w:tcBorders>
              <w:bottom w:val="nil"/>
            </w:tcBorders>
            <w:shd w:val="clear" w:color="auto" w:fill="CCEEFF"/>
            <w:vAlign w:val="bottom"/>
            <w:hideMark/>
          </w:tcPr>
          <w:p w14:paraId="651B1214"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A916C05" w14:textId="77777777" w:rsidR="00000000" w:rsidRDefault="00527094">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14:paraId="17E9E518" w14:textId="77777777" w:rsidR="00000000" w:rsidRDefault="00527094">
            <w:pPr>
              <w:jc w:val="right"/>
              <w:rPr>
                <w:rFonts w:eastAsia="Times New Roman"/>
                <w:sz w:val="20"/>
                <w:szCs w:val="20"/>
              </w:rPr>
            </w:pPr>
            <w:r>
              <w:rPr>
                <w:rFonts w:eastAsia="Times New Roman"/>
                <w:sz w:val="20"/>
                <w:szCs w:val="20"/>
              </w:rPr>
              <w:t>2.0</w:t>
            </w:r>
          </w:p>
        </w:tc>
        <w:tc>
          <w:tcPr>
            <w:tcW w:w="50" w:type="pct"/>
            <w:tcBorders>
              <w:bottom w:val="nil"/>
            </w:tcBorders>
            <w:shd w:val="clear" w:color="auto" w:fill="CCEEFF"/>
            <w:vAlign w:val="bottom"/>
            <w:hideMark/>
          </w:tcPr>
          <w:p w14:paraId="03068511"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C2B8B42"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D8A31A8"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599FB9DE" w14:textId="77777777" w:rsidR="00000000" w:rsidRDefault="00527094">
            <w:pPr>
              <w:jc w:val="right"/>
              <w:rPr>
                <w:rFonts w:eastAsia="Times New Roman"/>
                <w:sz w:val="20"/>
                <w:szCs w:val="20"/>
              </w:rPr>
            </w:pPr>
            <w:r>
              <w:rPr>
                <w:rFonts w:eastAsia="Times New Roman"/>
                <w:sz w:val="20"/>
                <w:szCs w:val="20"/>
              </w:rPr>
              <w:t>6.00</w:t>
            </w:r>
          </w:p>
        </w:tc>
        <w:tc>
          <w:tcPr>
            <w:tcW w:w="50" w:type="pct"/>
            <w:tcBorders>
              <w:bottom w:val="nil"/>
            </w:tcBorders>
            <w:shd w:val="clear" w:color="auto" w:fill="CCEEFF"/>
            <w:vAlign w:val="bottom"/>
            <w:hideMark/>
          </w:tcPr>
          <w:p w14:paraId="5FAA708F" w14:textId="77777777" w:rsidR="00000000" w:rsidRDefault="00527094">
            <w:pPr>
              <w:rPr>
                <w:rFonts w:eastAsia="Times New Roman"/>
                <w:sz w:val="20"/>
                <w:szCs w:val="20"/>
              </w:rPr>
            </w:pPr>
            <w:r>
              <w:rPr>
                <w:rFonts w:eastAsia="Times New Roman"/>
                <w:sz w:val="20"/>
                <w:szCs w:val="20"/>
              </w:rPr>
              <w:t>%</w:t>
            </w:r>
          </w:p>
        </w:tc>
        <w:tc>
          <w:tcPr>
            <w:tcW w:w="0" w:type="auto"/>
            <w:tcBorders>
              <w:bottom w:val="nil"/>
            </w:tcBorders>
            <w:shd w:val="clear" w:color="auto" w:fill="CCEEFF"/>
            <w:vAlign w:val="bottom"/>
            <w:hideMark/>
          </w:tcPr>
          <w:p w14:paraId="28AD01E8" w14:textId="77777777" w:rsidR="00000000" w:rsidRDefault="00527094">
            <w:pPr>
              <w:pStyle w:val="a3"/>
              <w:spacing w:before="0" w:beforeAutospacing="0" w:after="0" w:afterAutospacing="0"/>
              <w:jc w:val="center"/>
              <w:rPr>
                <w:sz w:val="20"/>
                <w:szCs w:val="20"/>
              </w:rPr>
            </w:pPr>
            <w:r>
              <w:rPr>
                <w:sz w:val="20"/>
                <w:szCs w:val="20"/>
              </w:rPr>
              <w:t>Dec-24</w:t>
            </w:r>
          </w:p>
        </w:tc>
      </w:tr>
      <w:tr w:rsidR="00000000" w14:paraId="3D6B1C43" w14:textId="77777777">
        <w:trPr>
          <w:tblCellSpacing w:w="0" w:type="dxa"/>
        </w:trPr>
        <w:tc>
          <w:tcPr>
            <w:tcW w:w="0" w:type="auto"/>
            <w:shd w:val="clear" w:color="auto" w:fill="FFFFFF"/>
            <w:vAlign w:val="bottom"/>
            <w:hideMark/>
          </w:tcPr>
          <w:p w14:paraId="716B13B6" w14:textId="77777777" w:rsidR="00000000" w:rsidRDefault="00527094">
            <w:pPr>
              <w:pStyle w:val="a3"/>
              <w:spacing w:before="0" w:beforeAutospacing="0" w:after="0" w:afterAutospacing="0"/>
              <w:jc w:val="center"/>
              <w:rPr>
                <w:sz w:val="20"/>
                <w:szCs w:val="20"/>
              </w:rPr>
            </w:pPr>
            <w:r>
              <w:rPr>
                <w:sz w:val="20"/>
                <w:szCs w:val="20"/>
              </w:rPr>
              <w:t>Jun-19</w:t>
            </w:r>
          </w:p>
        </w:tc>
        <w:tc>
          <w:tcPr>
            <w:tcW w:w="50" w:type="pct"/>
            <w:shd w:val="clear" w:color="auto" w:fill="FFFFFF"/>
            <w:vAlign w:val="bottom"/>
            <w:hideMark/>
          </w:tcPr>
          <w:p w14:paraId="33E02DE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4E7380" w14:textId="77777777" w:rsidR="00000000" w:rsidRDefault="00527094">
            <w:pPr>
              <w:rPr>
                <w:rFonts w:eastAsia="Times New Roman"/>
                <w:sz w:val="20"/>
                <w:szCs w:val="20"/>
              </w:rPr>
            </w:pPr>
            <w:r>
              <w:rPr>
                <w:rFonts w:eastAsia="Times New Roman"/>
                <w:sz w:val="20"/>
                <w:szCs w:val="20"/>
              </w:rPr>
              <w:t>$</w:t>
            </w:r>
          </w:p>
        </w:tc>
        <w:tc>
          <w:tcPr>
            <w:tcW w:w="800" w:type="pct"/>
            <w:shd w:val="clear" w:color="auto" w:fill="FFFFFF"/>
            <w:vAlign w:val="bottom"/>
            <w:hideMark/>
          </w:tcPr>
          <w:p w14:paraId="6EB1DB40" w14:textId="77777777" w:rsidR="00000000" w:rsidRDefault="00527094">
            <w:pPr>
              <w:jc w:val="right"/>
              <w:rPr>
                <w:rFonts w:eastAsia="Times New Roman"/>
                <w:sz w:val="20"/>
                <w:szCs w:val="20"/>
              </w:rPr>
            </w:pPr>
            <w:r>
              <w:rPr>
                <w:rFonts w:eastAsia="Times New Roman"/>
                <w:sz w:val="20"/>
                <w:szCs w:val="20"/>
              </w:rPr>
              <w:t>1.6</w:t>
            </w:r>
          </w:p>
        </w:tc>
        <w:tc>
          <w:tcPr>
            <w:tcW w:w="50" w:type="pct"/>
            <w:shd w:val="clear" w:color="auto" w:fill="FFFFFF"/>
            <w:vAlign w:val="bottom"/>
            <w:hideMark/>
          </w:tcPr>
          <w:p w14:paraId="383519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2857D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BFF068"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476C349" w14:textId="77777777" w:rsidR="00000000" w:rsidRDefault="00527094">
            <w:pPr>
              <w:jc w:val="right"/>
              <w:rPr>
                <w:rFonts w:eastAsia="Times New Roman"/>
                <w:sz w:val="20"/>
                <w:szCs w:val="20"/>
              </w:rPr>
            </w:pPr>
            <w:r>
              <w:rPr>
                <w:rFonts w:eastAsia="Times New Roman"/>
                <w:sz w:val="20"/>
                <w:szCs w:val="20"/>
              </w:rPr>
              <w:t>7.57</w:t>
            </w:r>
          </w:p>
        </w:tc>
        <w:tc>
          <w:tcPr>
            <w:tcW w:w="50" w:type="pct"/>
            <w:shd w:val="clear" w:color="auto" w:fill="FFFFFF"/>
            <w:vAlign w:val="bottom"/>
            <w:hideMark/>
          </w:tcPr>
          <w:p w14:paraId="6B2EAAF2" w14:textId="77777777" w:rsidR="00000000" w:rsidRDefault="00527094">
            <w:pPr>
              <w:rPr>
                <w:rFonts w:eastAsia="Times New Roman"/>
                <w:sz w:val="20"/>
                <w:szCs w:val="20"/>
              </w:rPr>
            </w:pPr>
            <w:r>
              <w:rPr>
                <w:rFonts w:eastAsia="Times New Roman"/>
                <w:sz w:val="20"/>
                <w:szCs w:val="20"/>
              </w:rPr>
              <w:t>%</w:t>
            </w:r>
          </w:p>
        </w:tc>
        <w:tc>
          <w:tcPr>
            <w:tcW w:w="0" w:type="auto"/>
            <w:shd w:val="clear" w:color="auto" w:fill="FFFFFF"/>
            <w:vAlign w:val="bottom"/>
            <w:hideMark/>
          </w:tcPr>
          <w:p w14:paraId="78610789" w14:textId="77777777" w:rsidR="00000000" w:rsidRDefault="00527094">
            <w:pPr>
              <w:pStyle w:val="a3"/>
              <w:spacing w:before="0" w:beforeAutospacing="0" w:after="0" w:afterAutospacing="0"/>
              <w:jc w:val="center"/>
              <w:rPr>
                <w:sz w:val="20"/>
                <w:szCs w:val="20"/>
              </w:rPr>
            </w:pPr>
            <w:r>
              <w:rPr>
                <w:sz w:val="20"/>
                <w:szCs w:val="20"/>
              </w:rPr>
              <w:t>Jun-19</w:t>
            </w:r>
          </w:p>
        </w:tc>
      </w:tr>
      <w:tr w:rsidR="00000000" w14:paraId="2AD538B0" w14:textId="77777777">
        <w:trPr>
          <w:tblCellSpacing w:w="0" w:type="dxa"/>
        </w:trPr>
        <w:tc>
          <w:tcPr>
            <w:tcW w:w="0" w:type="auto"/>
            <w:shd w:val="clear" w:color="auto" w:fill="CCEEFF"/>
            <w:vAlign w:val="bottom"/>
            <w:hideMark/>
          </w:tcPr>
          <w:p w14:paraId="51281C2B" w14:textId="77777777" w:rsidR="00000000" w:rsidRDefault="00527094">
            <w:pPr>
              <w:pStyle w:val="a3"/>
              <w:spacing w:before="0" w:beforeAutospacing="0" w:after="0" w:afterAutospacing="0"/>
              <w:jc w:val="center"/>
              <w:rPr>
                <w:sz w:val="20"/>
                <w:szCs w:val="20"/>
              </w:rPr>
            </w:pPr>
            <w:r>
              <w:rPr>
                <w:sz w:val="20"/>
                <w:szCs w:val="20"/>
              </w:rPr>
              <w:t>Jun-19</w:t>
            </w:r>
          </w:p>
        </w:tc>
        <w:tc>
          <w:tcPr>
            <w:tcW w:w="50" w:type="pct"/>
            <w:shd w:val="clear" w:color="auto" w:fill="CCEEFF"/>
            <w:vAlign w:val="bottom"/>
            <w:hideMark/>
          </w:tcPr>
          <w:p w14:paraId="0ACD71B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8F6580" w14:textId="77777777" w:rsidR="00000000" w:rsidRDefault="00527094">
            <w:pPr>
              <w:rPr>
                <w:rFonts w:eastAsia="Times New Roman"/>
                <w:sz w:val="20"/>
                <w:szCs w:val="20"/>
              </w:rPr>
            </w:pPr>
            <w:r>
              <w:rPr>
                <w:rFonts w:eastAsia="Times New Roman"/>
                <w:sz w:val="20"/>
                <w:szCs w:val="20"/>
              </w:rPr>
              <w:t>$</w:t>
            </w:r>
          </w:p>
        </w:tc>
        <w:tc>
          <w:tcPr>
            <w:tcW w:w="800" w:type="pct"/>
            <w:shd w:val="clear" w:color="auto" w:fill="CCEEFF"/>
            <w:vAlign w:val="bottom"/>
            <w:hideMark/>
          </w:tcPr>
          <w:p w14:paraId="46359CF1" w14:textId="77777777" w:rsidR="00000000" w:rsidRDefault="00527094">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14:paraId="11D2A1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82889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C01574"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E03C6E0" w14:textId="77777777" w:rsidR="00000000" w:rsidRDefault="00527094">
            <w:pPr>
              <w:jc w:val="right"/>
              <w:rPr>
                <w:rFonts w:eastAsia="Times New Roman"/>
                <w:sz w:val="20"/>
                <w:szCs w:val="20"/>
              </w:rPr>
            </w:pPr>
            <w:r>
              <w:rPr>
                <w:rFonts w:eastAsia="Times New Roman"/>
                <w:sz w:val="20"/>
                <w:szCs w:val="20"/>
              </w:rPr>
              <w:t>7.57</w:t>
            </w:r>
          </w:p>
        </w:tc>
        <w:tc>
          <w:tcPr>
            <w:tcW w:w="50" w:type="pct"/>
            <w:shd w:val="clear" w:color="auto" w:fill="CCEEFF"/>
            <w:vAlign w:val="bottom"/>
            <w:hideMark/>
          </w:tcPr>
          <w:p w14:paraId="31F16102" w14:textId="77777777" w:rsidR="00000000" w:rsidRDefault="00527094">
            <w:pPr>
              <w:rPr>
                <w:rFonts w:eastAsia="Times New Roman"/>
                <w:sz w:val="20"/>
                <w:szCs w:val="20"/>
              </w:rPr>
            </w:pPr>
            <w:r>
              <w:rPr>
                <w:rFonts w:eastAsia="Times New Roman"/>
                <w:sz w:val="20"/>
                <w:szCs w:val="20"/>
              </w:rPr>
              <w:t>%</w:t>
            </w:r>
          </w:p>
        </w:tc>
        <w:tc>
          <w:tcPr>
            <w:tcW w:w="0" w:type="auto"/>
            <w:shd w:val="clear" w:color="auto" w:fill="CCEEFF"/>
            <w:vAlign w:val="bottom"/>
            <w:hideMark/>
          </w:tcPr>
          <w:p w14:paraId="14235735" w14:textId="77777777" w:rsidR="00000000" w:rsidRDefault="00527094">
            <w:pPr>
              <w:pStyle w:val="a3"/>
              <w:spacing w:before="0" w:beforeAutospacing="0" w:after="0" w:afterAutospacing="0"/>
              <w:jc w:val="center"/>
              <w:rPr>
                <w:sz w:val="20"/>
                <w:szCs w:val="20"/>
              </w:rPr>
            </w:pPr>
            <w:r>
              <w:rPr>
                <w:sz w:val="20"/>
                <w:szCs w:val="20"/>
              </w:rPr>
              <w:t>Jun-19</w:t>
            </w:r>
          </w:p>
        </w:tc>
      </w:tr>
    </w:tbl>
    <w:p w14:paraId="50EC86C3" w14:textId="77777777" w:rsidR="00000000" w:rsidRDefault="00527094">
      <w:pPr>
        <w:pStyle w:val="a3"/>
        <w:spacing w:before="0" w:beforeAutospacing="0" w:after="0" w:afterAutospacing="0"/>
        <w:ind w:firstLine="720"/>
        <w:jc w:val="both"/>
        <w:rPr>
          <w:sz w:val="20"/>
          <w:szCs w:val="20"/>
        </w:rPr>
      </w:pPr>
      <w:r>
        <w:rPr>
          <w:sz w:val="20"/>
          <w:szCs w:val="20"/>
        </w:rPr>
        <w:t> </w:t>
      </w:r>
    </w:p>
    <w:p w14:paraId="1CFAC3FA" w14:textId="77777777" w:rsidR="00000000" w:rsidRDefault="00527094">
      <w:pPr>
        <w:pStyle w:val="a3"/>
        <w:spacing w:before="0" w:beforeAutospacing="0" w:after="0" w:afterAutospacing="0"/>
        <w:ind w:firstLine="360"/>
        <w:jc w:val="both"/>
        <w:rPr>
          <w:sz w:val="20"/>
          <w:szCs w:val="20"/>
        </w:rPr>
      </w:pPr>
      <w:r>
        <w:rPr>
          <w:sz w:val="20"/>
          <w:szCs w:val="20"/>
        </w:rPr>
        <w:t>The Company has various mortgages and other financing receivables which consist of loans acquired and loans originated by the Company. The Company reviews payment status to identify performing versus non-performing loans. As of</w:t>
      </w:r>
      <w:r>
        <w:rPr>
          <w:sz w:val="20"/>
          <w:szCs w:val="20"/>
        </w:rPr>
        <w:t xml:space="preserve"> </w:t>
      </w:r>
      <w:r>
        <w:rPr>
          <w:rStyle w:val="a6"/>
          <w:i w:val="0"/>
          <w:iCs w:val="0"/>
          <w:sz w:val="20"/>
          <w:szCs w:val="20"/>
        </w:rPr>
        <w:t xml:space="preserve">June 30, 2019, </w:t>
      </w:r>
      <w:r>
        <w:rPr>
          <w:sz w:val="20"/>
          <w:szCs w:val="20"/>
        </w:rPr>
        <w:t>the Company h</w:t>
      </w:r>
      <w:r>
        <w:rPr>
          <w:sz w:val="20"/>
          <w:szCs w:val="20"/>
        </w:rPr>
        <w:t>ad a total of seven loans aggregating $9.2 million, all of which were identified as performing loans.</w:t>
      </w:r>
    </w:p>
    <w:p w14:paraId="5B3D1F31" w14:textId="77777777" w:rsidR="00000000" w:rsidRDefault="00527094">
      <w:pPr>
        <w:pStyle w:val="a3"/>
        <w:spacing w:before="0" w:beforeAutospacing="0" w:after="0" w:afterAutospacing="0"/>
        <w:ind w:firstLine="360"/>
        <w:jc w:val="both"/>
        <w:rPr>
          <w:sz w:val="20"/>
          <w:szCs w:val="20"/>
        </w:rPr>
      </w:pPr>
      <w:r>
        <w:rPr>
          <w:sz w:val="20"/>
          <w:szCs w:val="20"/>
        </w:rPr>
        <w:t> </w:t>
      </w:r>
    </w:p>
    <w:p w14:paraId="52E27EAE" w14:textId="77777777" w:rsidR="00000000" w:rsidRDefault="00527094">
      <w:pPr>
        <w:pStyle w:val="a3"/>
        <w:spacing w:before="0" w:beforeAutospacing="0" w:after="0" w:afterAutospacing="0"/>
        <w:rPr>
          <w:sz w:val="20"/>
          <w:szCs w:val="20"/>
        </w:rPr>
      </w:pPr>
      <w:r>
        <w:rPr>
          <w:i/>
          <w:iCs/>
          <w:sz w:val="20"/>
          <w:szCs w:val="20"/>
        </w:rPr>
        <w:t>Assets Held-For-Sale -</w:t>
      </w:r>
    </w:p>
    <w:p w14:paraId="5622B7EB" w14:textId="77777777" w:rsidR="00000000" w:rsidRDefault="00527094">
      <w:pPr>
        <w:pStyle w:val="a3"/>
        <w:spacing w:before="0" w:beforeAutospacing="0" w:after="0" w:afterAutospacing="0"/>
        <w:rPr>
          <w:sz w:val="20"/>
          <w:szCs w:val="20"/>
        </w:rPr>
      </w:pPr>
      <w:r>
        <w:rPr>
          <w:i/>
          <w:iCs/>
          <w:sz w:val="20"/>
          <w:szCs w:val="20"/>
        </w:rPr>
        <w:t> </w:t>
      </w:r>
    </w:p>
    <w:p w14:paraId="0CF6A2FE" w14:textId="77777777" w:rsidR="00000000" w:rsidRDefault="00527094">
      <w:pPr>
        <w:pStyle w:val="a3"/>
        <w:spacing w:before="0" w:beforeAutospacing="0" w:after="0" w:afterAutospacing="0"/>
        <w:ind w:firstLine="360"/>
        <w:jc w:val="both"/>
        <w:rPr>
          <w:sz w:val="20"/>
          <w:szCs w:val="20"/>
        </w:rPr>
      </w:pPr>
      <w:r>
        <w:rPr>
          <w:sz w:val="20"/>
          <w:szCs w:val="20"/>
        </w:rPr>
        <w:t>At</w:t>
      </w:r>
      <w:r>
        <w:rPr>
          <w:sz w:val="20"/>
          <w:szCs w:val="20"/>
        </w:rPr>
        <w:t xml:space="preserve"> </w:t>
      </w:r>
      <w:r>
        <w:rPr>
          <w:rStyle w:val="a6"/>
          <w:i w:val="0"/>
          <w:iCs w:val="0"/>
          <w:sz w:val="20"/>
          <w:szCs w:val="20"/>
        </w:rPr>
        <w:t xml:space="preserve">June 30, 2019, </w:t>
      </w:r>
      <w:r>
        <w:rPr>
          <w:sz w:val="20"/>
          <w:szCs w:val="20"/>
        </w:rPr>
        <w:t xml:space="preserve">the Company had four </w:t>
      </w:r>
      <w:r>
        <w:rPr>
          <w:sz w:val="20"/>
          <w:szCs w:val="20"/>
        </w:rPr>
        <w:t>consolidated properties classified as held-for-sale at a net carrying amount of $42.7 million (including accumulated depreciation and amortization of $18.1 million). The Company’s determination of the fair value of the properties was based upon executed co</w:t>
      </w:r>
      <w:r>
        <w:rPr>
          <w:sz w:val="20"/>
          <w:szCs w:val="20"/>
        </w:rPr>
        <w:t>ntracts of sale with</w:t>
      </w:r>
      <w:r>
        <w:rPr>
          <w:sz w:val="20"/>
          <w:szCs w:val="20"/>
        </w:rPr>
        <w:t xml:space="preserve"> </w:t>
      </w:r>
      <w:r>
        <w:rPr>
          <w:rStyle w:val="a6"/>
          <w:i w:val="0"/>
          <w:iCs w:val="0"/>
          <w:sz w:val="20"/>
          <w:szCs w:val="20"/>
        </w:rPr>
        <w:t>third</w:t>
      </w:r>
      <w:r>
        <w:rPr>
          <w:sz w:val="20"/>
          <w:szCs w:val="20"/>
        </w:rPr>
        <w:t xml:space="preserve"> parties. The book value of</w:t>
      </w:r>
      <w:r>
        <w:rPr>
          <w:sz w:val="20"/>
          <w:szCs w:val="20"/>
        </w:rPr>
        <w:t xml:space="preserve"> </w:t>
      </w:r>
      <w:r>
        <w:rPr>
          <w:rStyle w:val="a6"/>
          <w:i w:val="0"/>
          <w:iCs w:val="0"/>
          <w:sz w:val="20"/>
          <w:szCs w:val="20"/>
        </w:rPr>
        <w:t>one</w:t>
      </w:r>
      <w:r>
        <w:rPr>
          <w:sz w:val="20"/>
          <w:szCs w:val="20"/>
        </w:rPr>
        <w:t xml:space="preserve"> these properties exceeded its estimated fair value, less costs to sell, and as such an impairment charge of $0.3 million was recognized.</w:t>
      </w:r>
    </w:p>
    <w:p w14:paraId="6CD79DF9" w14:textId="77777777" w:rsidR="00000000" w:rsidRDefault="00527094">
      <w:pPr>
        <w:pStyle w:val="a3"/>
        <w:spacing w:before="0" w:beforeAutospacing="0" w:after="0" w:afterAutospacing="0"/>
        <w:rPr>
          <w:sz w:val="20"/>
          <w:szCs w:val="20"/>
        </w:rPr>
      </w:pPr>
      <w:r>
        <w:rPr>
          <w:i/>
          <w:iCs/>
          <w:sz w:val="20"/>
          <w:szCs w:val="20"/>
        </w:rPr>
        <w:t> </w:t>
      </w:r>
    </w:p>
    <w:p w14:paraId="26D44009" w14:textId="77777777" w:rsidR="00000000" w:rsidRDefault="00527094">
      <w:pPr>
        <w:divId w:val="1343899744"/>
        <w:rPr>
          <w:rFonts w:eastAsia="Times New Roman"/>
          <w:sz w:val="20"/>
          <w:szCs w:val="20"/>
        </w:rPr>
      </w:pPr>
      <w:r>
        <w:rPr>
          <w:rFonts w:eastAsia="Times New Roman"/>
          <w:sz w:val="20"/>
          <w:szCs w:val="20"/>
        </w:rPr>
        <w:t xml:space="preserve">  </w:t>
      </w:r>
    </w:p>
    <w:p w14:paraId="37A9665F" w14:textId="77777777" w:rsidR="00000000" w:rsidRDefault="00527094">
      <w:pPr>
        <w:pStyle w:val="a3"/>
        <w:spacing w:before="0" w:beforeAutospacing="0" w:after="0" w:afterAutospacing="0"/>
        <w:rPr>
          <w:sz w:val="20"/>
          <w:szCs w:val="20"/>
        </w:rPr>
      </w:pPr>
      <w:r>
        <w:rPr>
          <w:rStyle w:val="a6"/>
          <w:i w:val="0"/>
          <w:iCs w:val="0"/>
          <w:sz w:val="20"/>
          <w:szCs w:val="20"/>
        </w:rPr>
        <w:t>9.</w:t>
      </w:r>
      <w:r>
        <w:rPr>
          <w:sz w:val="20"/>
          <w:szCs w:val="20"/>
        </w:rPr>
        <w:t xml:space="preserve"> </w:t>
      </w:r>
      <w:r>
        <w:rPr>
          <w:sz w:val="20"/>
          <w:szCs w:val="20"/>
          <w:u w:val="single"/>
        </w:rPr>
        <w:t>Notes, Mortgages and Construction Loan Payable</w:t>
      </w:r>
    </w:p>
    <w:p w14:paraId="78C920D3" w14:textId="77777777" w:rsidR="00000000" w:rsidRDefault="00527094">
      <w:pPr>
        <w:pStyle w:val="a3"/>
        <w:spacing w:before="0" w:beforeAutospacing="0" w:after="0" w:afterAutospacing="0"/>
        <w:jc w:val="both"/>
        <w:rPr>
          <w:sz w:val="20"/>
          <w:szCs w:val="20"/>
        </w:rPr>
      </w:pPr>
      <w:r>
        <w:rPr>
          <w:sz w:val="20"/>
          <w:szCs w:val="20"/>
        </w:rPr>
        <w:t> </w:t>
      </w:r>
    </w:p>
    <w:p w14:paraId="56FD4872" w14:textId="77777777" w:rsidR="00000000" w:rsidRDefault="00527094">
      <w:pPr>
        <w:pStyle w:val="a3"/>
        <w:spacing w:before="0" w:beforeAutospacing="0" w:after="0" w:afterAutospacing="0"/>
        <w:jc w:val="both"/>
        <w:rPr>
          <w:sz w:val="20"/>
          <w:szCs w:val="20"/>
        </w:rPr>
      </w:pPr>
      <w:r>
        <w:rPr>
          <w:i/>
          <w:iCs/>
          <w:sz w:val="20"/>
          <w:szCs w:val="20"/>
        </w:rPr>
        <w:t>Note</w:t>
      </w:r>
      <w:r>
        <w:rPr>
          <w:i/>
          <w:iCs/>
          <w:sz w:val="20"/>
          <w:szCs w:val="20"/>
        </w:rPr>
        <w:t xml:space="preserve">s Payable - </w:t>
      </w:r>
    </w:p>
    <w:p w14:paraId="4DD118C0" w14:textId="77777777" w:rsidR="00000000" w:rsidRDefault="00527094">
      <w:pPr>
        <w:pStyle w:val="a3"/>
        <w:spacing w:before="0" w:beforeAutospacing="0" w:after="0" w:afterAutospacing="0"/>
        <w:ind w:firstLine="720"/>
        <w:jc w:val="both"/>
        <w:rPr>
          <w:sz w:val="20"/>
          <w:szCs w:val="20"/>
        </w:rPr>
      </w:pPr>
      <w:r>
        <w:rPr>
          <w:sz w:val="20"/>
          <w:szCs w:val="20"/>
        </w:rPr>
        <w:t> </w:t>
      </w:r>
    </w:p>
    <w:p w14:paraId="69AF67B2" w14:textId="77777777" w:rsidR="00000000" w:rsidRDefault="00527094">
      <w:pPr>
        <w:pStyle w:val="a3"/>
        <w:spacing w:before="0" w:beforeAutospacing="0" w:after="0" w:afterAutospacing="0"/>
        <w:ind w:firstLine="360"/>
        <w:jc w:val="both"/>
        <w:rPr>
          <w:sz w:val="20"/>
          <w:szCs w:val="20"/>
        </w:rPr>
      </w:pPr>
      <w:r>
        <w:rPr>
          <w:sz w:val="20"/>
          <w:szCs w:val="20"/>
        </w:rPr>
        <w:t>As of</w:t>
      </w:r>
      <w:r>
        <w:rPr>
          <w:sz w:val="20"/>
          <w:szCs w:val="20"/>
        </w:rPr>
        <w:t xml:space="preserve"> </w:t>
      </w:r>
      <w:r>
        <w:rPr>
          <w:rStyle w:val="a6"/>
          <w:i w:val="0"/>
          <w:iCs w:val="0"/>
          <w:sz w:val="20"/>
          <w:szCs w:val="20"/>
        </w:rPr>
        <w:t xml:space="preserve">June 30, 2019, </w:t>
      </w:r>
      <w:r>
        <w:rPr>
          <w:sz w:val="20"/>
          <w:szCs w:val="20"/>
        </w:rPr>
        <w:t>the Company’s unsecured revolving credit facility of $2.25 billion had an outstanding balance of $135.0 million and $0.3 million appropriated for letters of credit.</w:t>
      </w:r>
    </w:p>
    <w:p w14:paraId="092A11BA" w14:textId="77777777" w:rsidR="00000000" w:rsidRDefault="00527094">
      <w:pPr>
        <w:pStyle w:val="a3"/>
        <w:spacing w:before="0" w:beforeAutospacing="0" w:after="0" w:afterAutospacing="0"/>
        <w:ind w:firstLine="360"/>
        <w:jc w:val="both"/>
        <w:rPr>
          <w:sz w:val="20"/>
          <w:szCs w:val="20"/>
        </w:rPr>
      </w:pPr>
      <w:r>
        <w:rPr>
          <w:sz w:val="20"/>
          <w:szCs w:val="20"/>
        </w:rPr>
        <w:t> </w:t>
      </w:r>
    </w:p>
    <w:p w14:paraId="2DF6BBED" w14:textId="77777777" w:rsidR="00000000" w:rsidRDefault="00527094">
      <w:pPr>
        <w:pStyle w:val="a3"/>
        <w:spacing w:before="0" w:beforeAutospacing="0" w:after="0" w:afterAutospacing="0"/>
        <w:jc w:val="both"/>
        <w:rPr>
          <w:sz w:val="20"/>
          <w:szCs w:val="20"/>
        </w:rPr>
      </w:pPr>
      <w:r>
        <w:rPr>
          <w:i/>
          <w:iCs/>
          <w:sz w:val="20"/>
          <w:szCs w:val="20"/>
        </w:rPr>
        <w:t xml:space="preserve">Mortgages and Construction Loan Payable - </w:t>
      </w:r>
    </w:p>
    <w:p w14:paraId="6D944524" w14:textId="77777777" w:rsidR="00000000" w:rsidRDefault="00527094">
      <w:pPr>
        <w:pStyle w:val="a3"/>
        <w:spacing w:before="0" w:beforeAutospacing="0" w:after="0" w:afterAutospacing="0"/>
        <w:jc w:val="both"/>
        <w:rPr>
          <w:sz w:val="20"/>
          <w:szCs w:val="20"/>
        </w:rPr>
      </w:pPr>
      <w:r>
        <w:rPr>
          <w:sz w:val="20"/>
          <w:szCs w:val="20"/>
        </w:rPr>
        <w:t> </w:t>
      </w:r>
    </w:p>
    <w:p w14:paraId="6C2D724F" w14:textId="77777777" w:rsidR="00000000" w:rsidRDefault="00527094">
      <w:pPr>
        <w:pStyle w:val="a3"/>
        <w:spacing w:before="0" w:beforeAutospacing="0" w:after="0" w:afterAutospacing="0"/>
        <w:ind w:firstLine="360"/>
        <w:jc w:val="both"/>
        <w:rPr>
          <w:sz w:val="20"/>
          <w:szCs w:val="20"/>
        </w:rPr>
      </w:pPr>
      <w:r>
        <w:rPr>
          <w:sz w:val="20"/>
          <w:szCs w:val="20"/>
        </w:rPr>
        <w:t>During t</w:t>
      </w:r>
      <w:r>
        <w:rPr>
          <w:sz w:val="20"/>
          <w:szCs w:val="20"/>
        </w:rPr>
        <w: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the Company repaid $6.2 million of mortgage debt that encumbered two operating properties.</w:t>
      </w:r>
    </w:p>
    <w:p w14:paraId="268720D6" w14:textId="77777777" w:rsidR="00000000" w:rsidRDefault="00527094">
      <w:pPr>
        <w:pStyle w:val="a3"/>
        <w:spacing w:before="0" w:beforeAutospacing="0" w:after="0" w:afterAutospacing="0"/>
        <w:ind w:firstLine="360"/>
        <w:jc w:val="both"/>
        <w:rPr>
          <w:sz w:val="20"/>
          <w:szCs w:val="20"/>
        </w:rPr>
      </w:pPr>
      <w:r>
        <w:rPr>
          <w:sz w:val="20"/>
          <w:szCs w:val="20"/>
        </w:rPr>
        <w:t> </w:t>
      </w:r>
    </w:p>
    <w:p w14:paraId="29036705" w14:textId="77777777" w:rsidR="00000000" w:rsidRDefault="00527094">
      <w:pPr>
        <w:pStyle w:val="a3"/>
        <w:spacing w:before="0" w:beforeAutospacing="0" w:after="0" w:afterAutospacing="0"/>
        <w:ind w:firstLine="360"/>
        <w:jc w:val="both"/>
        <w:rPr>
          <w:sz w:val="20"/>
          <w:szCs w:val="20"/>
        </w:rPr>
      </w:pPr>
      <w:r>
        <w:rPr>
          <w:sz w:val="20"/>
          <w:szCs w:val="20"/>
        </w:rPr>
        <w:t>As of</w:t>
      </w:r>
      <w:r>
        <w:rPr>
          <w:sz w:val="20"/>
          <w:szCs w:val="20"/>
        </w:rPr>
        <w:t xml:space="preserve"> </w:t>
      </w:r>
      <w:r>
        <w:rPr>
          <w:rStyle w:val="a6"/>
          <w:i w:val="0"/>
          <w:iCs w:val="0"/>
          <w:sz w:val="20"/>
          <w:szCs w:val="20"/>
        </w:rPr>
        <w:t xml:space="preserve">June 30, 2019, </w:t>
      </w:r>
      <w:r>
        <w:rPr>
          <w:sz w:val="20"/>
          <w:szCs w:val="20"/>
        </w:rPr>
        <w:t>the Company’s construction loan commitment of $67.0 million relating to</w:t>
      </w:r>
      <w:r>
        <w:rPr>
          <w:sz w:val="20"/>
          <w:szCs w:val="20"/>
        </w:rPr>
        <w:t xml:space="preserve"> </w:t>
      </w:r>
      <w:r>
        <w:rPr>
          <w:rStyle w:val="a6"/>
          <w:i w:val="0"/>
          <w:iCs w:val="0"/>
          <w:sz w:val="20"/>
          <w:szCs w:val="20"/>
        </w:rPr>
        <w:t>one</w:t>
      </w:r>
      <w:r>
        <w:rPr>
          <w:sz w:val="20"/>
          <w:szCs w:val="20"/>
        </w:rPr>
        <w:t xml:space="preserve"> of its development projects had</w:t>
      </w:r>
      <w:r>
        <w:rPr>
          <w:sz w:val="20"/>
          <w:szCs w:val="20"/>
        </w:rPr>
        <w:t xml:space="preserve"> an outstanding balance of $58.1 million.</w:t>
      </w:r>
    </w:p>
    <w:p w14:paraId="0293E3EA" w14:textId="77777777" w:rsidR="00000000" w:rsidRDefault="00527094">
      <w:pPr>
        <w:pStyle w:val="a3"/>
        <w:spacing w:before="0" w:beforeAutospacing="0" w:after="0" w:afterAutospacing="0"/>
        <w:ind w:firstLine="360"/>
        <w:jc w:val="both"/>
        <w:rPr>
          <w:sz w:val="20"/>
          <w:szCs w:val="20"/>
        </w:rPr>
      </w:pPr>
      <w:r>
        <w:rPr>
          <w:sz w:val="20"/>
          <w:szCs w:val="20"/>
        </w:rPr>
        <w:t> </w:t>
      </w:r>
    </w:p>
    <w:p w14:paraId="7E9B4B37" w14:textId="77777777" w:rsidR="00000000" w:rsidRDefault="00527094">
      <w:pPr>
        <w:divId w:val="422924089"/>
        <w:rPr>
          <w:rFonts w:eastAsia="Times New Roman"/>
          <w:sz w:val="20"/>
          <w:szCs w:val="20"/>
        </w:rPr>
      </w:pPr>
      <w:r>
        <w:rPr>
          <w:rFonts w:eastAsia="Times New Roman"/>
          <w:sz w:val="20"/>
          <w:szCs w:val="20"/>
        </w:rPr>
        <w:t xml:space="preserve">  </w:t>
      </w:r>
    </w:p>
    <w:p w14:paraId="26A17A91" w14:textId="77777777" w:rsidR="00000000" w:rsidRDefault="00527094">
      <w:pPr>
        <w:pStyle w:val="a3"/>
        <w:spacing w:before="0" w:beforeAutospacing="0" w:after="0" w:afterAutospacing="0"/>
        <w:rPr>
          <w:sz w:val="20"/>
          <w:szCs w:val="20"/>
        </w:rPr>
      </w:pPr>
      <w:r>
        <w:rPr>
          <w:rStyle w:val="a6"/>
          <w:i w:val="0"/>
          <w:iCs w:val="0"/>
          <w:sz w:val="20"/>
          <w:szCs w:val="20"/>
        </w:rPr>
        <w:t>10.</w:t>
      </w:r>
      <w:r>
        <w:rPr>
          <w:sz w:val="20"/>
          <w:szCs w:val="20"/>
        </w:rPr>
        <w:t xml:space="preserve"> </w:t>
      </w:r>
      <w:r>
        <w:rPr>
          <w:sz w:val="20"/>
          <w:szCs w:val="20"/>
          <w:u w:val="single"/>
        </w:rPr>
        <w:t>Noncontrolling Interests</w:t>
      </w:r>
    </w:p>
    <w:p w14:paraId="1BE7C15A" w14:textId="77777777" w:rsidR="00000000" w:rsidRDefault="00527094">
      <w:pPr>
        <w:pStyle w:val="a3"/>
        <w:spacing w:before="0" w:beforeAutospacing="0" w:after="0" w:afterAutospacing="0"/>
        <w:rPr>
          <w:sz w:val="20"/>
          <w:szCs w:val="20"/>
        </w:rPr>
      </w:pPr>
      <w:r>
        <w:rPr>
          <w:sz w:val="20"/>
          <w:szCs w:val="20"/>
        </w:rPr>
        <w:t> </w:t>
      </w:r>
    </w:p>
    <w:p w14:paraId="24F167C6" w14:textId="77777777" w:rsidR="00000000" w:rsidRDefault="00527094">
      <w:pPr>
        <w:pStyle w:val="a3"/>
        <w:spacing w:before="0" w:beforeAutospacing="0" w:after="0" w:afterAutospacing="0"/>
        <w:jc w:val="both"/>
        <w:rPr>
          <w:sz w:val="20"/>
          <w:szCs w:val="20"/>
        </w:rPr>
      </w:pPr>
      <w:r>
        <w:rPr>
          <w:sz w:val="20"/>
          <w:szCs w:val="20"/>
        </w:rPr>
        <w:t>      Noncontrolling interests represent the portion of equity that the Company does</w:t>
      </w:r>
      <w:r>
        <w:rPr>
          <w:sz w:val="20"/>
          <w:szCs w:val="20"/>
        </w:rPr>
        <w:t xml:space="preserve"> </w:t>
      </w:r>
      <w:r>
        <w:rPr>
          <w:rStyle w:val="a6"/>
          <w:i w:val="0"/>
          <w:iCs w:val="0"/>
          <w:sz w:val="20"/>
          <w:szCs w:val="20"/>
        </w:rPr>
        <w:t>not</w:t>
      </w:r>
      <w:r>
        <w:rPr>
          <w:sz w:val="20"/>
          <w:szCs w:val="20"/>
        </w:rPr>
        <w:t xml:space="preserve"> own in entities it consolidates as a result of having a controlling interest or determini</w:t>
      </w:r>
      <w:r>
        <w:rPr>
          <w:sz w:val="20"/>
          <w:szCs w:val="20"/>
        </w:rPr>
        <w:t>ng that the Company was the primary beneficiary of a VIE in accordance with the provisions of the FASB’s Consolidation guidance.  The Company accounts and reports for noncontrolling interests in accordance with the Consolidation guidance and the Distinguis</w:t>
      </w:r>
      <w:r>
        <w:rPr>
          <w:sz w:val="20"/>
          <w:szCs w:val="20"/>
        </w:rPr>
        <w:t>hing Liabilities from Equity guidance issued by the FASB. The Company identifies its noncontrolling interests separately within the equity section on the Company’s Condensed Consolidated Balance Sheets. The amounts of consolidated net income attributable t</w:t>
      </w:r>
      <w:r>
        <w:rPr>
          <w:sz w:val="20"/>
          <w:szCs w:val="20"/>
        </w:rPr>
        <w:t>o the Company and to the noncontrolling interests are presented separately on the Company’s Condensed Consolidated Statements of Income.</w:t>
      </w:r>
    </w:p>
    <w:p w14:paraId="5C26D4BE" w14:textId="77777777" w:rsidR="00000000" w:rsidRDefault="00527094">
      <w:pPr>
        <w:pStyle w:val="a3"/>
        <w:spacing w:before="0" w:beforeAutospacing="0" w:after="0" w:afterAutospacing="0"/>
        <w:jc w:val="both"/>
        <w:rPr>
          <w:sz w:val="20"/>
          <w:szCs w:val="20"/>
        </w:rPr>
      </w:pPr>
      <w:r>
        <w:rPr>
          <w:sz w:val="20"/>
          <w:szCs w:val="20"/>
        </w:rPr>
        <w:t> </w:t>
      </w:r>
    </w:p>
    <w:p w14:paraId="58BC779B" w14:textId="77777777" w:rsidR="00000000" w:rsidRDefault="00527094">
      <w:pPr>
        <w:jc w:val="center"/>
        <w:rPr>
          <w:rFonts w:eastAsia="Times New Roman"/>
          <w:sz w:val="20"/>
          <w:szCs w:val="20"/>
        </w:rPr>
      </w:pPr>
      <w:r>
        <w:rPr>
          <w:rFonts w:eastAsia="Times New Roman"/>
          <w:sz w:val="20"/>
          <w:szCs w:val="20"/>
        </w:rPr>
        <w:t xml:space="preserve">17 </w:t>
      </w:r>
    </w:p>
    <w:p w14:paraId="51455571" w14:textId="77777777" w:rsidR="00000000" w:rsidRDefault="00527094">
      <w:pPr>
        <w:rPr>
          <w:rFonts w:eastAsia="Times New Roman"/>
          <w:sz w:val="20"/>
          <w:szCs w:val="20"/>
        </w:rPr>
      </w:pPr>
      <w:r>
        <w:rPr>
          <w:rFonts w:eastAsia="Times New Roman"/>
          <w:sz w:val="20"/>
          <w:szCs w:val="20"/>
        </w:rPr>
        <w:pict w14:anchorId="23E035AE">
          <v:rect id="_x0000_i1045" style="width:0;height:1.5pt" o:hralign="center" o:hrstd="t" o:hr="t" fillcolor="#a0a0a0" stroked="f"/>
        </w:pict>
      </w:r>
    </w:p>
    <w:p w14:paraId="6BEBAB9C"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B237E86" w14:textId="77777777" w:rsidR="00000000" w:rsidRDefault="00527094">
      <w:pPr>
        <w:pStyle w:val="a3"/>
        <w:spacing w:before="0" w:beforeAutospacing="0" w:after="0" w:afterAutospacing="0"/>
        <w:rPr>
          <w:sz w:val="20"/>
          <w:szCs w:val="20"/>
        </w:rPr>
      </w:pPr>
      <w:r>
        <w:rPr>
          <w:sz w:val="20"/>
          <w:szCs w:val="20"/>
        </w:rPr>
        <w:t> </w:t>
      </w:r>
    </w:p>
    <w:p w14:paraId="2BB9C874"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w:t>
      </w:r>
      <w:r>
        <w:rPr>
          <w:sz w:val="20"/>
          <w:szCs w:val="20"/>
        </w:rPr>
        <w:t>months ended</w:t>
      </w:r>
      <w:r>
        <w:rPr>
          <w:sz w:val="20"/>
          <w:szCs w:val="20"/>
        </w:rPr>
        <w:t xml:space="preserve"> </w:t>
      </w:r>
      <w:r>
        <w:rPr>
          <w:rStyle w:val="a6"/>
          <w:i w:val="0"/>
          <w:iCs w:val="0"/>
          <w:sz w:val="20"/>
          <w:szCs w:val="20"/>
        </w:rPr>
        <w:t xml:space="preserve">June 30, 2019, </w:t>
      </w:r>
      <w:r>
        <w:rPr>
          <w:sz w:val="20"/>
          <w:szCs w:val="20"/>
        </w:rPr>
        <w:t>the Company acquired its partner’s interests in</w:t>
      </w:r>
      <w:r>
        <w:rPr>
          <w:sz w:val="20"/>
          <w:szCs w:val="20"/>
        </w:rPr>
        <w:t xml:space="preserve"> </w:t>
      </w:r>
      <w:r>
        <w:rPr>
          <w:rStyle w:val="a6"/>
          <w:i w:val="0"/>
          <w:iCs w:val="0"/>
          <w:sz w:val="20"/>
          <w:szCs w:val="20"/>
        </w:rPr>
        <w:t>two</w:t>
      </w:r>
      <w:r>
        <w:rPr>
          <w:sz w:val="20"/>
          <w:szCs w:val="20"/>
        </w:rPr>
        <w:t xml:space="preserve"> consolidated entities for an aggregate purchase price of $2.7 million. This transaction resulted in a net decrease in Noncontrolling interests of $3.2 million and a correspondi</w:t>
      </w:r>
      <w:r>
        <w:rPr>
          <w:sz w:val="20"/>
          <w:szCs w:val="20"/>
        </w:rPr>
        <w:t>ng net increase in Paid-in capital of $0.5 million on the Company’s Condensed Consolidated Balance Sheets. There are</w:t>
      </w:r>
      <w:r>
        <w:rPr>
          <w:sz w:val="20"/>
          <w:szCs w:val="20"/>
        </w:rPr>
        <w:t xml:space="preserve"> </w:t>
      </w:r>
      <w:r>
        <w:rPr>
          <w:rStyle w:val="a6"/>
          <w:i w:val="0"/>
          <w:iCs w:val="0"/>
          <w:sz w:val="20"/>
          <w:szCs w:val="20"/>
        </w:rPr>
        <w:t>no</w:t>
      </w:r>
      <w:r>
        <w:rPr>
          <w:sz w:val="20"/>
          <w:szCs w:val="20"/>
        </w:rPr>
        <w:t xml:space="preserve"> remaining partners in</w:t>
      </w:r>
      <w:r>
        <w:rPr>
          <w:sz w:val="20"/>
          <w:szCs w:val="20"/>
        </w:rPr>
        <w:t xml:space="preserve"> </w:t>
      </w:r>
      <w:r>
        <w:rPr>
          <w:rStyle w:val="a6"/>
          <w:i w:val="0"/>
          <w:iCs w:val="0"/>
          <w:sz w:val="20"/>
          <w:szCs w:val="20"/>
        </w:rPr>
        <w:t>one</w:t>
      </w:r>
      <w:r>
        <w:rPr>
          <w:sz w:val="20"/>
          <w:szCs w:val="20"/>
        </w:rPr>
        <w:t xml:space="preserve"> of these consolidated entities.</w:t>
      </w:r>
    </w:p>
    <w:p w14:paraId="114BC197" w14:textId="77777777" w:rsidR="00000000" w:rsidRDefault="00527094">
      <w:pPr>
        <w:pStyle w:val="a3"/>
        <w:spacing w:before="0" w:beforeAutospacing="0" w:after="0" w:afterAutospacing="0"/>
        <w:jc w:val="both"/>
        <w:rPr>
          <w:sz w:val="20"/>
          <w:szCs w:val="20"/>
        </w:rPr>
      </w:pPr>
      <w:r>
        <w:rPr>
          <w:sz w:val="20"/>
          <w:szCs w:val="20"/>
        </w:rPr>
        <w:t> </w:t>
      </w:r>
    </w:p>
    <w:p w14:paraId="224E8138"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2018, </w:t>
      </w:r>
      <w:r>
        <w:rPr>
          <w:sz w:val="20"/>
          <w:szCs w:val="20"/>
        </w:rPr>
        <w:t>the Company acquired its partners</w:t>
      </w:r>
      <w:r>
        <w:rPr>
          <w:sz w:val="20"/>
          <w:szCs w:val="20"/>
        </w:rPr>
        <w:t>’ interests in</w:t>
      </w:r>
      <w:r>
        <w:rPr>
          <w:sz w:val="20"/>
          <w:szCs w:val="20"/>
        </w:rPr>
        <w:t xml:space="preserve"> </w:t>
      </w:r>
      <w:r>
        <w:rPr>
          <w:rStyle w:val="a6"/>
          <w:i w:val="0"/>
          <w:iCs w:val="0"/>
          <w:sz w:val="20"/>
          <w:szCs w:val="20"/>
        </w:rPr>
        <w:t>three</w:t>
      </w:r>
      <w:r>
        <w:rPr>
          <w:sz w:val="20"/>
          <w:szCs w:val="20"/>
        </w:rPr>
        <w:t xml:space="preserve"> consolidated entities, in</w:t>
      </w:r>
      <w:r>
        <w:rPr>
          <w:sz w:val="20"/>
          <w:szCs w:val="20"/>
        </w:rPr>
        <w:t xml:space="preserve"> </w:t>
      </w:r>
      <w:r>
        <w:rPr>
          <w:rStyle w:val="a6"/>
          <w:i w:val="0"/>
          <w:iCs w:val="0"/>
          <w:sz w:val="20"/>
          <w:szCs w:val="20"/>
        </w:rPr>
        <w:t>two</w:t>
      </w:r>
      <w:r>
        <w:rPr>
          <w:sz w:val="20"/>
          <w:szCs w:val="20"/>
        </w:rPr>
        <w:t xml:space="preserve"> separate transactions, for an aggregate purchase price of $3.4 million. These transactions resulted in a net decrease in Noncontrolling interests of $4.6 million and a corresponding net increase in Paid-in</w:t>
      </w:r>
      <w:r>
        <w:rPr>
          <w:sz w:val="20"/>
          <w:szCs w:val="20"/>
        </w:rPr>
        <w:t xml:space="preserve"> capital of $1.2 million on the Company’s Condensed Consolidated Balance Sheets. There are</w:t>
      </w:r>
      <w:r>
        <w:rPr>
          <w:sz w:val="20"/>
          <w:szCs w:val="20"/>
        </w:rPr>
        <w:t xml:space="preserve"> </w:t>
      </w:r>
      <w:r>
        <w:rPr>
          <w:rStyle w:val="a6"/>
          <w:i w:val="0"/>
          <w:iCs w:val="0"/>
          <w:sz w:val="20"/>
          <w:szCs w:val="20"/>
        </w:rPr>
        <w:t>no</w:t>
      </w:r>
      <w:r>
        <w:rPr>
          <w:sz w:val="20"/>
          <w:szCs w:val="20"/>
        </w:rPr>
        <w:t xml:space="preserve"> remaining partners in</w:t>
      </w:r>
      <w:r>
        <w:rPr>
          <w:sz w:val="20"/>
          <w:szCs w:val="20"/>
        </w:rPr>
        <w:t xml:space="preserve"> </w:t>
      </w:r>
      <w:r>
        <w:rPr>
          <w:rStyle w:val="a6"/>
          <w:i w:val="0"/>
          <w:iCs w:val="0"/>
          <w:sz w:val="20"/>
          <w:szCs w:val="20"/>
        </w:rPr>
        <w:t>two</w:t>
      </w:r>
      <w:r>
        <w:rPr>
          <w:sz w:val="20"/>
          <w:szCs w:val="20"/>
        </w:rPr>
        <w:t xml:space="preserve"> of these consolidated entities.</w:t>
      </w:r>
    </w:p>
    <w:p w14:paraId="38C00022" w14:textId="77777777" w:rsidR="00000000" w:rsidRDefault="00527094">
      <w:pPr>
        <w:pStyle w:val="a3"/>
        <w:spacing w:before="0" w:beforeAutospacing="0" w:after="0" w:afterAutospacing="0"/>
        <w:ind w:firstLine="360"/>
        <w:jc w:val="both"/>
        <w:rPr>
          <w:sz w:val="20"/>
          <w:szCs w:val="20"/>
        </w:rPr>
      </w:pPr>
      <w:r>
        <w:rPr>
          <w:sz w:val="20"/>
          <w:szCs w:val="20"/>
        </w:rPr>
        <w:t> </w:t>
      </w:r>
    </w:p>
    <w:p w14:paraId="38D1FA6F" w14:textId="77777777" w:rsidR="00000000" w:rsidRDefault="00527094">
      <w:pPr>
        <w:pStyle w:val="a3"/>
        <w:spacing w:before="0" w:beforeAutospacing="0" w:after="0" w:afterAutospacing="0"/>
        <w:ind w:firstLine="360"/>
        <w:rPr>
          <w:sz w:val="20"/>
          <w:szCs w:val="20"/>
        </w:rPr>
      </w:pPr>
      <w:r>
        <w:rPr>
          <w:sz w:val="20"/>
          <w:szCs w:val="20"/>
        </w:rPr>
        <w:t>In addition, 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2018, </w:t>
      </w:r>
      <w:r>
        <w:rPr>
          <w:sz w:val="20"/>
          <w:szCs w:val="20"/>
        </w:rPr>
        <w:t>the Company sold a portion of its investment i</w:t>
      </w:r>
      <w:r>
        <w:rPr>
          <w:sz w:val="20"/>
          <w:szCs w:val="20"/>
        </w:rPr>
        <w:t xml:space="preserve">n a consolidated operating property to its partner based on a gross fair value of $320.0 million, including $206.0 million of non-recourse mortgage debt, and amended the partnership agreement to provide for joint control of the entity.  As a result of the </w:t>
      </w:r>
      <w:r>
        <w:rPr>
          <w:sz w:val="20"/>
          <w:szCs w:val="20"/>
        </w:rPr>
        <w:t>amendment, the Company</w:t>
      </w:r>
      <w:r>
        <w:rPr>
          <w:sz w:val="20"/>
          <w:szCs w:val="20"/>
        </w:rPr>
        <w:t xml:space="preserve"> </w:t>
      </w:r>
      <w:r>
        <w:rPr>
          <w:rStyle w:val="a6"/>
          <w:i w:val="0"/>
          <w:iCs w:val="0"/>
          <w:sz w:val="20"/>
          <w:szCs w:val="20"/>
        </w:rPr>
        <w:t>no</w:t>
      </w:r>
      <w:r>
        <w:rPr>
          <w:sz w:val="20"/>
          <w:szCs w:val="20"/>
        </w:rPr>
        <w:t xml:space="preserve"> longer consolidates the entity and as such, reduced noncontrolling interests by $43.8 million on the Company’s Condensed Consolidated Balance Sheets and recognized a gain on change in control of $6.8 million on the Company’s Conde</w:t>
      </w:r>
      <w:r>
        <w:rPr>
          <w:sz w:val="20"/>
          <w:szCs w:val="20"/>
        </w:rPr>
        <w:t>nsed Consolidated Statements of Income.</w:t>
      </w:r>
    </w:p>
    <w:p w14:paraId="6A81453F" w14:textId="77777777" w:rsidR="00000000" w:rsidRDefault="00527094">
      <w:pPr>
        <w:pStyle w:val="a3"/>
        <w:spacing w:before="0" w:beforeAutospacing="0" w:after="0" w:afterAutospacing="0"/>
        <w:jc w:val="both"/>
        <w:rPr>
          <w:sz w:val="20"/>
          <w:szCs w:val="20"/>
        </w:rPr>
      </w:pPr>
      <w:r>
        <w:rPr>
          <w:sz w:val="20"/>
          <w:szCs w:val="20"/>
        </w:rPr>
        <w:t> </w:t>
      </w:r>
    </w:p>
    <w:p w14:paraId="7C4A6251" w14:textId="77777777" w:rsidR="00000000" w:rsidRDefault="00527094">
      <w:pPr>
        <w:pStyle w:val="a3"/>
        <w:spacing w:before="0" w:beforeAutospacing="0" w:after="0" w:afterAutospacing="0"/>
        <w:ind w:firstLine="360"/>
        <w:jc w:val="both"/>
        <w:rPr>
          <w:sz w:val="20"/>
          <w:szCs w:val="20"/>
        </w:rPr>
      </w:pPr>
      <w:r>
        <w:rPr>
          <w:sz w:val="20"/>
          <w:szCs w:val="20"/>
        </w:rPr>
        <w:t xml:space="preserve">Included within noncontrolling interests are units that were determined to be contingently redeemable that are classified as Redeemable noncontrolling interests and presented in the mezzanine section between Total </w:t>
      </w:r>
      <w:r>
        <w:rPr>
          <w:sz w:val="20"/>
          <w:szCs w:val="20"/>
        </w:rPr>
        <w:t>liabilities and Stockholder’s equity on the Company’s Condensed Consolidated Balance Sheets.</w:t>
      </w:r>
    </w:p>
    <w:p w14:paraId="4CAAB4DC" w14:textId="77777777" w:rsidR="00000000" w:rsidRDefault="00527094">
      <w:pPr>
        <w:pStyle w:val="a3"/>
        <w:spacing w:before="0" w:beforeAutospacing="0" w:after="0" w:afterAutospacing="0"/>
        <w:jc w:val="both"/>
        <w:rPr>
          <w:sz w:val="20"/>
          <w:szCs w:val="20"/>
        </w:rPr>
      </w:pPr>
      <w:r>
        <w:rPr>
          <w:sz w:val="20"/>
          <w:szCs w:val="20"/>
        </w:rPr>
        <w:t> </w:t>
      </w:r>
    </w:p>
    <w:p w14:paraId="4BE94A71" w14:textId="77777777" w:rsidR="00000000" w:rsidRDefault="00527094">
      <w:pPr>
        <w:pStyle w:val="a3"/>
        <w:spacing w:before="0" w:beforeAutospacing="0" w:after="0" w:afterAutospacing="0"/>
        <w:ind w:firstLine="360"/>
        <w:jc w:val="both"/>
        <w:rPr>
          <w:sz w:val="20"/>
          <w:szCs w:val="20"/>
        </w:rPr>
      </w:pPr>
      <w:r>
        <w:rPr>
          <w:sz w:val="20"/>
          <w:szCs w:val="20"/>
        </w:rPr>
        <w:t>The following table presents the change in the redemption value of the Redeemable noncontrolling interests for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2018</w:t>
      </w:r>
      <w:r>
        <w:rPr>
          <w:sz w:val="20"/>
          <w:szCs w:val="20"/>
        </w:rPr>
        <w:t xml:space="preserve"> (in th</w:t>
      </w:r>
      <w:r>
        <w:rPr>
          <w:sz w:val="20"/>
          <w:szCs w:val="20"/>
        </w:rPr>
        <w:t>ousands): </w:t>
      </w:r>
    </w:p>
    <w:p w14:paraId="4FD9A7D1" w14:textId="77777777" w:rsidR="00000000" w:rsidRDefault="00527094">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731B7082" w14:textId="77777777">
        <w:trPr>
          <w:tblCellSpacing w:w="0" w:type="dxa"/>
        </w:trPr>
        <w:tc>
          <w:tcPr>
            <w:tcW w:w="0" w:type="auto"/>
            <w:vAlign w:val="bottom"/>
            <w:hideMark/>
          </w:tcPr>
          <w:p w14:paraId="6C07E3C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5BB186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5A2D9BD"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38810B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5F5E312"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514F1EC"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F91B00B" w14:textId="77777777" w:rsidR="00000000" w:rsidRDefault="00527094">
            <w:pPr>
              <w:rPr>
                <w:rFonts w:eastAsia="Times New Roman"/>
                <w:sz w:val="20"/>
                <w:szCs w:val="20"/>
              </w:rPr>
            </w:pPr>
            <w:r>
              <w:rPr>
                <w:rFonts w:eastAsia="Times New Roman"/>
                <w:sz w:val="20"/>
                <w:szCs w:val="20"/>
              </w:rPr>
              <w:t> </w:t>
            </w:r>
          </w:p>
        </w:tc>
      </w:tr>
      <w:tr w:rsidR="00000000" w14:paraId="3E6BBF8B" w14:textId="77777777">
        <w:trPr>
          <w:tblCellSpacing w:w="0" w:type="dxa"/>
        </w:trPr>
        <w:tc>
          <w:tcPr>
            <w:tcW w:w="3100" w:type="pct"/>
            <w:shd w:val="clear" w:color="auto" w:fill="CCEEFF"/>
            <w:vAlign w:val="bottom"/>
            <w:hideMark/>
          </w:tcPr>
          <w:p w14:paraId="7EB8153F" w14:textId="77777777" w:rsidR="00000000" w:rsidRDefault="00527094">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14:paraId="771412F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294C8D" w14:textId="77777777" w:rsidR="00000000" w:rsidRDefault="00527094">
            <w:pPr>
              <w:rPr>
                <w:rFonts w:eastAsia="Times New Roman"/>
                <w:sz w:val="20"/>
                <w:szCs w:val="20"/>
              </w:rPr>
            </w:pPr>
            <w:r>
              <w:rPr>
                <w:rFonts w:eastAsia="Times New Roman"/>
                <w:sz w:val="20"/>
                <w:szCs w:val="20"/>
              </w:rPr>
              <w:t>$</w:t>
            </w:r>
          </w:p>
        </w:tc>
        <w:tc>
          <w:tcPr>
            <w:tcW w:w="800" w:type="pct"/>
            <w:shd w:val="clear" w:color="auto" w:fill="CCEEFF"/>
            <w:vAlign w:val="bottom"/>
            <w:hideMark/>
          </w:tcPr>
          <w:p w14:paraId="436A9291" w14:textId="77777777" w:rsidR="00000000" w:rsidRDefault="00527094">
            <w:pPr>
              <w:jc w:val="right"/>
              <w:rPr>
                <w:rFonts w:eastAsia="Times New Roman"/>
                <w:sz w:val="20"/>
                <w:szCs w:val="20"/>
              </w:rPr>
            </w:pPr>
            <w:r>
              <w:rPr>
                <w:rFonts w:eastAsia="Times New Roman"/>
                <w:sz w:val="20"/>
                <w:szCs w:val="20"/>
              </w:rPr>
              <w:t>23,682</w:t>
            </w:r>
          </w:p>
        </w:tc>
        <w:tc>
          <w:tcPr>
            <w:tcW w:w="50" w:type="pct"/>
            <w:shd w:val="clear" w:color="auto" w:fill="CCEEFF"/>
            <w:vAlign w:val="bottom"/>
            <w:hideMark/>
          </w:tcPr>
          <w:p w14:paraId="6A859A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7B270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93E2BF" w14:textId="77777777" w:rsidR="00000000" w:rsidRDefault="00527094">
            <w:pPr>
              <w:rPr>
                <w:rFonts w:eastAsia="Times New Roman"/>
                <w:sz w:val="20"/>
                <w:szCs w:val="20"/>
              </w:rPr>
            </w:pPr>
            <w:r>
              <w:rPr>
                <w:rFonts w:eastAsia="Times New Roman"/>
                <w:sz w:val="20"/>
                <w:szCs w:val="20"/>
              </w:rPr>
              <w:t>$</w:t>
            </w:r>
          </w:p>
        </w:tc>
        <w:tc>
          <w:tcPr>
            <w:tcW w:w="800" w:type="pct"/>
            <w:shd w:val="clear" w:color="auto" w:fill="CCEEFF"/>
            <w:vAlign w:val="bottom"/>
            <w:hideMark/>
          </w:tcPr>
          <w:p w14:paraId="696E989E" w14:textId="77777777" w:rsidR="00000000" w:rsidRDefault="00527094">
            <w:pPr>
              <w:jc w:val="right"/>
              <w:rPr>
                <w:rFonts w:eastAsia="Times New Roman"/>
                <w:sz w:val="20"/>
                <w:szCs w:val="20"/>
              </w:rPr>
            </w:pPr>
            <w:r>
              <w:rPr>
                <w:rFonts w:eastAsia="Times New Roman"/>
                <w:sz w:val="20"/>
                <w:szCs w:val="20"/>
              </w:rPr>
              <w:t>16,143</w:t>
            </w:r>
          </w:p>
        </w:tc>
        <w:tc>
          <w:tcPr>
            <w:tcW w:w="50" w:type="pct"/>
            <w:shd w:val="clear" w:color="auto" w:fill="CCEEFF"/>
            <w:vAlign w:val="bottom"/>
            <w:hideMark/>
          </w:tcPr>
          <w:p w14:paraId="52E1E06E" w14:textId="77777777" w:rsidR="00000000" w:rsidRDefault="00527094">
            <w:pPr>
              <w:rPr>
                <w:rFonts w:eastAsia="Times New Roman"/>
                <w:sz w:val="20"/>
                <w:szCs w:val="20"/>
              </w:rPr>
            </w:pPr>
            <w:r>
              <w:rPr>
                <w:rFonts w:eastAsia="Times New Roman"/>
                <w:sz w:val="20"/>
                <w:szCs w:val="20"/>
              </w:rPr>
              <w:t> </w:t>
            </w:r>
          </w:p>
        </w:tc>
      </w:tr>
      <w:tr w:rsidR="00000000" w14:paraId="6BCFE211" w14:textId="77777777">
        <w:trPr>
          <w:tblCellSpacing w:w="0" w:type="dxa"/>
        </w:trPr>
        <w:tc>
          <w:tcPr>
            <w:tcW w:w="0" w:type="auto"/>
            <w:shd w:val="clear" w:color="auto" w:fill="FFFFFF"/>
            <w:vAlign w:val="bottom"/>
            <w:hideMark/>
          </w:tcPr>
          <w:p w14:paraId="469FFA55" w14:textId="77777777" w:rsidR="00000000" w:rsidRDefault="00527094">
            <w:pPr>
              <w:pStyle w:val="a3"/>
              <w:spacing w:before="0" w:beforeAutospacing="0" w:after="0" w:afterAutospacing="0"/>
              <w:ind w:left="180"/>
              <w:rPr>
                <w:sz w:val="20"/>
                <w:szCs w:val="20"/>
              </w:rPr>
            </w:pPr>
            <w:r>
              <w:rPr>
                <w:sz w:val="20"/>
                <w:szCs w:val="20"/>
              </w:rPr>
              <w:t>Income</w:t>
            </w:r>
          </w:p>
        </w:tc>
        <w:tc>
          <w:tcPr>
            <w:tcW w:w="50" w:type="pct"/>
            <w:shd w:val="clear" w:color="auto" w:fill="FFFFFF"/>
            <w:vAlign w:val="bottom"/>
            <w:hideMark/>
          </w:tcPr>
          <w:p w14:paraId="0253699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07AAF6"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2369409" w14:textId="77777777" w:rsidR="00000000" w:rsidRDefault="00527094">
            <w:pPr>
              <w:jc w:val="right"/>
              <w:rPr>
                <w:rFonts w:eastAsia="Times New Roman"/>
                <w:sz w:val="20"/>
                <w:szCs w:val="20"/>
              </w:rPr>
            </w:pPr>
            <w:r>
              <w:rPr>
                <w:rFonts w:eastAsia="Times New Roman"/>
                <w:sz w:val="20"/>
                <w:szCs w:val="20"/>
              </w:rPr>
              <w:t>185</w:t>
            </w:r>
          </w:p>
        </w:tc>
        <w:tc>
          <w:tcPr>
            <w:tcW w:w="50" w:type="pct"/>
            <w:shd w:val="clear" w:color="auto" w:fill="FFFFFF"/>
            <w:vAlign w:val="bottom"/>
            <w:hideMark/>
          </w:tcPr>
          <w:p w14:paraId="22D9E0A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8B65A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C726A9"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C22F251" w14:textId="77777777" w:rsidR="00000000" w:rsidRDefault="00527094">
            <w:pPr>
              <w:jc w:val="right"/>
              <w:rPr>
                <w:rFonts w:eastAsia="Times New Roman"/>
                <w:sz w:val="20"/>
                <w:szCs w:val="20"/>
              </w:rPr>
            </w:pPr>
            <w:r>
              <w:rPr>
                <w:rFonts w:eastAsia="Times New Roman"/>
                <w:sz w:val="20"/>
                <w:szCs w:val="20"/>
              </w:rPr>
              <w:t>185</w:t>
            </w:r>
          </w:p>
        </w:tc>
        <w:tc>
          <w:tcPr>
            <w:tcW w:w="50" w:type="pct"/>
            <w:shd w:val="clear" w:color="auto" w:fill="FFFFFF"/>
            <w:vAlign w:val="bottom"/>
            <w:hideMark/>
          </w:tcPr>
          <w:p w14:paraId="13B6EDDD" w14:textId="77777777" w:rsidR="00000000" w:rsidRDefault="00527094">
            <w:pPr>
              <w:rPr>
                <w:rFonts w:eastAsia="Times New Roman"/>
                <w:sz w:val="20"/>
                <w:szCs w:val="20"/>
              </w:rPr>
            </w:pPr>
            <w:r>
              <w:rPr>
                <w:rFonts w:eastAsia="Times New Roman"/>
                <w:sz w:val="20"/>
                <w:szCs w:val="20"/>
              </w:rPr>
              <w:t> </w:t>
            </w:r>
          </w:p>
        </w:tc>
      </w:tr>
      <w:tr w:rsidR="00000000" w14:paraId="1D28A503" w14:textId="77777777">
        <w:trPr>
          <w:tblCellSpacing w:w="0" w:type="dxa"/>
        </w:trPr>
        <w:tc>
          <w:tcPr>
            <w:tcW w:w="0" w:type="auto"/>
            <w:shd w:val="clear" w:color="auto" w:fill="CCEEFF"/>
            <w:vAlign w:val="bottom"/>
            <w:hideMark/>
          </w:tcPr>
          <w:p w14:paraId="21209B84" w14:textId="77777777" w:rsidR="00000000" w:rsidRDefault="00527094">
            <w:pPr>
              <w:pStyle w:val="a3"/>
              <w:spacing w:before="0" w:beforeAutospacing="0" w:after="0" w:afterAutospacing="0"/>
              <w:ind w:left="180"/>
              <w:rPr>
                <w:sz w:val="20"/>
                <w:szCs w:val="20"/>
              </w:rPr>
            </w:pPr>
            <w:r>
              <w:rPr>
                <w:sz w:val="20"/>
                <w:szCs w:val="20"/>
              </w:rPr>
              <w:t>Distributions</w:t>
            </w:r>
          </w:p>
        </w:tc>
        <w:tc>
          <w:tcPr>
            <w:tcW w:w="50" w:type="pct"/>
            <w:shd w:val="clear" w:color="auto" w:fill="CCEEFF"/>
            <w:tcMar>
              <w:top w:w="0" w:type="dxa"/>
              <w:left w:w="0" w:type="dxa"/>
              <w:bottom w:w="15" w:type="dxa"/>
              <w:right w:w="0" w:type="dxa"/>
            </w:tcMar>
            <w:vAlign w:val="bottom"/>
            <w:hideMark/>
          </w:tcPr>
          <w:p w14:paraId="7AFADBC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4CF91A2"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2A12AA07" w14:textId="77777777" w:rsidR="00000000" w:rsidRDefault="00527094">
            <w:pPr>
              <w:jc w:val="right"/>
              <w:rPr>
                <w:rFonts w:eastAsia="Times New Roman"/>
                <w:sz w:val="20"/>
                <w:szCs w:val="20"/>
              </w:rPr>
            </w:pPr>
            <w:r>
              <w:rPr>
                <w:rFonts w:eastAsia="Times New Roman"/>
                <w:sz w:val="20"/>
                <w:szCs w:val="20"/>
              </w:rPr>
              <w:t>(177</w:t>
            </w:r>
          </w:p>
        </w:tc>
        <w:tc>
          <w:tcPr>
            <w:tcW w:w="50" w:type="pct"/>
            <w:shd w:val="clear" w:color="auto" w:fill="CCEEFF"/>
            <w:tcMar>
              <w:top w:w="0" w:type="dxa"/>
              <w:left w:w="0" w:type="dxa"/>
              <w:bottom w:w="15" w:type="dxa"/>
              <w:right w:w="0" w:type="dxa"/>
            </w:tcMar>
            <w:vAlign w:val="bottom"/>
            <w:hideMark/>
          </w:tcPr>
          <w:p w14:paraId="29118E89"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195D5E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3B678B"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5DFFFF8F" w14:textId="77777777" w:rsidR="00000000" w:rsidRDefault="00527094">
            <w:pPr>
              <w:jc w:val="right"/>
              <w:rPr>
                <w:rFonts w:eastAsia="Times New Roman"/>
                <w:sz w:val="20"/>
                <w:szCs w:val="20"/>
              </w:rPr>
            </w:pPr>
            <w:r>
              <w:rPr>
                <w:rFonts w:eastAsia="Times New Roman"/>
                <w:sz w:val="20"/>
                <w:szCs w:val="20"/>
              </w:rPr>
              <w:t>(177</w:t>
            </w:r>
          </w:p>
        </w:tc>
        <w:tc>
          <w:tcPr>
            <w:tcW w:w="50" w:type="pct"/>
            <w:shd w:val="clear" w:color="auto" w:fill="CCEEFF"/>
            <w:tcMar>
              <w:top w:w="0" w:type="dxa"/>
              <w:left w:w="0" w:type="dxa"/>
              <w:bottom w:w="15" w:type="dxa"/>
              <w:right w:w="0" w:type="dxa"/>
            </w:tcMar>
            <w:vAlign w:val="bottom"/>
            <w:hideMark/>
          </w:tcPr>
          <w:p w14:paraId="40FBF667" w14:textId="77777777" w:rsidR="00000000" w:rsidRDefault="00527094">
            <w:pPr>
              <w:rPr>
                <w:rFonts w:eastAsia="Times New Roman"/>
                <w:sz w:val="20"/>
                <w:szCs w:val="20"/>
              </w:rPr>
            </w:pPr>
            <w:r>
              <w:rPr>
                <w:rFonts w:eastAsia="Times New Roman"/>
                <w:sz w:val="20"/>
                <w:szCs w:val="20"/>
              </w:rPr>
              <w:t>)</w:t>
            </w:r>
          </w:p>
        </w:tc>
      </w:tr>
      <w:tr w:rsidR="00000000" w14:paraId="4E3F1CB9" w14:textId="77777777">
        <w:trPr>
          <w:tblCellSpacing w:w="0" w:type="dxa"/>
        </w:trPr>
        <w:tc>
          <w:tcPr>
            <w:tcW w:w="0" w:type="auto"/>
            <w:shd w:val="clear" w:color="auto" w:fill="FFFFFF"/>
            <w:vAlign w:val="bottom"/>
            <w:hideMark/>
          </w:tcPr>
          <w:p w14:paraId="3B4F2487" w14:textId="77777777" w:rsidR="00000000" w:rsidRDefault="00527094">
            <w:pPr>
              <w:pStyle w:val="a3"/>
              <w:spacing w:before="0" w:beforeAutospacing="0" w:after="0" w:afterAutospacing="0"/>
              <w:rPr>
                <w:sz w:val="20"/>
                <w:szCs w:val="20"/>
              </w:rPr>
            </w:pPr>
            <w:r>
              <w:rPr>
                <w:sz w:val="20"/>
                <w:szCs w:val="20"/>
              </w:rPr>
              <w:t>Balance at June 30,</w:t>
            </w:r>
          </w:p>
        </w:tc>
        <w:tc>
          <w:tcPr>
            <w:tcW w:w="50" w:type="pct"/>
            <w:shd w:val="clear" w:color="auto" w:fill="FFFFFF"/>
            <w:vAlign w:val="bottom"/>
            <w:hideMark/>
          </w:tcPr>
          <w:p w14:paraId="663930F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18A9CF" w14:textId="77777777" w:rsidR="00000000" w:rsidRDefault="00527094">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3C372C83" w14:textId="77777777" w:rsidR="00000000" w:rsidRDefault="00527094">
            <w:pPr>
              <w:jc w:val="right"/>
              <w:rPr>
                <w:rFonts w:eastAsia="Times New Roman"/>
                <w:sz w:val="20"/>
                <w:szCs w:val="20"/>
              </w:rPr>
            </w:pPr>
            <w:r>
              <w:rPr>
                <w:rFonts w:eastAsia="Times New Roman"/>
                <w:sz w:val="20"/>
                <w:szCs w:val="20"/>
              </w:rPr>
              <w:t>23,690</w:t>
            </w:r>
          </w:p>
        </w:tc>
        <w:tc>
          <w:tcPr>
            <w:tcW w:w="50" w:type="pct"/>
            <w:shd w:val="clear" w:color="auto" w:fill="FFFFFF"/>
            <w:tcMar>
              <w:top w:w="0" w:type="dxa"/>
              <w:left w:w="0" w:type="dxa"/>
              <w:bottom w:w="45" w:type="dxa"/>
              <w:right w:w="0" w:type="dxa"/>
            </w:tcMar>
            <w:vAlign w:val="bottom"/>
            <w:hideMark/>
          </w:tcPr>
          <w:p w14:paraId="2BB36DE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8C790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10D0021" w14:textId="77777777" w:rsidR="00000000" w:rsidRDefault="00527094">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5ACAB6FF" w14:textId="77777777" w:rsidR="00000000" w:rsidRDefault="00527094">
            <w:pPr>
              <w:jc w:val="right"/>
              <w:rPr>
                <w:rFonts w:eastAsia="Times New Roman"/>
                <w:sz w:val="20"/>
                <w:szCs w:val="20"/>
              </w:rPr>
            </w:pPr>
            <w:r>
              <w:rPr>
                <w:rFonts w:eastAsia="Times New Roman"/>
                <w:sz w:val="20"/>
                <w:szCs w:val="20"/>
              </w:rPr>
              <w:t>16,151</w:t>
            </w:r>
          </w:p>
        </w:tc>
        <w:tc>
          <w:tcPr>
            <w:tcW w:w="50" w:type="pct"/>
            <w:shd w:val="clear" w:color="auto" w:fill="FFFFFF"/>
            <w:tcMar>
              <w:top w:w="0" w:type="dxa"/>
              <w:left w:w="0" w:type="dxa"/>
              <w:bottom w:w="45" w:type="dxa"/>
              <w:right w:w="0" w:type="dxa"/>
            </w:tcMar>
            <w:vAlign w:val="bottom"/>
            <w:hideMark/>
          </w:tcPr>
          <w:p w14:paraId="2DDB39A4" w14:textId="77777777" w:rsidR="00000000" w:rsidRDefault="00527094">
            <w:pPr>
              <w:rPr>
                <w:rFonts w:eastAsia="Times New Roman"/>
                <w:sz w:val="20"/>
                <w:szCs w:val="20"/>
              </w:rPr>
            </w:pPr>
            <w:r>
              <w:rPr>
                <w:rFonts w:eastAsia="Times New Roman"/>
                <w:sz w:val="20"/>
                <w:szCs w:val="20"/>
              </w:rPr>
              <w:t> </w:t>
            </w:r>
          </w:p>
        </w:tc>
      </w:tr>
    </w:tbl>
    <w:p w14:paraId="663DBE5F" w14:textId="77777777" w:rsidR="00000000" w:rsidRDefault="00527094">
      <w:pPr>
        <w:pStyle w:val="a3"/>
        <w:spacing w:before="0" w:beforeAutospacing="0" w:after="0" w:afterAutospacing="0"/>
        <w:ind w:left="360"/>
        <w:jc w:val="both"/>
        <w:rPr>
          <w:sz w:val="20"/>
          <w:szCs w:val="20"/>
        </w:rPr>
      </w:pPr>
      <w:r>
        <w:rPr>
          <w:sz w:val="20"/>
          <w:szCs w:val="20"/>
        </w:rPr>
        <w:t> </w:t>
      </w:r>
    </w:p>
    <w:p w14:paraId="69BD2231" w14:textId="77777777" w:rsidR="00000000" w:rsidRDefault="00527094">
      <w:pPr>
        <w:divId w:val="1409227629"/>
        <w:rPr>
          <w:rFonts w:eastAsia="Times New Roman"/>
          <w:sz w:val="20"/>
          <w:szCs w:val="20"/>
        </w:rPr>
      </w:pPr>
      <w:r>
        <w:rPr>
          <w:rFonts w:eastAsia="Times New Roman"/>
          <w:sz w:val="20"/>
          <w:szCs w:val="20"/>
        </w:rPr>
        <w:t xml:space="preserve">  </w:t>
      </w:r>
    </w:p>
    <w:p w14:paraId="17D5B048" w14:textId="77777777" w:rsidR="00000000" w:rsidRDefault="00527094">
      <w:pPr>
        <w:pStyle w:val="a3"/>
        <w:spacing w:before="0" w:beforeAutospacing="0" w:after="0" w:afterAutospacing="0"/>
        <w:jc w:val="both"/>
        <w:rPr>
          <w:sz w:val="20"/>
          <w:szCs w:val="20"/>
        </w:rPr>
      </w:pPr>
      <w:r>
        <w:rPr>
          <w:rStyle w:val="a6"/>
          <w:i w:val="0"/>
          <w:iCs w:val="0"/>
          <w:sz w:val="20"/>
          <w:szCs w:val="20"/>
        </w:rPr>
        <w:t>11.</w:t>
      </w:r>
      <w:r>
        <w:rPr>
          <w:sz w:val="20"/>
          <w:szCs w:val="20"/>
        </w:rPr>
        <w:t xml:space="preserve"> </w:t>
      </w:r>
      <w:r>
        <w:rPr>
          <w:sz w:val="20"/>
          <w:szCs w:val="20"/>
          <w:u w:val="single"/>
        </w:rPr>
        <w:t>Variable Interest Entities (“VIE”)</w:t>
      </w:r>
    </w:p>
    <w:p w14:paraId="7BD88502" w14:textId="77777777" w:rsidR="00000000" w:rsidRDefault="00527094">
      <w:pPr>
        <w:pStyle w:val="a3"/>
        <w:spacing w:before="0" w:beforeAutospacing="0" w:after="0" w:afterAutospacing="0"/>
        <w:jc w:val="both"/>
        <w:rPr>
          <w:sz w:val="20"/>
          <w:szCs w:val="20"/>
        </w:rPr>
      </w:pPr>
      <w:r>
        <w:rPr>
          <w:sz w:val="20"/>
          <w:szCs w:val="20"/>
        </w:rPr>
        <w:t> </w:t>
      </w:r>
    </w:p>
    <w:p w14:paraId="3C73892D" w14:textId="77777777" w:rsidR="00000000" w:rsidRDefault="00527094">
      <w:pPr>
        <w:pStyle w:val="a3"/>
        <w:spacing w:before="0" w:beforeAutospacing="0" w:after="0" w:afterAutospacing="0"/>
        <w:ind w:firstLine="360"/>
        <w:jc w:val="both"/>
        <w:rPr>
          <w:sz w:val="20"/>
          <w:szCs w:val="20"/>
        </w:rPr>
      </w:pPr>
      <w:r>
        <w:rPr>
          <w:sz w:val="20"/>
          <w:szCs w:val="20"/>
        </w:rPr>
        <w:t>Included within the Company’s consolidated operating properties at</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 xml:space="preserve">are 22 and 23 consolidated entities that are VIEs, respectively, for which the Company is the primary beneficiary. </w:t>
      </w:r>
      <w:r>
        <w:rPr>
          <w:sz w:val="20"/>
          <w:szCs w:val="20"/>
        </w:rPr>
        <w:t>These entities have been established to own and operate real estate property. The Company’s involvement with these entities is through its majority ownership and management of the properties. The entities were deemed VIEs primarily because the unrelated in</w:t>
      </w:r>
      <w:r>
        <w:rPr>
          <w:sz w:val="20"/>
          <w:szCs w:val="20"/>
        </w:rPr>
        <w:t>vestors do</w:t>
      </w:r>
      <w:r>
        <w:rPr>
          <w:sz w:val="20"/>
          <w:szCs w:val="20"/>
        </w:rPr>
        <w:t xml:space="preserve"> </w:t>
      </w:r>
      <w:r>
        <w:rPr>
          <w:rStyle w:val="a6"/>
          <w:i w:val="0"/>
          <w:iCs w:val="0"/>
          <w:sz w:val="20"/>
          <w:szCs w:val="20"/>
        </w:rPr>
        <w:t>not</w:t>
      </w:r>
      <w:r>
        <w:rPr>
          <w:sz w:val="20"/>
          <w:szCs w:val="20"/>
        </w:rPr>
        <w:t xml:space="preserve"> have substantive kick-out rights to remove the general or managing partner by a vote of a simple majority or less and they do</w:t>
      </w:r>
      <w:r>
        <w:rPr>
          <w:sz w:val="20"/>
          <w:szCs w:val="20"/>
        </w:rPr>
        <w:t xml:space="preserve"> </w:t>
      </w:r>
      <w:r>
        <w:rPr>
          <w:rStyle w:val="a6"/>
          <w:i w:val="0"/>
          <w:iCs w:val="0"/>
          <w:sz w:val="20"/>
          <w:szCs w:val="20"/>
        </w:rPr>
        <w:t>not</w:t>
      </w:r>
      <w:r>
        <w:rPr>
          <w:sz w:val="20"/>
          <w:szCs w:val="20"/>
        </w:rPr>
        <w:t xml:space="preserve"> have substantive participating rights. The Company determined that it was the primary beneficiary of these VIEs</w:t>
      </w:r>
      <w:r>
        <w:rPr>
          <w:sz w:val="20"/>
          <w:szCs w:val="20"/>
        </w:rPr>
        <w:t xml:space="preserve"> as a result of its controlling financial interest. At</w:t>
      </w:r>
      <w:r>
        <w:rPr>
          <w:sz w:val="20"/>
          <w:szCs w:val="20"/>
        </w:rPr>
        <w:t xml:space="preserve"> </w:t>
      </w:r>
      <w:r>
        <w:rPr>
          <w:rStyle w:val="a6"/>
          <w:i w:val="0"/>
          <w:iCs w:val="0"/>
          <w:sz w:val="20"/>
          <w:szCs w:val="20"/>
        </w:rPr>
        <w:t xml:space="preserve">June 30, 2019, </w:t>
      </w:r>
      <w:r>
        <w:rPr>
          <w:sz w:val="20"/>
          <w:szCs w:val="20"/>
        </w:rPr>
        <w:t>total assets of these VIEs were $1.1 billion and total liabilities were $69.0 million. At</w:t>
      </w:r>
      <w:r>
        <w:rPr>
          <w:sz w:val="20"/>
          <w:szCs w:val="20"/>
        </w:rPr>
        <w:t xml:space="preserve"> </w:t>
      </w:r>
      <w:r>
        <w:rPr>
          <w:rStyle w:val="a6"/>
          <w:i w:val="0"/>
          <w:iCs w:val="0"/>
          <w:sz w:val="20"/>
          <w:szCs w:val="20"/>
        </w:rPr>
        <w:t xml:space="preserve">December 31, 2018, </w:t>
      </w:r>
      <w:r>
        <w:rPr>
          <w:sz w:val="20"/>
          <w:szCs w:val="20"/>
        </w:rPr>
        <w:t xml:space="preserve">total assets of these VIEs were $1.1 </w:t>
      </w:r>
      <w:r>
        <w:rPr>
          <w:sz w:val="20"/>
          <w:szCs w:val="20"/>
        </w:rPr>
        <w:t>billion and total liabilities were $75.2 million.</w:t>
      </w:r>
    </w:p>
    <w:p w14:paraId="3762491B" w14:textId="77777777" w:rsidR="00000000" w:rsidRDefault="00527094">
      <w:pPr>
        <w:pStyle w:val="a3"/>
        <w:spacing w:before="0" w:beforeAutospacing="0" w:after="0" w:afterAutospacing="0"/>
        <w:ind w:firstLine="360"/>
        <w:jc w:val="both"/>
        <w:rPr>
          <w:sz w:val="20"/>
          <w:szCs w:val="20"/>
        </w:rPr>
      </w:pPr>
      <w:r>
        <w:rPr>
          <w:sz w:val="20"/>
          <w:szCs w:val="20"/>
        </w:rPr>
        <w:t> </w:t>
      </w:r>
    </w:p>
    <w:p w14:paraId="509B6EC5" w14:textId="77777777" w:rsidR="00000000" w:rsidRDefault="00527094">
      <w:pPr>
        <w:pStyle w:val="a3"/>
        <w:spacing w:before="0" w:beforeAutospacing="0" w:after="0" w:afterAutospacing="0"/>
        <w:ind w:firstLine="360"/>
        <w:jc w:val="both"/>
        <w:rPr>
          <w:sz w:val="20"/>
          <w:szCs w:val="20"/>
        </w:rPr>
      </w:pPr>
      <w:r>
        <w:rPr>
          <w:sz w:val="20"/>
          <w:szCs w:val="20"/>
        </w:rPr>
        <w:t>The majority of the operations of these VIEs are funded with cash flows generated from the properties. The Company has</w:t>
      </w:r>
      <w:r>
        <w:rPr>
          <w:sz w:val="20"/>
          <w:szCs w:val="20"/>
        </w:rPr>
        <w:t xml:space="preserve"> </w:t>
      </w:r>
      <w:r>
        <w:rPr>
          <w:rStyle w:val="a6"/>
          <w:i w:val="0"/>
          <w:iCs w:val="0"/>
          <w:sz w:val="20"/>
          <w:szCs w:val="20"/>
        </w:rPr>
        <w:t>not</w:t>
      </w:r>
      <w:r>
        <w:rPr>
          <w:sz w:val="20"/>
          <w:szCs w:val="20"/>
        </w:rPr>
        <w:t xml:space="preserve"> provided financial support to any of these VIEs that it was</w:t>
      </w:r>
      <w:r>
        <w:rPr>
          <w:sz w:val="20"/>
          <w:szCs w:val="20"/>
        </w:rPr>
        <w:t xml:space="preserve"> </w:t>
      </w:r>
      <w:r>
        <w:rPr>
          <w:rStyle w:val="a6"/>
          <w:i w:val="0"/>
          <w:iCs w:val="0"/>
          <w:sz w:val="20"/>
          <w:szCs w:val="20"/>
        </w:rPr>
        <w:t>not</w:t>
      </w:r>
      <w:r>
        <w:rPr>
          <w:sz w:val="20"/>
          <w:szCs w:val="20"/>
        </w:rPr>
        <w:t xml:space="preserve"> previously contra</w:t>
      </w:r>
      <w:r>
        <w:rPr>
          <w:sz w:val="20"/>
          <w:szCs w:val="20"/>
        </w:rPr>
        <w:t>ctually required to provide, which consists primarily of funding any capital expenditures, including tenant improvements, which are deemed necessary to continue to operate the entity and any operating cash shortfalls that the entity</w:t>
      </w:r>
      <w:r>
        <w:rPr>
          <w:sz w:val="20"/>
          <w:szCs w:val="20"/>
        </w:rPr>
        <w:t xml:space="preserve"> </w:t>
      </w:r>
      <w:r>
        <w:rPr>
          <w:rStyle w:val="a6"/>
          <w:i w:val="0"/>
          <w:iCs w:val="0"/>
          <w:sz w:val="20"/>
          <w:szCs w:val="20"/>
        </w:rPr>
        <w:t xml:space="preserve">may </w:t>
      </w:r>
      <w:r>
        <w:rPr>
          <w:sz w:val="20"/>
          <w:szCs w:val="20"/>
        </w:rPr>
        <w:t>experience.</w:t>
      </w:r>
    </w:p>
    <w:p w14:paraId="75F54CDC" w14:textId="77777777" w:rsidR="00000000" w:rsidRDefault="00527094">
      <w:pPr>
        <w:pStyle w:val="a3"/>
        <w:spacing w:before="0" w:beforeAutospacing="0" w:after="0" w:afterAutospacing="0"/>
        <w:ind w:firstLine="360"/>
        <w:jc w:val="both"/>
        <w:rPr>
          <w:sz w:val="20"/>
          <w:szCs w:val="20"/>
        </w:rPr>
      </w:pPr>
      <w:r>
        <w:rPr>
          <w:sz w:val="20"/>
          <w:szCs w:val="20"/>
        </w:rPr>
        <w:t> </w:t>
      </w:r>
    </w:p>
    <w:p w14:paraId="5E929732" w14:textId="77777777" w:rsidR="00000000" w:rsidRDefault="00527094">
      <w:pPr>
        <w:pStyle w:val="a3"/>
        <w:spacing w:before="0" w:beforeAutospacing="0" w:after="0" w:afterAutospacing="0"/>
        <w:ind w:firstLine="360"/>
        <w:jc w:val="both"/>
        <w:rPr>
          <w:sz w:val="20"/>
          <w:szCs w:val="20"/>
        </w:rPr>
      </w:pPr>
      <w:r>
        <w:rPr>
          <w:sz w:val="20"/>
          <w:szCs w:val="20"/>
        </w:rPr>
        <w:t>Additionally, included within the Company’s real estate development projects at</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is one consolidated entity that is a VIE, for which the Company is the primary beneficiary. This entity has been established to develop a r</w:t>
      </w:r>
      <w:r>
        <w:rPr>
          <w:sz w:val="20"/>
          <w:szCs w:val="20"/>
        </w:rPr>
        <w:t>eal estate property to hold as a long-term investment. The Company’s involvement with this entity is through its majority ownership and management of this property. This entity was deemed a VIE primarily based on the fact that the equity investment at risk</w:t>
      </w:r>
      <w:r>
        <w:rPr>
          <w:sz w:val="20"/>
          <w:szCs w:val="20"/>
        </w:rPr>
        <w:t xml:space="preserve"> is</w:t>
      </w:r>
      <w:r>
        <w:rPr>
          <w:sz w:val="20"/>
          <w:szCs w:val="20"/>
        </w:rPr>
        <w:t xml:space="preserve"> </w:t>
      </w:r>
      <w:r>
        <w:rPr>
          <w:rStyle w:val="a6"/>
          <w:i w:val="0"/>
          <w:iCs w:val="0"/>
          <w:sz w:val="20"/>
          <w:szCs w:val="20"/>
        </w:rPr>
        <w:t>not</w:t>
      </w:r>
      <w:r>
        <w:rPr>
          <w:sz w:val="20"/>
          <w:szCs w:val="20"/>
        </w:rPr>
        <w:t xml:space="preserve"> sufficient to permit the entity to finance its activities without additional financial support. The initial equity contributed to this entity was</w:t>
      </w:r>
      <w:r>
        <w:rPr>
          <w:sz w:val="20"/>
          <w:szCs w:val="20"/>
        </w:rPr>
        <w:t xml:space="preserve"> </w:t>
      </w:r>
      <w:r>
        <w:rPr>
          <w:rStyle w:val="a6"/>
          <w:i w:val="0"/>
          <w:iCs w:val="0"/>
          <w:sz w:val="20"/>
          <w:szCs w:val="20"/>
        </w:rPr>
        <w:t>not</w:t>
      </w:r>
      <w:r>
        <w:rPr>
          <w:sz w:val="20"/>
          <w:szCs w:val="20"/>
        </w:rPr>
        <w:t xml:space="preserve"> sufficient to fully finance the real estate construction as development costs are funded by the pa</w:t>
      </w:r>
      <w:r>
        <w:rPr>
          <w:sz w:val="20"/>
          <w:szCs w:val="20"/>
        </w:rPr>
        <w:t>rtners throughout the construction period. The Company determined that it was the primary beneficiary of this VIE as a result of its controlling financial interest. At</w:t>
      </w:r>
      <w:r>
        <w:rPr>
          <w:sz w:val="20"/>
          <w:szCs w:val="20"/>
        </w:rPr>
        <w:t xml:space="preserve"> </w:t>
      </w:r>
      <w:r>
        <w:rPr>
          <w:rStyle w:val="a6"/>
          <w:i w:val="0"/>
          <w:iCs w:val="0"/>
          <w:sz w:val="20"/>
          <w:szCs w:val="20"/>
        </w:rPr>
        <w:t xml:space="preserve">June 30, 2019, </w:t>
      </w:r>
      <w:r>
        <w:rPr>
          <w:sz w:val="20"/>
          <w:szCs w:val="20"/>
        </w:rPr>
        <w:t xml:space="preserve">total assets of this real estate development VIE were $329.9 million and </w:t>
      </w:r>
      <w:r>
        <w:rPr>
          <w:sz w:val="20"/>
          <w:szCs w:val="20"/>
        </w:rPr>
        <w:t>total liabilities were $76.1 million. At</w:t>
      </w:r>
      <w:r>
        <w:rPr>
          <w:sz w:val="20"/>
          <w:szCs w:val="20"/>
        </w:rPr>
        <w:t xml:space="preserve"> </w:t>
      </w:r>
      <w:r>
        <w:rPr>
          <w:rStyle w:val="a6"/>
          <w:i w:val="0"/>
          <w:iCs w:val="0"/>
          <w:sz w:val="20"/>
          <w:szCs w:val="20"/>
        </w:rPr>
        <w:t xml:space="preserve">December 31, 2018, </w:t>
      </w:r>
      <w:r>
        <w:rPr>
          <w:sz w:val="20"/>
          <w:szCs w:val="20"/>
        </w:rPr>
        <w:t>total assets of this real estate development VIE were $275.6 million and total liabilities were $68.0 million.</w:t>
      </w:r>
    </w:p>
    <w:p w14:paraId="38BF3BFF" w14:textId="77777777" w:rsidR="00000000" w:rsidRDefault="00527094">
      <w:pPr>
        <w:pStyle w:val="a3"/>
        <w:spacing w:before="0" w:beforeAutospacing="0" w:after="0" w:afterAutospacing="0"/>
        <w:ind w:firstLine="720"/>
        <w:jc w:val="both"/>
        <w:rPr>
          <w:sz w:val="20"/>
          <w:szCs w:val="20"/>
        </w:rPr>
      </w:pPr>
      <w:r>
        <w:rPr>
          <w:sz w:val="20"/>
          <w:szCs w:val="20"/>
        </w:rPr>
        <w:t> </w:t>
      </w:r>
    </w:p>
    <w:p w14:paraId="1B6D6F85" w14:textId="77777777" w:rsidR="00000000" w:rsidRDefault="00527094">
      <w:pPr>
        <w:pStyle w:val="a3"/>
        <w:spacing w:before="0" w:beforeAutospacing="0" w:after="0" w:afterAutospacing="0"/>
        <w:ind w:firstLine="360"/>
        <w:jc w:val="both"/>
        <w:rPr>
          <w:sz w:val="20"/>
          <w:szCs w:val="20"/>
        </w:rPr>
      </w:pPr>
      <w:r>
        <w:rPr>
          <w:sz w:val="20"/>
          <w:szCs w:val="20"/>
        </w:rPr>
        <w:t>Substantially all the projected remaining development costs to be funded for this r</w:t>
      </w:r>
      <w:r>
        <w:rPr>
          <w:sz w:val="20"/>
          <w:szCs w:val="20"/>
        </w:rPr>
        <w:t>eal estate development project, aggregating $75.4 million, will be funded with capital contributions from the Company, when contractually obligated, and/or construction loan financing. The Company has</w:t>
      </w:r>
      <w:r>
        <w:rPr>
          <w:sz w:val="20"/>
          <w:szCs w:val="20"/>
        </w:rPr>
        <w:t xml:space="preserve"> </w:t>
      </w:r>
      <w:r>
        <w:rPr>
          <w:rStyle w:val="a6"/>
          <w:i w:val="0"/>
          <w:iCs w:val="0"/>
          <w:sz w:val="20"/>
          <w:szCs w:val="20"/>
        </w:rPr>
        <w:t>not</w:t>
      </w:r>
      <w:r>
        <w:rPr>
          <w:sz w:val="20"/>
          <w:szCs w:val="20"/>
        </w:rPr>
        <w:t xml:space="preserve"> provided financial support to this VIE that it was</w:t>
      </w:r>
      <w:r>
        <w:rPr>
          <w:sz w:val="20"/>
          <w:szCs w:val="20"/>
        </w:rPr>
        <w:t xml:space="preserve"> </w:t>
      </w:r>
      <w:r>
        <w:rPr>
          <w:rStyle w:val="a6"/>
          <w:i w:val="0"/>
          <w:iCs w:val="0"/>
          <w:sz w:val="20"/>
          <w:szCs w:val="20"/>
        </w:rPr>
        <w:t>not</w:t>
      </w:r>
      <w:r>
        <w:rPr>
          <w:sz w:val="20"/>
          <w:szCs w:val="20"/>
        </w:rPr>
        <w:t xml:space="preserve"> previously contractually required to provide.</w:t>
      </w:r>
    </w:p>
    <w:p w14:paraId="505BF88A" w14:textId="77777777" w:rsidR="00000000" w:rsidRDefault="00527094">
      <w:pPr>
        <w:pStyle w:val="a3"/>
        <w:spacing w:before="0" w:beforeAutospacing="0" w:after="0" w:afterAutospacing="0"/>
        <w:ind w:firstLine="720"/>
        <w:jc w:val="both"/>
        <w:rPr>
          <w:sz w:val="20"/>
          <w:szCs w:val="20"/>
        </w:rPr>
      </w:pPr>
      <w:r>
        <w:rPr>
          <w:sz w:val="20"/>
          <w:szCs w:val="20"/>
        </w:rPr>
        <w:t>  </w:t>
      </w:r>
    </w:p>
    <w:p w14:paraId="735A9AF3" w14:textId="77777777" w:rsidR="00000000" w:rsidRDefault="00527094">
      <w:pPr>
        <w:jc w:val="center"/>
        <w:rPr>
          <w:rFonts w:eastAsia="Times New Roman"/>
          <w:sz w:val="20"/>
          <w:szCs w:val="20"/>
        </w:rPr>
      </w:pPr>
      <w:r>
        <w:rPr>
          <w:rFonts w:eastAsia="Times New Roman"/>
          <w:sz w:val="20"/>
          <w:szCs w:val="20"/>
        </w:rPr>
        <w:t xml:space="preserve">18 </w:t>
      </w:r>
    </w:p>
    <w:p w14:paraId="75F74DCA" w14:textId="77777777" w:rsidR="00000000" w:rsidRDefault="00527094">
      <w:pPr>
        <w:rPr>
          <w:rFonts w:eastAsia="Times New Roman"/>
          <w:sz w:val="20"/>
          <w:szCs w:val="20"/>
        </w:rPr>
      </w:pPr>
      <w:r>
        <w:rPr>
          <w:rFonts w:eastAsia="Times New Roman"/>
          <w:sz w:val="20"/>
          <w:szCs w:val="20"/>
        </w:rPr>
        <w:pict w14:anchorId="6B78109A">
          <v:rect id="_x0000_i1046" style="width:0;height:1.5pt" o:hralign="center" o:hrstd="t" o:hr="t" fillcolor="#a0a0a0" stroked="f"/>
        </w:pict>
      </w:r>
    </w:p>
    <w:p w14:paraId="2B7045C8"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D31C5D4" w14:textId="77777777" w:rsidR="00000000" w:rsidRDefault="00527094">
      <w:pPr>
        <w:pStyle w:val="a3"/>
        <w:spacing w:before="0" w:beforeAutospacing="0" w:after="0" w:afterAutospacing="0"/>
        <w:rPr>
          <w:sz w:val="20"/>
          <w:szCs w:val="20"/>
        </w:rPr>
      </w:pPr>
      <w:r>
        <w:rPr>
          <w:sz w:val="20"/>
          <w:szCs w:val="20"/>
        </w:rPr>
        <w:t> </w:t>
      </w:r>
    </w:p>
    <w:p w14:paraId="497F0405" w14:textId="77777777" w:rsidR="00000000" w:rsidRDefault="00527094">
      <w:pPr>
        <w:pStyle w:val="a3"/>
        <w:spacing w:before="0" w:beforeAutospacing="0" w:after="0" w:afterAutospacing="0"/>
        <w:ind w:firstLine="360"/>
        <w:jc w:val="both"/>
        <w:rPr>
          <w:sz w:val="20"/>
          <w:szCs w:val="20"/>
        </w:rPr>
      </w:pPr>
      <w:r>
        <w:rPr>
          <w:sz w:val="20"/>
          <w:szCs w:val="20"/>
        </w:rPr>
        <w:t>All liabilities of these consolidated VIEs are non-recourse to the Company (“VIE Liabilities”). The assets of the u</w:t>
      </w:r>
      <w:r>
        <w:rPr>
          <w:sz w:val="20"/>
          <w:szCs w:val="20"/>
        </w:rPr>
        <w:t>nencumbered VIEs are</w:t>
      </w:r>
      <w:r>
        <w:rPr>
          <w:sz w:val="20"/>
          <w:szCs w:val="20"/>
        </w:rPr>
        <w:t xml:space="preserve"> </w:t>
      </w:r>
      <w:r>
        <w:rPr>
          <w:rStyle w:val="a6"/>
          <w:i w:val="0"/>
          <w:iCs w:val="0"/>
          <w:sz w:val="20"/>
          <w:szCs w:val="20"/>
        </w:rPr>
        <w:t>not</w:t>
      </w:r>
      <w:r>
        <w:rPr>
          <w:sz w:val="20"/>
          <w:szCs w:val="20"/>
        </w:rPr>
        <w:t xml:space="preserve"> restricted for use to settle only the obligations of these VIEs. The remaining VIE assets are encumbered by</w:t>
      </w:r>
      <w:r>
        <w:rPr>
          <w:sz w:val="20"/>
          <w:szCs w:val="20"/>
        </w:rPr>
        <w:t xml:space="preserve"> </w:t>
      </w:r>
      <w:r>
        <w:rPr>
          <w:rStyle w:val="a6"/>
          <w:i w:val="0"/>
          <w:iCs w:val="0"/>
          <w:sz w:val="20"/>
          <w:szCs w:val="20"/>
        </w:rPr>
        <w:t>third</w:t>
      </w:r>
      <w:r>
        <w:rPr>
          <w:sz w:val="20"/>
          <w:szCs w:val="20"/>
        </w:rPr>
        <w:t xml:space="preserve"> party non-recourse mortgage debt and a construction loan. The assets associated with these encumbered VIEs (“Restrict</w:t>
      </w:r>
      <w:r>
        <w:rPr>
          <w:sz w:val="20"/>
          <w:szCs w:val="20"/>
        </w:rPr>
        <w:t xml:space="preserve">ed Assets”) are collateral under the respective mortgages and a construction loan and are therefore restricted and can only be used to settle the corresponding liabilities of the VIE. The table below summarizes the consolidated VIEs and the classification </w:t>
      </w:r>
      <w:r>
        <w:rPr>
          <w:sz w:val="20"/>
          <w:szCs w:val="20"/>
        </w:rPr>
        <w:t>of the Restricted Assets and VIE Liabilities on the Company’s Condensed Consolidated Balance Sheets as follows (dollars in millions):</w:t>
      </w:r>
    </w:p>
    <w:p w14:paraId="28CA21E3"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627"/>
        <w:gridCol w:w="67"/>
        <w:gridCol w:w="100"/>
        <w:gridCol w:w="1188"/>
        <w:gridCol w:w="68"/>
        <w:gridCol w:w="68"/>
        <w:gridCol w:w="100"/>
        <w:gridCol w:w="1189"/>
        <w:gridCol w:w="68"/>
      </w:tblGrid>
      <w:tr w:rsidR="00000000" w14:paraId="10B2254B" w14:textId="77777777">
        <w:trPr>
          <w:tblCellSpacing w:w="0" w:type="dxa"/>
        </w:trPr>
        <w:tc>
          <w:tcPr>
            <w:tcW w:w="3100" w:type="pct"/>
            <w:vAlign w:val="bottom"/>
            <w:hideMark/>
          </w:tcPr>
          <w:p w14:paraId="6D82D4C8" w14:textId="77777777" w:rsidR="00000000" w:rsidRDefault="00527094">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4F29FC42"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8BF56B5" w14:textId="77777777" w:rsidR="00000000" w:rsidRDefault="00527094">
            <w:pPr>
              <w:pStyle w:val="a3"/>
              <w:spacing w:before="0" w:beforeAutospacing="0" w:after="0" w:afterAutospacing="0"/>
              <w:jc w:val="center"/>
              <w:rPr>
                <w:sz w:val="20"/>
                <w:szCs w:val="20"/>
              </w:rPr>
            </w:pPr>
            <w:r>
              <w:rPr>
                <w:b/>
                <w:bCs/>
                <w:sz w:val="20"/>
                <w:szCs w:val="20"/>
              </w:rPr>
              <w:t>As of June 30, 2019</w:t>
            </w:r>
          </w:p>
        </w:tc>
        <w:tc>
          <w:tcPr>
            <w:tcW w:w="50" w:type="pct"/>
            <w:tcMar>
              <w:top w:w="0" w:type="dxa"/>
              <w:left w:w="0" w:type="dxa"/>
              <w:bottom w:w="15" w:type="dxa"/>
              <w:right w:w="0" w:type="dxa"/>
            </w:tcMar>
            <w:vAlign w:val="bottom"/>
            <w:hideMark/>
          </w:tcPr>
          <w:p w14:paraId="7F6E125A" w14:textId="77777777" w:rsidR="00000000" w:rsidRDefault="00527094">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3CC2F42B"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E1DD7A3" w14:textId="77777777" w:rsidR="00000000" w:rsidRDefault="00527094">
            <w:pPr>
              <w:pStyle w:val="a3"/>
              <w:spacing w:before="0" w:beforeAutospacing="0" w:after="0" w:afterAutospacing="0"/>
              <w:jc w:val="center"/>
              <w:rPr>
                <w:sz w:val="20"/>
                <w:szCs w:val="20"/>
              </w:rPr>
            </w:pPr>
            <w:r>
              <w:rPr>
                <w:b/>
                <w:bCs/>
                <w:sz w:val="20"/>
                <w:szCs w:val="20"/>
              </w:rPr>
              <w:t>As of December 31, 2018</w:t>
            </w:r>
          </w:p>
        </w:tc>
        <w:tc>
          <w:tcPr>
            <w:tcW w:w="50" w:type="pct"/>
            <w:tcMar>
              <w:top w:w="0" w:type="dxa"/>
              <w:left w:w="0" w:type="dxa"/>
              <w:bottom w:w="15" w:type="dxa"/>
              <w:right w:w="0" w:type="dxa"/>
            </w:tcMar>
            <w:vAlign w:val="bottom"/>
            <w:hideMark/>
          </w:tcPr>
          <w:p w14:paraId="79E63CA9" w14:textId="77777777" w:rsidR="00000000" w:rsidRDefault="00527094">
            <w:pPr>
              <w:rPr>
                <w:rFonts w:eastAsia="Times New Roman"/>
                <w:sz w:val="20"/>
                <w:szCs w:val="20"/>
              </w:rPr>
            </w:pPr>
            <w:r>
              <w:rPr>
                <w:rFonts w:eastAsia="Times New Roman"/>
                <w:sz w:val="20"/>
                <w:szCs w:val="20"/>
              </w:rPr>
              <w:t> </w:t>
            </w:r>
          </w:p>
        </w:tc>
      </w:tr>
      <w:tr w:rsidR="00000000" w14:paraId="3C8FDC1B" w14:textId="77777777">
        <w:trPr>
          <w:tblCellSpacing w:w="0" w:type="dxa"/>
        </w:trPr>
        <w:tc>
          <w:tcPr>
            <w:tcW w:w="3100" w:type="pct"/>
            <w:shd w:val="clear" w:color="auto" w:fill="CCEEFF"/>
            <w:vAlign w:val="bottom"/>
            <w:hideMark/>
          </w:tcPr>
          <w:p w14:paraId="1D4D7881" w14:textId="77777777" w:rsidR="00000000" w:rsidRDefault="00527094">
            <w:pPr>
              <w:pStyle w:val="a3"/>
              <w:spacing w:before="0" w:beforeAutospacing="0" w:after="0" w:afterAutospacing="0"/>
              <w:rPr>
                <w:sz w:val="20"/>
                <w:szCs w:val="20"/>
              </w:rPr>
            </w:pPr>
            <w:r>
              <w:rPr>
                <w:sz w:val="20"/>
                <w:szCs w:val="20"/>
              </w:rPr>
              <w:t>Number of unencumbered VIEs</w:t>
            </w:r>
          </w:p>
        </w:tc>
        <w:tc>
          <w:tcPr>
            <w:tcW w:w="50" w:type="pct"/>
            <w:tcBorders>
              <w:bottom w:val="nil"/>
            </w:tcBorders>
            <w:shd w:val="clear" w:color="auto" w:fill="CCEEFF"/>
            <w:vAlign w:val="bottom"/>
            <w:hideMark/>
          </w:tcPr>
          <w:p w14:paraId="4014A090"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2609AE3"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7F22E9DA" w14:textId="77777777" w:rsidR="00000000" w:rsidRDefault="00527094">
            <w:pPr>
              <w:jc w:val="right"/>
              <w:rPr>
                <w:rFonts w:eastAsia="Times New Roman"/>
                <w:sz w:val="20"/>
                <w:szCs w:val="20"/>
              </w:rPr>
            </w:pPr>
            <w:r>
              <w:rPr>
                <w:rFonts w:eastAsia="Times New Roman"/>
                <w:sz w:val="20"/>
                <w:szCs w:val="20"/>
              </w:rPr>
              <w:t>20</w:t>
            </w:r>
          </w:p>
        </w:tc>
        <w:tc>
          <w:tcPr>
            <w:tcW w:w="50" w:type="pct"/>
            <w:tcBorders>
              <w:bottom w:val="nil"/>
            </w:tcBorders>
            <w:shd w:val="clear" w:color="auto" w:fill="CCEEFF"/>
            <w:vAlign w:val="bottom"/>
            <w:hideMark/>
          </w:tcPr>
          <w:p w14:paraId="797245E8"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FF0BCE9"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18BF236"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30D7EAF8" w14:textId="77777777" w:rsidR="00000000" w:rsidRDefault="00527094">
            <w:pPr>
              <w:jc w:val="right"/>
              <w:rPr>
                <w:rFonts w:eastAsia="Times New Roman"/>
                <w:sz w:val="20"/>
                <w:szCs w:val="20"/>
              </w:rPr>
            </w:pPr>
            <w:r>
              <w:rPr>
                <w:rFonts w:eastAsia="Times New Roman"/>
                <w:sz w:val="20"/>
                <w:szCs w:val="20"/>
              </w:rPr>
              <w:t>20</w:t>
            </w:r>
          </w:p>
        </w:tc>
        <w:tc>
          <w:tcPr>
            <w:tcW w:w="50" w:type="pct"/>
            <w:tcBorders>
              <w:bottom w:val="nil"/>
            </w:tcBorders>
            <w:shd w:val="clear" w:color="auto" w:fill="CCEEFF"/>
            <w:vAlign w:val="bottom"/>
            <w:hideMark/>
          </w:tcPr>
          <w:p w14:paraId="665DEE67" w14:textId="77777777" w:rsidR="00000000" w:rsidRDefault="00527094">
            <w:pPr>
              <w:rPr>
                <w:rFonts w:eastAsia="Times New Roman"/>
                <w:sz w:val="20"/>
                <w:szCs w:val="20"/>
              </w:rPr>
            </w:pPr>
            <w:r>
              <w:rPr>
                <w:rFonts w:eastAsia="Times New Roman"/>
                <w:sz w:val="20"/>
                <w:szCs w:val="20"/>
              </w:rPr>
              <w:t> </w:t>
            </w:r>
          </w:p>
        </w:tc>
      </w:tr>
      <w:tr w:rsidR="00000000" w14:paraId="5BF30228" w14:textId="77777777">
        <w:trPr>
          <w:tblCellSpacing w:w="0" w:type="dxa"/>
        </w:trPr>
        <w:tc>
          <w:tcPr>
            <w:tcW w:w="3100" w:type="pct"/>
            <w:shd w:val="clear" w:color="auto" w:fill="FFFFFF"/>
            <w:vAlign w:val="bottom"/>
            <w:hideMark/>
          </w:tcPr>
          <w:p w14:paraId="75FBC6DB" w14:textId="77777777" w:rsidR="00000000" w:rsidRDefault="00527094">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14:paraId="5708B19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392261C"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8CCA663" w14:textId="77777777" w:rsidR="00000000" w:rsidRDefault="00527094">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14:paraId="7E17EFD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759F18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094F9F4"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7E45DAFB" w14:textId="77777777" w:rsidR="00000000" w:rsidRDefault="00527094">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14:paraId="58EECB1D" w14:textId="77777777" w:rsidR="00000000" w:rsidRDefault="00527094">
            <w:pPr>
              <w:rPr>
                <w:rFonts w:eastAsia="Times New Roman"/>
                <w:sz w:val="20"/>
                <w:szCs w:val="20"/>
              </w:rPr>
            </w:pPr>
            <w:r>
              <w:rPr>
                <w:rFonts w:eastAsia="Times New Roman"/>
                <w:sz w:val="20"/>
                <w:szCs w:val="20"/>
              </w:rPr>
              <w:t> </w:t>
            </w:r>
          </w:p>
        </w:tc>
      </w:tr>
      <w:tr w:rsidR="00000000" w14:paraId="6C544C96" w14:textId="77777777">
        <w:trPr>
          <w:tblCellSpacing w:w="0" w:type="dxa"/>
        </w:trPr>
        <w:tc>
          <w:tcPr>
            <w:tcW w:w="3100" w:type="pct"/>
            <w:shd w:val="clear" w:color="auto" w:fill="CCEEFF"/>
            <w:vAlign w:val="bottom"/>
            <w:hideMark/>
          </w:tcPr>
          <w:p w14:paraId="14A6A495" w14:textId="77777777" w:rsidR="00000000" w:rsidRDefault="00527094">
            <w:pPr>
              <w:pStyle w:val="a3"/>
              <w:spacing w:before="0" w:beforeAutospacing="0" w:after="0" w:afterAutospacing="0"/>
              <w:rPr>
                <w:sz w:val="20"/>
                <w:szCs w:val="20"/>
              </w:rPr>
            </w:pPr>
            <w:r>
              <w:rPr>
                <w:sz w:val="20"/>
                <w:szCs w:val="20"/>
              </w:rPr>
              <w:t>Total number of consolidated VIEs</w:t>
            </w:r>
          </w:p>
        </w:tc>
        <w:tc>
          <w:tcPr>
            <w:tcW w:w="50" w:type="pct"/>
            <w:tcBorders>
              <w:bottom w:val="nil"/>
            </w:tcBorders>
            <w:shd w:val="clear" w:color="auto" w:fill="CCEEFF"/>
            <w:vAlign w:val="bottom"/>
            <w:hideMark/>
          </w:tcPr>
          <w:p w14:paraId="580498C2"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3651FE5"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198570BB" w14:textId="77777777" w:rsidR="00000000" w:rsidRDefault="00527094">
            <w:pPr>
              <w:jc w:val="right"/>
              <w:rPr>
                <w:rFonts w:eastAsia="Times New Roman"/>
                <w:sz w:val="20"/>
                <w:szCs w:val="20"/>
              </w:rPr>
            </w:pPr>
            <w:r>
              <w:rPr>
                <w:rFonts w:eastAsia="Times New Roman"/>
                <w:sz w:val="20"/>
                <w:szCs w:val="20"/>
              </w:rPr>
              <w:t>23</w:t>
            </w:r>
          </w:p>
        </w:tc>
        <w:tc>
          <w:tcPr>
            <w:tcW w:w="50" w:type="pct"/>
            <w:tcBorders>
              <w:bottom w:val="nil"/>
            </w:tcBorders>
            <w:shd w:val="clear" w:color="auto" w:fill="CCEEFF"/>
            <w:vAlign w:val="bottom"/>
            <w:hideMark/>
          </w:tcPr>
          <w:p w14:paraId="2F4275EC"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3B2BD39"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B11E90F"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14:paraId="1926A484" w14:textId="77777777" w:rsidR="00000000" w:rsidRDefault="00527094">
            <w:pPr>
              <w:jc w:val="right"/>
              <w:rPr>
                <w:rFonts w:eastAsia="Times New Roman"/>
                <w:sz w:val="20"/>
                <w:szCs w:val="20"/>
              </w:rPr>
            </w:pPr>
            <w:r>
              <w:rPr>
                <w:rFonts w:eastAsia="Times New Roman"/>
                <w:sz w:val="20"/>
                <w:szCs w:val="20"/>
              </w:rPr>
              <w:t>24</w:t>
            </w:r>
          </w:p>
        </w:tc>
        <w:tc>
          <w:tcPr>
            <w:tcW w:w="50" w:type="pct"/>
            <w:tcBorders>
              <w:bottom w:val="nil"/>
            </w:tcBorders>
            <w:shd w:val="clear" w:color="auto" w:fill="CCEEFF"/>
            <w:vAlign w:val="bottom"/>
            <w:hideMark/>
          </w:tcPr>
          <w:p w14:paraId="7A821B0A" w14:textId="77777777" w:rsidR="00000000" w:rsidRDefault="00527094">
            <w:pPr>
              <w:rPr>
                <w:rFonts w:eastAsia="Times New Roman"/>
                <w:sz w:val="20"/>
                <w:szCs w:val="20"/>
              </w:rPr>
            </w:pPr>
            <w:r>
              <w:rPr>
                <w:rFonts w:eastAsia="Times New Roman"/>
                <w:sz w:val="20"/>
                <w:szCs w:val="20"/>
              </w:rPr>
              <w:t> </w:t>
            </w:r>
          </w:p>
        </w:tc>
      </w:tr>
      <w:tr w:rsidR="00000000" w14:paraId="14539AF0" w14:textId="77777777">
        <w:trPr>
          <w:tblCellSpacing w:w="0" w:type="dxa"/>
        </w:trPr>
        <w:tc>
          <w:tcPr>
            <w:tcW w:w="3100" w:type="pct"/>
            <w:shd w:val="clear" w:color="auto" w:fill="FFFFFF"/>
            <w:vAlign w:val="bottom"/>
            <w:hideMark/>
          </w:tcPr>
          <w:p w14:paraId="790AFD5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A6E82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23D988"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D5D224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F9D36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2F811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7725A4"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5EBF4D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1BFA06" w14:textId="77777777" w:rsidR="00000000" w:rsidRDefault="00527094">
            <w:pPr>
              <w:rPr>
                <w:rFonts w:eastAsia="Times New Roman"/>
                <w:sz w:val="20"/>
                <w:szCs w:val="20"/>
              </w:rPr>
            </w:pPr>
            <w:r>
              <w:rPr>
                <w:rFonts w:eastAsia="Times New Roman"/>
                <w:sz w:val="20"/>
                <w:szCs w:val="20"/>
              </w:rPr>
              <w:t> </w:t>
            </w:r>
          </w:p>
        </w:tc>
      </w:tr>
      <w:tr w:rsidR="00000000" w14:paraId="055B64A0" w14:textId="77777777">
        <w:trPr>
          <w:tblCellSpacing w:w="0" w:type="dxa"/>
        </w:trPr>
        <w:tc>
          <w:tcPr>
            <w:tcW w:w="3100" w:type="pct"/>
            <w:shd w:val="clear" w:color="auto" w:fill="CCEEFF"/>
            <w:vAlign w:val="bottom"/>
            <w:hideMark/>
          </w:tcPr>
          <w:p w14:paraId="666BAC19" w14:textId="77777777" w:rsidR="00000000" w:rsidRDefault="00527094">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14:paraId="4BB61CC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7B45D4"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832A4B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E4E98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DEAD1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A414AB"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BB9A38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C2A5B1" w14:textId="77777777" w:rsidR="00000000" w:rsidRDefault="00527094">
            <w:pPr>
              <w:rPr>
                <w:rFonts w:eastAsia="Times New Roman"/>
                <w:sz w:val="20"/>
                <w:szCs w:val="20"/>
              </w:rPr>
            </w:pPr>
            <w:r>
              <w:rPr>
                <w:rFonts w:eastAsia="Times New Roman"/>
                <w:sz w:val="20"/>
                <w:szCs w:val="20"/>
              </w:rPr>
              <w:t> </w:t>
            </w:r>
          </w:p>
        </w:tc>
      </w:tr>
      <w:tr w:rsidR="00000000" w14:paraId="76A32432" w14:textId="77777777">
        <w:trPr>
          <w:tblCellSpacing w:w="0" w:type="dxa"/>
        </w:trPr>
        <w:tc>
          <w:tcPr>
            <w:tcW w:w="3100" w:type="pct"/>
            <w:shd w:val="clear" w:color="auto" w:fill="FFFFFF"/>
            <w:vAlign w:val="bottom"/>
            <w:hideMark/>
          </w:tcPr>
          <w:p w14:paraId="1E300221" w14:textId="77777777" w:rsidR="00000000" w:rsidRDefault="00527094">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32CE61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876606" w14:textId="77777777" w:rsidR="00000000" w:rsidRDefault="00527094">
            <w:pPr>
              <w:rPr>
                <w:rFonts w:eastAsia="Times New Roman"/>
                <w:sz w:val="20"/>
                <w:szCs w:val="20"/>
              </w:rPr>
            </w:pPr>
            <w:r>
              <w:rPr>
                <w:rFonts w:eastAsia="Times New Roman"/>
                <w:sz w:val="20"/>
                <w:szCs w:val="20"/>
              </w:rPr>
              <w:t>$</w:t>
            </w:r>
          </w:p>
        </w:tc>
        <w:tc>
          <w:tcPr>
            <w:tcW w:w="800" w:type="pct"/>
            <w:shd w:val="clear" w:color="auto" w:fill="FFFFFF"/>
            <w:vAlign w:val="bottom"/>
            <w:hideMark/>
          </w:tcPr>
          <w:p w14:paraId="0F61C508" w14:textId="77777777" w:rsidR="00000000" w:rsidRDefault="00527094">
            <w:pPr>
              <w:jc w:val="right"/>
              <w:rPr>
                <w:rFonts w:eastAsia="Times New Roman"/>
                <w:sz w:val="20"/>
                <w:szCs w:val="20"/>
              </w:rPr>
            </w:pPr>
            <w:r>
              <w:rPr>
                <w:rFonts w:eastAsia="Times New Roman"/>
                <w:sz w:val="20"/>
                <w:szCs w:val="20"/>
              </w:rPr>
              <w:t>216.5</w:t>
            </w:r>
          </w:p>
        </w:tc>
        <w:tc>
          <w:tcPr>
            <w:tcW w:w="50" w:type="pct"/>
            <w:shd w:val="clear" w:color="auto" w:fill="FFFFFF"/>
            <w:vAlign w:val="bottom"/>
            <w:hideMark/>
          </w:tcPr>
          <w:p w14:paraId="34D077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725CE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63915F" w14:textId="77777777" w:rsidR="00000000" w:rsidRDefault="00527094">
            <w:pPr>
              <w:rPr>
                <w:rFonts w:eastAsia="Times New Roman"/>
                <w:sz w:val="20"/>
                <w:szCs w:val="20"/>
              </w:rPr>
            </w:pPr>
            <w:r>
              <w:rPr>
                <w:rFonts w:eastAsia="Times New Roman"/>
                <w:sz w:val="20"/>
                <w:szCs w:val="20"/>
              </w:rPr>
              <w:t>$</w:t>
            </w:r>
          </w:p>
        </w:tc>
        <w:tc>
          <w:tcPr>
            <w:tcW w:w="800" w:type="pct"/>
            <w:shd w:val="clear" w:color="auto" w:fill="FFFFFF"/>
            <w:vAlign w:val="bottom"/>
            <w:hideMark/>
          </w:tcPr>
          <w:p w14:paraId="28CC8F81" w14:textId="77777777" w:rsidR="00000000" w:rsidRDefault="00527094">
            <w:pPr>
              <w:jc w:val="right"/>
              <w:rPr>
                <w:rFonts w:eastAsia="Times New Roman"/>
                <w:sz w:val="20"/>
                <w:szCs w:val="20"/>
              </w:rPr>
            </w:pPr>
            <w:r>
              <w:rPr>
                <w:rFonts w:eastAsia="Times New Roman"/>
                <w:sz w:val="20"/>
                <w:szCs w:val="20"/>
              </w:rPr>
              <w:t>229.2</w:t>
            </w:r>
          </w:p>
        </w:tc>
        <w:tc>
          <w:tcPr>
            <w:tcW w:w="50" w:type="pct"/>
            <w:shd w:val="clear" w:color="auto" w:fill="FFFFFF"/>
            <w:vAlign w:val="bottom"/>
            <w:hideMark/>
          </w:tcPr>
          <w:p w14:paraId="4AA9FEDC" w14:textId="77777777" w:rsidR="00000000" w:rsidRDefault="00527094">
            <w:pPr>
              <w:rPr>
                <w:rFonts w:eastAsia="Times New Roman"/>
                <w:sz w:val="20"/>
                <w:szCs w:val="20"/>
              </w:rPr>
            </w:pPr>
            <w:r>
              <w:rPr>
                <w:rFonts w:eastAsia="Times New Roman"/>
                <w:sz w:val="20"/>
                <w:szCs w:val="20"/>
              </w:rPr>
              <w:t> </w:t>
            </w:r>
          </w:p>
        </w:tc>
      </w:tr>
      <w:tr w:rsidR="00000000" w14:paraId="0E258642" w14:textId="77777777">
        <w:trPr>
          <w:tblCellSpacing w:w="0" w:type="dxa"/>
        </w:trPr>
        <w:tc>
          <w:tcPr>
            <w:tcW w:w="3100" w:type="pct"/>
            <w:shd w:val="clear" w:color="auto" w:fill="CCEEFF"/>
            <w:vAlign w:val="bottom"/>
            <w:hideMark/>
          </w:tcPr>
          <w:p w14:paraId="6BB0900B" w14:textId="77777777" w:rsidR="00000000" w:rsidRDefault="00527094">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14:paraId="6F92D5D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220C24"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838B11A" w14:textId="77777777" w:rsidR="00000000" w:rsidRDefault="00527094">
            <w:pPr>
              <w:jc w:val="right"/>
              <w:rPr>
                <w:rFonts w:eastAsia="Times New Roman"/>
                <w:sz w:val="20"/>
                <w:szCs w:val="20"/>
              </w:rPr>
            </w:pPr>
            <w:r>
              <w:rPr>
                <w:rFonts w:eastAsia="Times New Roman"/>
                <w:sz w:val="20"/>
                <w:szCs w:val="20"/>
              </w:rPr>
              <w:t>5.8</w:t>
            </w:r>
          </w:p>
        </w:tc>
        <w:tc>
          <w:tcPr>
            <w:tcW w:w="50" w:type="pct"/>
            <w:shd w:val="clear" w:color="auto" w:fill="CCEEFF"/>
            <w:vAlign w:val="bottom"/>
            <w:hideMark/>
          </w:tcPr>
          <w:p w14:paraId="01EED4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67FDE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84001A"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504C1FC" w14:textId="77777777" w:rsidR="00000000" w:rsidRDefault="00527094">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14:paraId="4292A089" w14:textId="77777777" w:rsidR="00000000" w:rsidRDefault="00527094">
            <w:pPr>
              <w:rPr>
                <w:rFonts w:eastAsia="Times New Roman"/>
                <w:sz w:val="20"/>
                <w:szCs w:val="20"/>
              </w:rPr>
            </w:pPr>
            <w:r>
              <w:rPr>
                <w:rFonts w:eastAsia="Times New Roman"/>
                <w:sz w:val="20"/>
                <w:szCs w:val="20"/>
              </w:rPr>
              <w:t> </w:t>
            </w:r>
          </w:p>
        </w:tc>
      </w:tr>
      <w:tr w:rsidR="00000000" w14:paraId="21FE6F1E" w14:textId="77777777">
        <w:trPr>
          <w:tblCellSpacing w:w="0" w:type="dxa"/>
        </w:trPr>
        <w:tc>
          <w:tcPr>
            <w:tcW w:w="3100" w:type="pct"/>
            <w:shd w:val="clear" w:color="auto" w:fill="FFFFFF"/>
            <w:vAlign w:val="bottom"/>
            <w:hideMark/>
          </w:tcPr>
          <w:p w14:paraId="509C4753" w14:textId="77777777" w:rsidR="00000000" w:rsidRDefault="00527094">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14:paraId="1669219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3A1038"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08D0BF0" w14:textId="77777777" w:rsidR="00000000" w:rsidRDefault="00527094">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14:paraId="3E0FB6A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DDFA0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CEDFE7"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4705B49" w14:textId="77777777" w:rsidR="00000000" w:rsidRDefault="00527094">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14:paraId="756AEC76" w14:textId="77777777" w:rsidR="00000000" w:rsidRDefault="00527094">
            <w:pPr>
              <w:rPr>
                <w:rFonts w:eastAsia="Times New Roman"/>
                <w:sz w:val="20"/>
                <w:szCs w:val="20"/>
              </w:rPr>
            </w:pPr>
            <w:r>
              <w:rPr>
                <w:rFonts w:eastAsia="Times New Roman"/>
                <w:sz w:val="20"/>
                <w:szCs w:val="20"/>
              </w:rPr>
              <w:t> </w:t>
            </w:r>
          </w:p>
        </w:tc>
      </w:tr>
      <w:tr w:rsidR="00000000" w14:paraId="2612CDBB" w14:textId="77777777">
        <w:trPr>
          <w:tblCellSpacing w:w="0" w:type="dxa"/>
        </w:trPr>
        <w:tc>
          <w:tcPr>
            <w:tcW w:w="3100" w:type="pct"/>
            <w:shd w:val="clear" w:color="auto" w:fill="CCEEFF"/>
            <w:vAlign w:val="bottom"/>
            <w:hideMark/>
          </w:tcPr>
          <w:p w14:paraId="38F99C4E" w14:textId="77777777" w:rsidR="00000000" w:rsidRDefault="00527094">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14:paraId="5AEE1DF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C00B7CA"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4297B486" w14:textId="77777777" w:rsidR="00000000" w:rsidRDefault="00527094">
            <w:pPr>
              <w:jc w:val="right"/>
              <w:rPr>
                <w:rFonts w:eastAsia="Times New Roman"/>
                <w:sz w:val="20"/>
                <w:szCs w:val="20"/>
              </w:rPr>
            </w:pPr>
            <w:r>
              <w:rPr>
                <w:rFonts w:eastAsia="Times New Roman"/>
                <w:sz w:val="20"/>
                <w:szCs w:val="20"/>
              </w:rPr>
              <w:t>3.2</w:t>
            </w:r>
          </w:p>
        </w:tc>
        <w:tc>
          <w:tcPr>
            <w:tcW w:w="50" w:type="pct"/>
            <w:shd w:val="clear" w:color="auto" w:fill="CCEEFF"/>
            <w:tcMar>
              <w:top w:w="0" w:type="dxa"/>
              <w:left w:w="0" w:type="dxa"/>
              <w:bottom w:w="15" w:type="dxa"/>
              <w:right w:w="0" w:type="dxa"/>
            </w:tcMar>
            <w:vAlign w:val="bottom"/>
            <w:hideMark/>
          </w:tcPr>
          <w:p w14:paraId="50F5412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6BD0A7F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EC991AB"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55E6113B" w14:textId="77777777" w:rsidR="00000000" w:rsidRDefault="00527094">
            <w:pPr>
              <w:jc w:val="right"/>
              <w:rPr>
                <w:rFonts w:eastAsia="Times New Roman"/>
                <w:sz w:val="20"/>
                <w:szCs w:val="20"/>
              </w:rPr>
            </w:pPr>
            <w:r>
              <w:rPr>
                <w:rFonts w:eastAsia="Times New Roman"/>
                <w:sz w:val="20"/>
                <w:szCs w:val="20"/>
              </w:rPr>
              <w:t>3.3</w:t>
            </w:r>
          </w:p>
        </w:tc>
        <w:tc>
          <w:tcPr>
            <w:tcW w:w="50" w:type="pct"/>
            <w:shd w:val="clear" w:color="auto" w:fill="CCEEFF"/>
            <w:tcMar>
              <w:top w:w="0" w:type="dxa"/>
              <w:left w:w="0" w:type="dxa"/>
              <w:bottom w:w="15" w:type="dxa"/>
              <w:right w:w="0" w:type="dxa"/>
            </w:tcMar>
            <w:vAlign w:val="bottom"/>
            <w:hideMark/>
          </w:tcPr>
          <w:p w14:paraId="762FE28A" w14:textId="77777777" w:rsidR="00000000" w:rsidRDefault="00527094">
            <w:pPr>
              <w:rPr>
                <w:rFonts w:eastAsia="Times New Roman"/>
                <w:sz w:val="20"/>
                <w:szCs w:val="20"/>
              </w:rPr>
            </w:pPr>
            <w:r>
              <w:rPr>
                <w:rFonts w:eastAsia="Times New Roman"/>
                <w:sz w:val="20"/>
                <w:szCs w:val="20"/>
              </w:rPr>
              <w:t> </w:t>
            </w:r>
          </w:p>
        </w:tc>
      </w:tr>
      <w:tr w:rsidR="00000000" w14:paraId="65DDED1A" w14:textId="77777777">
        <w:trPr>
          <w:tblCellSpacing w:w="0" w:type="dxa"/>
        </w:trPr>
        <w:tc>
          <w:tcPr>
            <w:tcW w:w="3100" w:type="pct"/>
            <w:shd w:val="clear" w:color="auto" w:fill="FFFFFF"/>
            <w:vAlign w:val="bottom"/>
            <w:hideMark/>
          </w:tcPr>
          <w:p w14:paraId="3A6B53AE" w14:textId="77777777" w:rsidR="00000000" w:rsidRDefault="00527094">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14:paraId="4275FE65"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3AD4DC5" w14:textId="77777777" w:rsidR="00000000" w:rsidRDefault="0052709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A8D59AD" w14:textId="77777777" w:rsidR="00000000" w:rsidRDefault="00527094">
            <w:pPr>
              <w:jc w:val="right"/>
              <w:rPr>
                <w:rFonts w:eastAsia="Times New Roman"/>
                <w:sz w:val="20"/>
                <w:szCs w:val="20"/>
              </w:rPr>
            </w:pPr>
            <w:r>
              <w:rPr>
                <w:rFonts w:eastAsia="Times New Roman"/>
                <w:sz w:val="20"/>
                <w:szCs w:val="20"/>
              </w:rPr>
              <w:t>228.0</w:t>
            </w:r>
          </w:p>
        </w:tc>
        <w:tc>
          <w:tcPr>
            <w:tcW w:w="50" w:type="pct"/>
            <w:shd w:val="clear" w:color="auto" w:fill="FFFFFF"/>
            <w:tcMar>
              <w:top w:w="0" w:type="dxa"/>
              <w:left w:w="0" w:type="dxa"/>
              <w:bottom w:w="45" w:type="dxa"/>
              <w:right w:w="0" w:type="dxa"/>
            </w:tcMar>
            <w:vAlign w:val="bottom"/>
            <w:hideMark/>
          </w:tcPr>
          <w:p w14:paraId="4BB63D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58C6A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DCA8914" w14:textId="77777777" w:rsidR="00000000" w:rsidRDefault="0052709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DF9A0E0" w14:textId="77777777" w:rsidR="00000000" w:rsidRDefault="00527094">
            <w:pPr>
              <w:jc w:val="right"/>
              <w:rPr>
                <w:rFonts w:eastAsia="Times New Roman"/>
                <w:sz w:val="20"/>
                <w:szCs w:val="20"/>
              </w:rPr>
            </w:pPr>
            <w:r>
              <w:rPr>
                <w:rFonts w:eastAsia="Times New Roman"/>
                <w:sz w:val="20"/>
                <w:szCs w:val="20"/>
              </w:rPr>
              <w:t>239.0</w:t>
            </w:r>
          </w:p>
        </w:tc>
        <w:tc>
          <w:tcPr>
            <w:tcW w:w="50" w:type="pct"/>
            <w:shd w:val="clear" w:color="auto" w:fill="FFFFFF"/>
            <w:tcMar>
              <w:top w:w="0" w:type="dxa"/>
              <w:left w:w="0" w:type="dxa"/>
              <w:bottom w:w="45" w:type="dxa"/>
              <w:right w:w="0" w:type="dxa"/>
            </w:tcMar>
            <w:vAlign w:val="bottom"/>
            <w:hideMark/>
          </w:tcPr>
          <w:p w14:paraId="1C9D9EB3" w14:textId="77777777" w:rsidR="00000000" w:rsidRDefault="00527094">
            <w:pPr>
              <w:rPr>
                <w:rFonts w:eastAsia="Times New Roman"/>
                <w:sz w:val="20"/>
                <w:szCs w:val="20"/>
              </w:rPr>
            </w:pPr>
            <w:r>
              <w:rPr>
                <w:rFonts w:eastAsia="Times New Roman"/>
                <w:sz w:val="20"/>
                <w:szCs w:val="20"/>
              </w:rPr>
              <w:t> </w:t>
            </w:r>
          </w:p>
        </w:tc>
      </w:tr>
      <w:tr w:rsidR="00000000" w14:paraId="295D66AB" w14:textId="77777777">
        <w:trPr>
          <w:tblCellSpacing w:w="0" w:type="dxa"/>
        </w:trPr>
        <w:tc>
          <w:tcPr>
            <w:tcW w:w="3100" w:type="pct"/>
            <w:shd w:val="clear" w:color="auto" w:fill="CCEEFF"/>
            <w:vAlign w:val="bottom"/>
            <w:hideMark/>
          </w:tcPr>
          <w:p w14:paraId="0DDDE1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20CA4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FD23BE"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25105F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5EBBA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52F2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1DCA5F"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8E987E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10CB8C" w14:textId="77777777" w:rsidR="00000000" w:rsidRDefault="00527094">
            <w:pPr>
              <w:rPr>
                <w:rFonts w:eastAsia="Times New Roman"/>
                <w:sz w:val="20"/>
                <w:szCs w:val="20"/>
              </w:rPr>
            </w:pPr>
            <w:r>
              <w:rPr>
                <w:rFonts w:eastAsia="Times New Roman"/>
                <w:sz w:val="20"/>
                <w:szCs w:val="20"/>
              </w:rPr>
              <w:t> </w:t>
            </w:r>
          </w:p>
        </w:tc>
      </w:tr>
      <w:tr w:rsidR="00000000" w14:paraId="46F9934E" w14:textId="77777777">
        <w:trPr>
          <w:tblCellSpacing w:w="0" w:type="dxa"/>
        </w:trPr>
        <w:tc>
          <w:tcPr>
            <w:tcW w:w="3100" w:type="pct"/>
            <w:shd w:val="clear" w:color="auto" w:fill="FFFFFF"/>
            <w:vAlign w:val="bottom"/>
            <w:hideMark/>
          </w:tcPr>
          <w:p w14:paraId="7F38796C" w14:textId="77777777" w:rsidR="00000000" w:rsidRDefault="00527094">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14:paraId="3497132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C5AC3C"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46D4C1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0C12F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3FC7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E4914D"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AA733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6FB182" w14:textId="77777777" w:rsidR="00000000" w:rsidRDefault="00527094">
            <w:pPr>
              <w:rPr>
                <w:rFonts w:eastAsia="Times New Roman"/>
                <w:sz w:val="20"/>
                <w:szCs w:val="20"/>
              </w:rPr>
            </w:pPr>
            <w:r>
              <w:rPr>
                <w:rFonts w:eastAsia="Times New Roman"/>
                <w:sz w:val="20"/>
                <w:szCs w:val="20"/>
              </w:rPr>
              <w:t> </w:t>
            </w:r>
          </w:p>
        </w:tc>
      </w:tr>
      <w:tr w:rsidR="00000000" w14:paraId="12B7D27E" w14:textId="77777777">
        <w:trPr>
          <w:tblCellSpacing w:w="0" w:type="dxa"/>
        </w:trPr>
        <w:tc>
          <w:tcPr>
            <w:tcW w:w="3100" w:type="pct"/>
            <w:shd w:val="clear" w:color="auto" w:fill="CCEEFF"/>
            <w:vAlign w:val="bottom"/>
            <w:hideMark/>
          </w:tcPr>
          <w:p w14:paraId="6F94F152" w14:textId="77777777" w:rsidR="00000000" w:rsidRDefault="00527094">
            <w:pPr>
              <w:pStyle w:val="a3"/>
              <w:spacing w:before="0" w:beforeAutospacing="0" w:after="0" w:afterAutospacing="0"/>
              <w:ind w:left="180"/>
              <w:rPr>
                <w:sz w:val="20"/>
                <w:szCs w:val="20"/>
              </w:rPr>
            </w:pPr>
            <w:r>
              <w:rPr>
                <w:sz w:val="20"/>
                <w:szCs w:val="20"/>
              </w:rPr>
              <w:t>Mortgages and construction loan payable, net</w:t>
            </w:r>
          </w:p>
        </w:tc>
        <w:tc>
          <w:tcPr>
            <w:tcW w:w="50" w:type="pct"/>
            <w:shd w:val="clear" w:color="auto" w:fill="CCEEFF"/>
            <w:vAlign w:val="bottom"/>
            <w:hideMark/>
          </w:tcPr>
          <w:p w14:paraId="3FFADCC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F3F5FD" w14:textId="77777777" w:rsidR="00000000" w:rsidRDefault="00527094">
            <w:pPr>
              <w:rPr>
                <w:rFonts w:eastAsia="Times New Roman"/>
                <w:sz w:val="20"/>
                <w:szCs w:val="20"/>
              </w:rPr>
            </w:pPr>
            <w:r>
              <w:rPr>
                <w:rFonts w:eastAsia="Times New Roman"/>
                <w:sz w:val="20"/>
                <w:szCs w:val="20"/>
              </w:rPr>
              <w:t>$</w:t>
            </w:r>
          </w:p>
        </w:tc>
        <w:tc>
          <w:tcPr>
            <w:tcW w:w="800" w:type="pct"/>
            <w:shd w:val="clear" w:color="auto" w:fill="CCEEFF"/>
            <w:vAlign w:val="bottom"/>
            <w:hideMark/>
          </w:tcPr>
          <w:p w14:paraId="4B30B9E2" w14:textId="77777777" w:rsidR="00000000" w:rsidRDefault="00527094">
            <w:pPr>
              <w:jc w:val="right"/>
              <w:rPr>
                <w:rFonts w:eastAsia="Times New Roman"/>
                <w:sz w:val="20"/>
                <w:szCs w:val="20"/>
              </w:rPr>
            </w:pPr>
            <w:r>
              <w:rPr>
                <w:rFonts w:eastAsia="Times New Roman"/>
                <w:sz w:val="20"/>
                <w:szCs w:val="20"/>
              </w:rPr>
              <w:t>89.3</w:t>
            </w:r>
          </w:p>
        </w:tc>
        <w:tc>
          <w:tcPr>
            <w:tcW w:w="50" w:type="pct"/>
            <w:shd w:val="clear" w:color="auto" w:fill="CCEEFF"/>
            <w:vAlign w:val="bottom"/>
            <w:hideMark/>
          </w:tcPr>
          <w:p w14:paraId="2757FE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BECD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DDA5F3" w14:textId="77777777" w:rsidR="00000000" w:rsidRDefault="00527094">
            <w:pPr>
              <w:rPr>
                <w:rFonts w:eastAsia="Times New Roman"/>
                <w:sz w:val="20"/>
                <w:szCs w:val="20"/>
              </w:rPr>
            </w:pPr>
            <w:r>
              <w:rPr>
                <w:rFonts w:eastAsia="Times New Roman"/>
                <w:sz w:val="20"/>
                <w:szCs w:val="20"/>
              </w:rPr>
              <w:t>$</w:t>
            </w:r>
          </w:p>
        </w:tc>
        <w:tc>
          <w:tcPr>
            <w:tcW w:w="800" w:type="pct"/>
            <w:shd w:val="clear" w:color="auto" w:fill="CCEEFF"/>
            <w:vAlign w:val="bottom"/>
            <w:hideMark/>
          </w:tcPr>
          <w:p w14:paraId="59343304" w14:textId="77777777" w:rsidR="00000000" w:rsidRDefault="00527094">
            <w:pPr>
              <w:jc w:val="right"/>
              <w:rPr>
                <w:rFonts w:eastAsia="Times New Roman"/>
                <w:sz w:val="20"/>
                <w:szCs w:val="20"/>
              </w:rPr>
            </w:pPr>
            <w:r>
              <w:rPr>
                <w:rFonts w:eastAsia="Times New Roman"/>
                <w:sz w:val="20"/>
                <w:szCs w:val="20"/>
              </w:rPr>
              <w:t>83.8</w:t>
            </w:r>
          </w:p>
        </w:tc>
        <w:tc>
          <w:tcPr>
            <w:tcW w:w="50" w:type="pct"/>
            <w:shd w:val="clear" w:color="auto" w:fill="CCEEFF"/>
            <w:vAlign w:val="bottom"/>
            <w:hideMark/>
          </w:tcPr>
          <w:p w14:paraId="42961531" w14:textId="77777777" w:rsidR="00000000" w:rsidRDefault="00527094">
            <w:pPr>
              <w:rPr>
                <w:rFonts w:eastAsia="Times New Roman"/>
                <w:sz w:val="20"/>
                <w:szCs w:val="20"/>
              </w:rPr>
            </w:pPr>
            <w:r>
              <w:rPr>
                <w:rFonts w:eastAsia="Times New Roman"/>
                <w:sz w:val="20"/>
                <w:szCs w:val="20"/>
              </w:rPr>
              <w:t> </w:t>
            </w:r>
          </w:p>
        </w:tc>
      </w:tr>
      <w:tr w:rsidR="00000000" w14:paraId="093FFA4C" w14:textId="77777777">
        <w:trPr>
          <w:tblCellSpacing w:w="0" w:type="dxa"/>
        </w:trPr>
        <w:tc>
          <w:tcPr>
            <w:tcW w:w="3100" w:type="pct"/>
            <w:shd w:val="clear" w:color="auto" w:fill="FFFFFF"/>
            <w:vAlign w:val="bottom"/>
            <w:hideMark/>
          </w:tcPr>
          <w:p w14:paraId="3112EF83" w14:textId="77777777" w:rsidR="00000000" w:rsidRDefault="00527094">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14:paraId="3E7B2FDC"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6E7D867"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576593D9" w14:textId="77777777" w:rsidR="00000000" w:rsidRDefault="00527094">
            <w:pPr>
              <w:jc w:val="right"/>
              <w:rPr>
                <w:rFonts w:eastAsia="Times New Roman"/>
                <w:sz w:val="20"/>
                <w:szCs w:val="20"/>
              </w:rPr>
            </w:pPr>
            <w:r>
              <w:rPr>
                <w:rFonts w:eastAsia="Times New Roman"/>
                <w:sz w:val="20"/>
                <w:szCs w:val="20"/>
              </w:rPr>
              <w:t>55.8</w:t>
            </w:r>
          </w:p>
        </w:tc>
        <w:tc>
          <w:tcPr>
            <w:tcW w:w="50" w:type="pct"/>
            <w:shd w:val="clear" w:color="auto" w:fill="FFFFFF"/>
            <w:tcMar>
              <w:top w:w="0" w:type="dxa"/>
              <w:left w:w="0" w:type="dxa"/>
              <w:bottom w:w="15" w:type="dxa"/>
              <w:right w:w="0" w:type="dxa"/>
            </w:tcMar>
            <w:vAlign w:val="bottom"/>
            <w:hideMark/>
          </w:tcPr>
          <w:p w14:paraId="6EE5E1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03F659F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CE5B717"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3ADB1D7" w14:textId="77777777" w:rsidR="00000000" w:rsidRDefault="00527094">
            <w:pPr>
              <w:jc w:val="right"/>
              <w:rPr>
                <w:rFonts w:eastAsia="Times New Roman"/>
                <w:sz w:val="20"/>
                <w:szCs w:val="20"/>
              </w:rPr>
            </w:pPr>
            <w:r>
              <w:rPr>
                <w:rFonts w:eastAsia="Times New Roman"/>
                <w:sz w:val="20"/>
                <w:szCs w:val="20"/>
              </w:rPr>
              <w:t>59.4</w:t>
            </w:r>
          </w:p>
        </w:tc>
        <w:tc>
          <w:tcPr>
            <w:tcW w:w="50" w:type="pct"/>
            <w:shd w:val="clear" w:color="auto" w:fill="FFFFFF"/>
            <w:tcMar>
              <w:top w:w="0" w:type="dxa"/>
              <w:left w:w="0" w:type="dxa"/>
              <w:bottom w:w="15" w:type="dxa"/>
              <w:right w:w="0" w:type="dxa"/>
            </w:tcMar>
            <w:vAlign w:val="bottom"/>
            <w:hideMark/>
          </w:tcPr>
          <w:p w14:paraId="298C5FB2" w14:textId="77777777" w:rsidR="00000000" w:rsidRDefault="00527094">
            <w:pPr>
              <w:rPr>
                <w:rFonts w:eastAsia="Times New Roman"/>
                <w:sz w:val="20"/>
                <w:szCs w:val="20"/>
              </w:rPr>
            </w:pPr>
            <w:r>
              <w:rPr>
                <w:rFonts w:eastAsia="Times New Roman"/>
                <w:sz w:val="20"/>
                <w:szCs w:val="20"/>
              </w:rPr>
              <w:t> </w:t>
            </w:r>
          </w:p>
        </w:tc>
      </w:tr>
      <w:tr w:rsidR="00000000" w14:paraId="4CEC696C" w14:textId="77777777">
        <w:trPr>
          <w:tblCellSpacing w:w="0" w:type="dxa"/>
        </w:trPr>
        <w:tc>
          <w:tcPr>
            <w:tcW w:w="3100" w:type="pct"/>
            <w:shd w:val="clear" w:color="auto" w:fill="CCEEFF"/>
            <w:vAlign w:val="bottom"/>
            <w:hideMark/>
          </w:tcPr>
          <w:p w14:paraId="7671E5C9" w14:textId="77777777" w:rsidR="00000000" w:rsidRDefault="00527094">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14:paraId="0A89485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FA99A1B" w14:textId="77777777" w:rsidR="00000000" w:rsidRDefault="0052709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3889EFDA" w14:textId="77777777" w:rsidR="00000000" w:rsidRDefault="00527094">
            <w:pPr>
              <w:jc w:val="right"/>
              <w:rPr>
                <w:rFonts w:eastAsia="Times New Roman"/>
                <w:sz w:val="20"/>
                <w:szCs w:val="20"/>
              </w:rPr>
            </w:pPr>
            <w:r>
              <w:rPr>
                <w:rFonts w:eastAsia="Times New Roman"/>
                <w:sz w:val="20"/>
                <w:szCs w:val="20"/>
              </w:rPr>
              <w:t>145.1</w:t>
            </w:r>
          </w:p>
        </w:tc>
        <w:tc>
          <w:tcPr>
            <w:tcW w:w="50" w:type="pct"/>
            <w:shd w:val="clear" w:color="auto" w:fill="CCEEFF"/>
            <w:tcMar>
              <w:top w:w="0" w:type="dxa"/>
              <w:left w:w="0" w:type="dxa"/>
              <w:bottom w:w="45" w:type="dxa"/>
              <w:right w:w="0" w:type="dxa"/>
            </w:tcMar>
            <w:vAlign w:val="bottom"/>
            <w:hideMark/>
          </w:tcPr>
          <w:p w14:paraId="1EC3433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F606E5"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0735356" w14:textId="77777777" w:rsidR="00000000" w:rsidRDefault="0052709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7350E367" w14:textId="77777777" w:rsidR="00000000" w:rsidRDefault="00527094">
            <w:pPr>
              <w:jc w:val="right"/>
              <w:rPr>
                <w:rFonts w:eastAsia="Times New Roman"/>
                <w:sz w:val="20"/>
                <w:szCs w:val="20"/>
              </w:rPr>
            </w:pPr>
            <w:r>
              <w:rPr>
                <w:rFonts w:eastAsia="Times New Roman"/>
                <w:sz w:val="20"/>
                <w:szCs w:val="20"/>
              </w:rPr>
              <w:t>143.2</w:t>
            </w:r>
          </w:p>
        </w:tc>
        <w:tc>
          <w:tcPr>
            <w:tcW w:w="50" w:type="pct"/>
            <w:shd w:val="clear" w:color="auto" w:fill="CCEEFF"/>
            <w:tcMar>
              <w:top w:w="0" w:type="dxa"/>
              <w:left w:w="0" w:type="dxa"/>
              <w:bottom w:w="45" w:type="dxa"/>
              <w:right w:w="0" w:type="dxa"/>
            </w:tcMar>
            <w:vAlign w:val="bottom"/>
            <w:hideMark/>
          </w:tcPr>
          <w:p w14:paraId="0130EC78" w14:textId="77777777" w:rsidR="00000000" w:rsidRDefault="00527094">
            <w:pPr>
              <w:rPr>
                <w:rFonts w:eastAsia="Times New Roman"/>
                <w:sz w:val="20"/>
                <w:szCs w:val="20"/>
              </w:rPr>
            </w:pPr>
            <w:r>
              <w:rPr>
                <w:rFonts w:eastAsia="Times New Roman"/>
                <w:sz w:val="20"/>
                <w:szCs w:val="20"/>
              </w:rPr>
              <w:t> </w:t>
            </w:r>
          </w:p>
        </w:tc>
      </w:tr>
    </w:tbl>
    <w:p w14:paraId="2495260F" w14:textId="77777777" w:rsidR="00000000" w:rsidRDefault="00527094">
      <w:pPr>
        <w:pStyle w:val="a3"/>
        <w:spacing w:before="0" w:beforeAutospacing="0" w:after="0" w:afterAutospacing="0"/>
        <w:rPr>
          <w:sz w:val="20"/>
          <w:szCs w:val="20"/>
        </w:rPr>
      </w:pPr>
      <w:r>
        <w:rPr>
          <w:sz w:val="20"/>
          <w:szCs w:val="20"/>
        </w:rPr>
        <w:t> </w:t>
      </w:r>
    </w:p>
    <w:p w14:paraId="08E1D9E1" w14:textId="77777777" w:rsidR="00000000" w:rsidRDefault="00527094">
      <w:pPr>
        <w:divId w:val="1425613027"/>
        <w:rPr>
          <w:rFonts w:eastAsia="Times New Roman"/>
          <w:sz w:val="20"/>
          <w:szCs w:val="20"/>
        </w:rPr>
      </w:pPr>
      <w:r>
        <w:rPr>
          <w:rFonts w:eastAsia="Times New Roman"/>
          <w:sz w:val="20"/>
          <w:szCs w:val="20"/>
        </w:rPr>
        <w:t xml:space="preserve">  </w:t>
      </w:r>
    </w:p>
    <w:p w14:paraId="5B704AB4" w14:textId="77777777" w:rsidR="00000000" w:rsidRDefault="00527094">
      <w:pPr>
        <w:pStyle w:val="a3"/>
        <w:spacing w:before="0" w:beforeAutospacing="0" w:after="0" w:afterAutospacing="0"/>
        <w:rPr>
          <w:sz w:val="20"/>
          <w:szCs w:val="20"/>
        </w:rPr>
      </w:pPr>
      <w:r>
        <w:rPr>
          <w:rStyle w:val="a6"/>
          <w:i w:val="0"/>
          <w:iCs w:val="0"/>
          <w:sz w:val="20"/>
          <w:szCs w:val="20"/>
        </w:rPr>
        <w:t>12.</w:t>
      </w:r>
      <w:r>
        <w:rPr>
          <w:sz w:val="20"/>
          <w:szCs w:val="20"/>
        </w:rPr>
        <w:t xml:space="preserve"> </w:t>
      </w:r>
      <w:r>
        <w:rPr>
          <w:sz w:val="20"/>
          <w:szCs w:val="20"/>
          <w:u w:val="single"/>
        </w:rPr>
        <w:t>Fair Value Measurements</w:t>
      </w:r>
    </w:p>
    <w:p w14:paraId="7DEEBD8B" w14:textId="77777777" w:rsidR="00000000" w:rsidRDefault="00527094">
      <w:pPr>
        <w:pStyle w:val="a3"/>
        <w:spacing w:before="0" w:beforeAutospacing="0" w:after="0" w:afterAutospacing="0"/>
        <w:jc w:val="both"/>
        <w:rPr>
          <w:sz w:val="20"/>
          <w:szCs w:val="20"/>
        </w:rPr>
      </w:pPr>
      <w:r>
        <w:rPr>
          <w:sz w:val="20"/>
          <w:szCs w:val="20"/>
        </w:rPr>
        <w:t> </w:t>
      </w:r>
    </w:p>
    <w:p w14:paraId="4AEA7BC0" w14:textId="77777777" w:rsidR="00000000" w:rsidRDefault="00527094">
      <w:pPr>
        <w:pStyle w:val="a3"/>
        <w:spacing w:before="0" w:beforeAutospacing="0" w:after="0" w:afterAutospacing="0"/>
        <w:ind w:firstLine="36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includ</w:t>
      </w:r>
      <w:r>
        <w:rPr>
          <w:sz w:val="20"/>
          <w:szCs w:val="20"/>
        </w:rPr>
        <w:t>e credit spreads, market yield curves, trading activity, loan amounts and debt maturities. The fair values for marketable securities are based on published values, securities dealers’ estimated market values or comparable market sales. Such fair value esti</w:t>
      </w:r>
      <w:r>
        <w:rPr>
          <w:sz w:val="20"/>
          <w:szCs w:val="20"/>
        </w:rPr>
        <w:t>mates are</w:t>
      </w:r>
      <w:r>
        <w:rPr>
          <w:sz w:val="20"/>
          <w:szCs w:val="20"/>
        </w:rPr>
        <w:t xml:space="preserve"> </w:t>
      </w:r>
      <w:r>
        <w:rPr>
          <w:rStyle w:val="a6"/>
          <w:i w:val="0"/>
          <w:iCs w:val="0"/>
          <w:sz w:val="20"/>
          <w:szCs w:val="20"/>
        </w:rPr>
        <w:t>not</w:t>
      </w:r>
      <w:r>
        <w:rPr>
          <w:sz w:val="20"/>
          <w:szCs w:val="20"/>
        </w:rPr>
        <w:t xml:space="preserve"> necessarily indicative of the amounts that would be realized upon disposition.</w:t>
      </w:r>
    </w:p>
    <w:p w14:paraId="209A5124" w14:textId="77777777" w:rsidR="00000000" w:rsidRDefault="00527094">
      <w:pPr>
        <w:pStyle w:val="a3"/>
        <w:spacing w:before="0" w:beforeAutospacing="0" w:after="0" w:afterAutospacing="0"/>
        <w:ind w:left="360"/>
        <w:jc w:val="both"/>
        <w:rPr>
          <w:sz w:val="20"/>
          <w:szCs w:val="20"/>
        </w:rPr>
      </w:pPr>
      <w:r>
        <w:rPr>
          <w:sz w:val="20"/>
          <w:szCs w:val="20"/>
        </w:rPr>
        <w:t> </w:t>
      </w:r>
    </w:p>
    <w:p w14:paraId="5B278421" w14:textId="77777777" w:rsidR="00000000" w:rsidRDefault="00527094">
      <w:pPr>
        <w:pStyle w:val="a3"/>
        <w:spacing w:before="0" w:beforeAutospacing="0" w:after="0" w:afterAutospacing="0"/>
        <w:ind w:firstLine="360"/>
        <w:jc w:val="both"/>
        <w:rPr>
          <w:sz w:val="20"/>
          <w:szCs w:val="20"/>
        </w:rPr>
      </w:pPr>
      <w:r>
        <w:rPr>
          <w:sz w:val="20"/>
          <w:szCs w:val="20"/>
        </w:rPr>
        <w:t>As a basis for considering market participant assumptions in fair value measurements, the FASB’s Fair Value Measurements and Disclosures guidance establishes a f</w:t>
      </w:r>
      <w:r>
        <w:rPr>
          <w:sz w:val="20"/>
          <w:szCs w:val="20"/>
        </w:rPr>
        <w:t>air value hierarchy that distinguishes between market participant assumptions based on market data obtained from sources independent of the reporting entity (observable inputs that are classified within Levels</w:t>
      </w:r>
      <w:r>
        <w:rPr>
          <w:sz w:val="20"/>
          <w:szCs w:val="20"/>
        </w:rPr>
        <w:t xml:space="preserve"> </w:t>
      </w:r>
      <w:r>
        <w:rPr>
          <w:rStyle w:val="a6"/>
          <w:i w:val="0"/>
          <w:iCs w:val="0"/>
          <w:sz w:val="20"/>
          <w:szCs w:val="20"/>
        </w:rPr>
        <w:t>1</w:t>
      </w:r>
      <w:r>
        <w:rPr>
          <w:sz w:val="20"/>
          <w:szCs w:val="20"/>
        </w:rPr>
        <w:t xml:space="preserve"> and</w:t>
      </w:r>
      <w:r>
        <w:rPr>
          <w:sz w:val="20"/>
          <w:szCs w:val="20"/>
        </w:rPr>
        <w:t xml:space="preserve"> </w:t>
      </w:r>
      <w:r>
        <w:rPr>
          <w:rStyle w:val="a6"/>
          <w:i w:val="0"/>
          <w:iCs w:val="0"/>
          <w:sz w:val="20"/>
          <w:szCs w:val="20"/>
        </w:rPr>
        <w:t>2</w:t>
      </w:r>
      <w:r>
        <w:rPr>
          <w:sz w:val="20"/>
          <w:szCs w:val="20"/>
        </w:rPr>
        <w:t xml:space="preserve"> of the hierarchy) and the reporting en</w:t>
      </w:r>
      <w:r>
        <w:rPr>
          <w:sz w:val="20"/>
          <w:szCs w:val="20"/>
        </w:rPr>
        <w:t>tity’s own assumptions about market participant assumptions (unobservable inputs classified within Level</w:t>
      </w:r>
      <w:r>
        <w:rPr>
          <w:sz w:val="20"/>
          <w:szCs w:val="20"/>
        </w:rPr>
        <w:t xml:space="preserve"> </w:t>
      </w:r>
      <w:r>
        <w:rPr>
          <w:rStyle w:val="a6"/>
          <w:i w:val="0"/>
          <w:iCs w:val="0"/>
          <w:sz w:val="20"/>
          <w:szCs w:val="20"/>
        </w:rPr>
        <w:t>3</w:t>
      </w:r>
      <w:r>
        <w:rPr>
          <w:sz w:val="20"/>
          <w:szCs w:val="20"/>
        </w:rPr>
        <w:t xml:space="preserve"> of the hierarchy).</w:t>
      </w:r>
    </w:p>
    <w:p w14:paraId="1604CCB8" w14:textId="77777777" w:rsidR="00000000" w:rsidRDefault="00527094">
      <w:pPr>
        <w:pStyle w:val="a3"/>
        <w:spacing w:before="0" w:beforeAutospacing="0" w:after="0" w:afterAutospacing="0"/>
        <w:ind w:left="360"/>
        <w:jc w:val="both"/>
        <w:rPr>
          <w:sz w:val="20"/>
          <w:szCs w:val="20"/>
        </w:rPr>
      </w:pPr>
      <w:r>
        <w:rPr>
          <w:sz w:val="20"/>
          <w:szCs w:val="20"/>
        </w:rPr>
        <w:t> </w:t>
      </w:r>
    </w:p>
    <w:p w14:paraId="512E6371" w14:textId="77777777" w:rsidR="00000000" w:rsidRDefault="00527094">
      <w:pPr>
        <w:pStyle w:val="a3"/>
        <w:spacing w:before="0" w:beforeAutospacing="0" w:after="0" w:afterAutospacing="0"/>
        <w:ind w:firstLine="360"/>
        <w:jc w:val="both"/>
        <w:rPr>
          <w:sz w:val="20"/>
          <w:szCs w:val="20"/>
        </w:rPr>
      </w:pPr>
      <w:r>
        <w:rPr>
          <w:sz w:val="20"/>
          <w:szCs w:val="20"/>
        </w:rPr>
        <w:t>The following are financial instruments for which the Company’s estimated fair value differs from the carrying value (in thousan</w:t>
      </w:r>
      <w:r>
        <w:rPr>
          <w:sz w:val="20"/>
          <w:szCs w:val="20"/>
        </w:rPr>
        <w:t>ds):</w:t>
      </w:r>
    </w:p>
    <w:p w14:paraId="7BA9D385"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8"/>
        <w:gridCol w:w="52"/>
        <w:gridCol w:w="100"/>
        <w:gridCol w:w="800"/>
        <w:gridCol w:w="52"/>
        <w:gridCol w:w="52"/>
        <w:gridCol w:w="100"/>
        <w:gridCol w:w="800"/>
        <w:gridCol w:w="52"/>
        <w:gridCol w:w="52"/>
        <w:gridCol w:w="100"/>
        <w:gridCol w:w="800"/>
        <w:gridCol w:w="52"/>
        <w:gridCol w:w="53"/>
        <w:gridCol w:w="100"/>
        <w:gridCol w:w="800"/>
        <w:gridCol w:w="53"/>
      </w:tblGrid>
      <w:tr w:rsidR="00000000" w14:paraId="2F0EE1B8" w14:textId="77777777">
        <w:trPr>
          <w:tblCellSpacing w:w="0" w:type="dxa"/>
        </w:trPr>
        <w:tc>
          <w:tcPr>
            <w:tcW w:w="0" w:type="auto"/>
            <w:vAlign w:val="bottom"/>
            <w:hideMark/>
          </w:tcPr>
          <w:p w14:paraId="3D247D9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BF3EA3E"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76E302E"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793B1E8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C0E8491"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0400ADFC" w14:textId="77777777" w:rsidR="00000000" w:rsidRDefault="00527094">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291F410A" w14:textId="77777777" w:rsidR="00000000" w:rsidRDefault="00527094">
            <w:pPr>
              <w:rPr>
                <w:rFonts w:eastAsia="Times New Roman"/>
                <w:sz w:val="20"/>
                <w:szCs w:val="20"/>
              </w:rPr>
            </w:pPr>
            <w:r>
              <w:rPr>
                <w:rFonts w:eastAsia="Times New Roman"/>
                <w:sz w:val="20"/>
                <w:szCs w:val="20"/>
              </w:rPr>
              <w:t> </w:t>
            </w:r>
          </w:p>
        </w:tc>
      </w:tr>
      <w:tr w:rsidR="00000000" w14:paraId="388E58B2" w14:textId="77777777">
        <w:trPr>
          <w:tblCellSpacing w:w="0" w:type="dxa"/>
        </w:trPr>
        <w:tc>
          <w:tcPr>
            <w:tcW w:w="0" w:type="auto"/>
            <w:vAlign w:val="bottom"/>
            <w:hideMark/>
          </w:tcPr>
          <w:p w14:paraId="68F6157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3A1D32A"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22ECBCC" w14:textId="77777777" w:rsidR="00000000" w:rsidRDefault="00527094">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484D2D4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3CE99F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7F47F47" w14:textId="77777777" w:rsidR="00000000" w:rsidRDefault="0052709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39C3A0A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0F6388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0E34612" w14:textId="77777777" w:rsidR="00000000" w:rsidRDefault="00527094">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4A03EEC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3EBA0F5"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18AA2FB" w14:textId="77777777" w:rsidR="00000000" w:rsidRDefault="0052709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4E9B5811" w14:textId="77777777" w:rsidR="00000000" w:rsidRDefault="00527094">
            <w:pPr>
              <w:rPr>
                <w:rFonts w:eastAsia="Times New Roman"/>
                <w:sz w:val="20"/>
                <w:szCs w:val="20"/>
              </w:rPr>
            </w:pPr>
            <w:r>
              <w:rPr>
                <w:rFonts w:eastAsia="Times New Roman"/>
                <w:sz w:val="20"/>
                <w:szCs w:val="20"/>
              </w:rPr>
              <w:t> </w:t>
            </w:r>
          </w:p>
        </w:tc>
      </w:tr>
      <w:tr w:rsidR="00000000" w14:paraId="3DF47317" w14:textId="77777777">
        <w:trPr>
          <w:tblCellSpacing w:w="0" w:type="dxa"/>
        </w:trPr>
        <w:tc>
          <w:tcPr>
            <w:tcW w:w="2600" w:type="pct"/>
            <w:shd w:val="clear" w:color="auto" w:fill="CCEEFF"/>
            <w:vAlign w:val="bottom"/>
            <w:hideMark/>
          </w:tcPr>
          <w:p w14:paraId="47ED7A4F" w14:textId="77777777" w:rsidR="00000000" w:rsidRDefault="00527094">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14:paraId="7C79F3C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D89F348"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046F0D7" w14:textId="77777777" w:rsidR="00000000" w:rsidRDefault="00527094">
            <w:pPr>
              <w:jc w:val="right"/>
              <w:rPr>
                <w:rFonts w:eastAsia="Times New Roman"/>
                <w:sz w:val="20"/>
                <w:szCs w:val="20"/>
              </w:rPr>
            </w:pPr>
            <w:r>
              <w:rPr>
                <w:rFonts w:eastAsia="Times New Roman"/>
                <w:sz w:val="20"/>
                <w:szCs w:val="20"/>
              </w:rPr>
              <w:t>4,420,370</w:t>
            </w:r>
          </w:p>
        </w:tc>
        <w:tc>
          <w:tcPr>
            <w:tcW w:w="50" w:type="pct"/>
            <w:shd w:val="clear" w:color="auto" w:fill="CCEEFF"/>
            <w:tcMar>
              <w:top w:w="0" w:type="dxa"/>
              <w:left w:w="0" w:type="dxa"/>
              <w:bottom w:w="45" w:type="dxa"/>
              <w:right w:w="0" w:type="dxa"/>
            </w:tcMar>
            <w:vAlign w:val="bottom"/>
            <w:hideMark/>
          </w:tcPr>
          <w:p w14:paraId="1C9240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B9756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2DAE44A"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274B0DE" w14:textId="77777777" w:rsidR="00000000" w:rsidRDefault="00527094">
            <w:pPr>
              <w:jc w:val="right"/>
              <w:rPr>
                <w:rFonts w:eastAsia="Times New Roman"/>
                <w:sz w:val="20"/>
                <w:szCs w:val="20"/>
              </w:rPr>
            </w:pPr>
            <w:r>
              <w:rPr>
                <w:rFonts w:eastAsia="Times New Roman"/>
                <w:sz w:val="20"/>
                <w:szCs w:val="20"/>
              </w:rPr>
              <w:t>4,484,767</w:t>
            </w:r>
          </w:p>
        </w:tc>
        <w:tc>
          <w:tcPr>
            <w:tcW w:w="50" w:type="pct"/>
            <w:shd w:val="clear" w:color="auto" w:fill="CCEEFF"/>
            <w:tcMar>
              <w:top w:w="0" w:type="dxa"/>
              <w:left w:w="0" w:type="dxa"/>
              <w:bottom w:w="45" w:type="dxa"/>
              <w:right w:w="0" w:type="dxa"/>
            </w:tcMar>
            <w:vAlign w:val="bottom"/>
            <w:hideMark/>
          </w:tcPr>
          <w:p w14:paraId="21B2012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E2FA1A"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2A1957B"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BF067F4" w14:textId="77777777" w:rsidR="00000000" w:rsidRDefault="00527094">
            <w:pPr>
              <w:jc w:val="right"/>
              <w:rPr>
                <w:rFonts w:eastAsia="Times New Roman"/>
                <w:sz w:val="20"/>
                <w:szCs w:val="20"/>
              </w:rPr>
            </w:pPr>
            <w:r>
              <w:rPr>
                <w:rFonts w:eastAsia="Times New Roman"/>
                <w:sz w:val="20"/>
                <w:szCs w:val="20"/>
              </w:rPr>
              <w:t>4,381,456</w:t>
            </w:r>
          </w:p>
        </w:tc>
        <w:tc>
          <w:tcPr>
            <w:tcW w:w="50" w:type="pct"/>
            <w:shd w:val="clear" w:color="auto" w:fill="CCEEFF"/>
            <w:tcMar>
              <w:top w:w="0" w:type="dxa"/>
              <w:left w:w="0" w:type="dxa"/>
              <w:bottom w:w="45" w:type="dxa"/>
              <w:right w:w="0" w:type="dxa"/>
            </w:tcMar>
            <w:vAlign w:val="bottom"/>
            <w:hideMark/>
          </w:tcPr>
          <w:p w14:paraId="70D0AE1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B2A562"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07F66F6"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29DB459" w14:textId="77777777" w:rsidR="00000000" w:rsidRDefault="00527094">
            <w:pPr>
              <w:jc w:val="right"/>
              <w:rPr>
                <w:rFonts w:eastAsia="Times New Roman"/>
                <w:sz w:val="20"/>
                <w:szCs w:val="20"/>
              </w:rPr>
            </w:pPr>
            <w:r>
              <w:rPr>
                <w:rFonts w:eastAsia="Times New Roman"/>
                <w:sz w:val="20"/>
                <w:szCs w:val="20"/>
              </w:rPr>
              <w:t>4,126,450</w:t>
            </w:r>
          </w:p>
        </w:tc>
        <w:tc>
          <w:tcPr>
            <w:tcW w:w="50" w:type="pct"/>
            <w:shd w:val="clear" w:color="auto" w:fill="CCEEFF"/>
            <w:tcMar>
              <w:top w:w="0" w:type="dxa"/>
              <w:left w:w="0" w:type="dxa"/>
              <w:bottom w:w="45" w:type="dxa"/>
              <w:right w:w="0" w:type="dxa"/>
            </w:tcMar>
            <w:vAlign w:val="bottom"/>
            <w:hideMark/>
          </w:tcPr>
          <w:p w14:paraId="171C9107" w14:textId="77777777" w:rsidR="00000000" w:rsidRDefault="00527094">
            <w:pPr>
              <w:rPr>
                <w:rFonts w:eastAsia="Times New Roman"/>
                <w:sz w:val="20"/>
                <w:szCs w:val="20"/>
              </w:rPr>
            </w:pPr>
            <w:r>
              <w:rPr>
                <w:rFonts w:eastAsia="Times New Roman"/>
                <w:sz w:val="20"/>
                <w:szCs w:val="20"/>
              </w:rPr>
              <w:t> </w:t>
            </w:r>
          </w:p>
        </w:tc>
      </w:tr>
      <w:tr w:rsidR="00000000" w14:paraId="57B47E6C" w14:textId="77777777">
        <w:trPr>
          <w:tblCellSpacing w:w="0" w:type="dxa"/>
        </w:trPr>
        <w:tc>
          <w:tcPr>
            <w:tcW w:w="0" w:type="auto"/>
            <w:shd w:val="clear" w:color="auto" w:fill="FFFFFF"/>
            <w:vAlign w:val="bottom"/>
            <w:hideMark/>
          </w:tcPr>
          <w:p w14:paraId="65F00003" w14:textId="77777777" w:rsidR="00000000" w:rsidRDefault="00527094">
            <w:pPr>
              <w:pStyle w:val="a3"/>
              <w:spacing w:before="0" w:beforeAutospacing="0" w:after="0" w:afterAutospacing="0"/>
              <w:rPr>
                <w:sz w:val="20"/>
                <w:szCs w:val="20"/>
              </w:rPr>
            </w:pPr>
            <w:r>
              <w:rPr>
                <w:sz w:val="20"/>
                <w:szCs w:val="20"/>
              </w:rPr>
              <w:t>Mortgages and construction loan payable, net (2)</w:t>
            </w:r>
          </w:p>
        </w:tc>
        <w:tc>
          <w:tcPr>
            <w:tcW w:w="50" w:type="pct"/>
            <w:shd w:val="clear" w:color="auto" w:fill="FFFFFF"/>
            <w:vAlign w:val="bottom"/>
            <w:hideMark/>
          </w:tcPr>
          <w:p w14:paraId="433D57F2"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363A520"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0C277AB" w14:textId="77777777" w:rsidR="00000000" w:rsidRDefault="00527094">
            <w:pPr>
              <w:jc w:val="right"/>
              <w:rPr>
                <w:rFonts w:eastAsia="Times New Roman"/>
                <w:sz w:val="20"/>
                <w:szCs w:val="20"/>
              </w:rPr>
            </w:pPr>
            <w:r>
              <w:rPr>
                <w:rFonts w:eastAsia="Times New Roman"/>
                <w:sz w:val="20"/>
                <w:szCs w:val="20"/>
              </w:rPr>
              <w:t>485,132</w:t>
            </w:r>
          </w:p>
        </w:tc>
        <w:tc>
          <w:tcPr>
            <w:tcW w:w="50" w:type="pct"/>
            <w:shd w:val="clear" w:color="auto" w:fill="FFFFFF"/>
            <w:tcMar>
              <w:top w:w="0" w:type="dxa"/>
              <w:left w:w="0" w:type="dxa"/>
              <w:bottom w:w="45" w:type="dxa"/>
              <w:right w:w="0" w:type="dxa"/>
            </w:tcMar>
            <w:vAlign w:val="bottom"/>
            <w:hideMark/>
          </w:tcPr>
          <w:p w14:paraId="7F75BA0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6F8A3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C1760BC"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7E701EF" w14:textId="77777777" w:rsidR="00000000" w:rsidRDefault="00527094">
            <w:pPr>
              <w:jc w:val="right"/>
              <w:rPr>
                <w:rFonts w:eastAsia="Times New Roman"/>
                <w:sz w:val="20"/>
                <w:szCs w:val="20"/>
              </w:rPr>
            </w:pPr>
            <w:r>
              <w:rPr>
                <w:rFonts w:eastAsia="Times New Roman"/>
                <w:sz w:val="20"/>
                <w:szCs w:val="20"/>
              </w:rPr>
              <w:t>487,889</w:t>
            </w:r>
          </w:p>
        </w:tc>
        <w:tc>
          <w:tcPr>
            <w:tcW w:w="50" w:type="pct"/>
            <w:shd w:val="clear" w:color="auto" w:fill="FFFFFF"/>
            <w:tcMar>
              <w:top w:w="0" w:type="dxa"/>
              <w:left w:w="0" w:type="dxa"/>
              <w:bottom w:w="45" w:type="dxa"/>
              <w:right w:w="0" w:type="dxa"/>
            </w:tcMar>
            <w:vAlign w:val="bottom"/>
            <w:hideMark/>
          </w:tcPr>
          <w:p w14:paraId="54420E8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354A8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879214A"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09FF0494" w14:textId="77777777" w:rsidR="00000000" w:rsidRDefault="00527094">
            <w:pPr>
              <w:jc w:val="right"/>
              <w:rPr>
                <w:rFonts w:eastAsia="Times New Roman"/>
                <w:sz w:val="20"/>
                <w:szCs w:val="20"/>
              </w:rPr>
            </w:pPr>
            <w:r>
              <w:rPr>
                <w:rFonts w:eastAsia="Times New Roman"/>
                <w:sz w:val="20"/>
                <w:szCs w:val="20"/>
              </w:rPr>
              <w:t>492,416</w:t>
            </w:r>
          </w:p>
        </w:tc>
        <w:tc>
          <w:tcPr>
            <w:tcW w:w="50" w:type="pct"/>
            <w:shd w:val="clear" w:color="auto" w:fill="FFFFFF"/>
            <w:tcMar>
              <w:top w:w="0" w:type="dxa"/>
              <w:left w:w="0" w:type="dxa"/>
              <w:bottom w:w="45" w:type="dxa"/>
              <w:right w:w="0" w:type="dxa"/>
            </w:tcMar>
            <w:vAlign w:val="bottom"/>
            <w:hideMark/>
          </w:tcPr>
          <w:p w14:paraId="175F5C7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69F0C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46F60F"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C5A6947" w14:textId="77777777" w:rsidR="00000000" w:rsidRDefault="00527094">
            <w:pPr>
              <w:jc w:val="right"/>
              <w:rPr>
                <w:rFonts w:eastAsia="Times New Roman"/>
                <w:sz w:val="20"/>
                <w:szCs w:val="20"/>
              </w:rPr>
            </w:pPr>
            <w:r>
              <w:rPr>
                <w:rFonts w:eastAsia="Times New Roman"/>
                <w:sz w:val="20"/>
                <w:szCs w:val="20"/>
              </w:rPr>
              <w:t>486,341</w:t>
            </w:r>
          </w:p>
        </w:tc>
        <w:tc>
          <w:tcPr>
            <w:tcW w:w="50" w:type="pct"/>
            <w:shd w:val="clear" w:color="auto" w:fill="FFFFFF"/>
            <w:tcMar>
              <w:top w:w="0" w:type="dxa"/>
              <w:left w:w="0" w:type="dxa"/>
              <w:bottom w:w="45" w:type="dxa"/>
              <w:right w:w="0" w:type="dxa"/>
            </w:tcMar>
            <w:vAlign w:val="bottom"/>
            <w:hideMark/>
          </w:tcPr>
          <w:p w14:paraId="23859BBE" w14:textId="77777777" w:rsidR="00000000" w:rsidRDefault="00527094">
            <w:pPr>
              <w:rPr>
                <w:rFonts w:eastAsia="Times New Roman"/>
                <w:sz w:val="20"/>
                <w:szCs w:val="20"/>
              </w:rPr>
            </w:pPr>
            <w:r>
              <w:rPr>
                <w:rFonts w:eastAsia="Times New Roman"/>
                <w:sz w:val="20"/>
                <w:szCs w:val="20"/>
              </w:rPr>
              <w:t> </w:t>
            </w:r>
          </w:p>
        </w:tc>
      </w:tr>
    </w:tbl>
    <w:p w14:paraId="4262CA21" w14:textId="77777777" w:rsidR="00000000" w:rsidRDefault="0052709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2B87BDC" w14:textId="77777777">
        <w:trPr>
          <w:tblCellSpacing w:w="0" w:type="dxa"/>
        </w:trPr>
        <w:tc>
          <w:tcPr>
            <w:tcW w:w="360" w:type="dxa"/>
            <w:vAlign w:val="center"/>
            <w:hideMark/>
          </w:tcPr>
          <w:p w14:paraId="62F1261C" w14:textId="77777777" w:rsidR="00000000" w:rsidRDefault="00527094">
            <w:pPr>
              <w:rPr>
                <w:rFonts w:eastAsia="Times New Roman"/>
                <w:sz w:val="20"/>
                <w:szCs w:val="20"/>
              </w:rPr>
            </w:pPr>
            <w:r>
              <w:rPr>
                <w:rFonts w:eastAsia="Times New Roman"/>
                <w:sz w:val="20"/>
                <w:szCs w:val="20"/>
              </w:rPr>
              <w:t> </w:t>
            </w:r>
          </w:p>
        </w:tc>
        <w:tc>
          <w:tcPr>
            <w:tcW w:w="360" w:type="dxa"/>
            <w:hideMark/>
          </w:tcPr>
          <w:p w14:paraId="584FDD02"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0ADE7198" w14:textId="77777777" w:rsidR="00000000" w:rsidRDefault="00527094">
            <w:pPr>
              <w:pStyle w:val="a3"/>
              <w:spacing w:before="0" w:beforeAutospacing="0" w:after="0" w:afterAutospacing="0"/>
              <w:jc w:val="both"/>
              <w:rPr>
                <w:sz w:val="20"/>
                <w:szCs w:val="20"/>
              </w:rPr>
            </w:pPr>
            <w:r>
              <w:rPr>
                <w:sz w:val="20"/>
                <w:szCs w:val="20"/>
              </w:rPr>
              <w:t>The Company determined that the valuation of its Senior Unsecured Notes were classified within Level</w:t>
            </w:r>
            <w:r>
              <w:rPr>
                <w:sz w:val="20"/>
                <w:szCs w:val="20"/>
              </w:rPr>
              <w:t xml:space="preserve"> </w:t>
            </w:r>
            <w:r>
              <w:rPr>
                <w:rStyle w:val="a6"/>
                <w:i w:val="0"/>
                <w:iCs w:val="0"/>
                <w:sz w:val="20"/>
                <w:szCs w:val="20"/>
              </w:rPr>
              <w:t>2</w:t>
            </w:r>
            <w:r>
              <w:rPr>
                <w:sz w:val="20"/>
                <w:szCs w:val="20"/>
              </w:rPr>
              <w:t xml:space="preserve"> of the fair value hierarchy and its unsecured revolving credit facility was classified within Level</w:t>
            </w:r>
            <w:r>
              <w:rPr>
                <w:sz w:val="20"/>
                <w:szCs w:val="20"/>
              </w:rPr>
              <w:t xml:space="preserve"> </w:t>
            </w:r>
            <w:r>
              <w:rPr>
                <w:rStyle w:val="a6"/>
                <w:i w:val="0"/>
                <w:iCs w:val="0"/>
                <w:sz w:val="20"/>
                <w:szCs w:val="20"/>
              </w:rPr>
              <w:t>3</w:t>
            </w:r>
            <w:r>
              <w:rPr>
                <w:sz w:val="20"/>
                <w:szCs w:val="20"/>
              </w:rPr>
              <w:t xml:space="preserve"> of the fair value hierarchy. The estimated fair val</w:t>
            </w:r>
            <w:r>
              <w:rPr>
                <w:sz w:val="20"/>
                <w:szCs w:val="20"/>
              </w:rPr>
              <w:t>ue amounts classified as Level</w:t>
            </w:r>
            <w:r>
              <w:rPr>
                <w:sz w:val="20"/>
                <w:szCs w:val="20"/>
              </w:rPr>
              <w:t xml:space="preserve"> </w:t>
            </w:r>
            <w:r>
              <w:rPr>
                <w:rStyle w:val="a6"/>
                <w:i w:val="0"/>
                <w:iCs w:val="0"/>
                <w:sz w:val="20"/>
                <w:szCs w:val="20"/>
              </w:rPr>
              <w:t>2,</w:t>
            </w:r>
            <w:r>
              <w:rPr>
                <w:sz w:val="20"/>
                <w:szCs w:val="20"/>
              </w:rPr>
              <w:t xml:space="preserve"> as of</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were $4.4 billion and $4.0 billion, respectively. The estimated fair value amounts classified as Level</w:t>
            </w:r>
            <w:r>
              <w:rPr>
                <w:sz w:val="20"/>
                <w:szCs w:val="20"/>
              </w:rPr>
              <w:t xml:space="preserve"> </w:t>
            </w:r>
            <w:r>
              <w:rPr>
                <w:rStyle w:val="a6"/>
                <w:i w:val="0"/>
                <w:iCs w:val="0"/>
                <w:sz w:val="20"/>
                <w:szCs w:val="20"/>
              </w:rPr>
              <w:t>3,</w:t>
            </w:r>
            <w:r>
              <w:rPr>
                <w:sz w:val="20"/>
                <w:szCs w:val="20"/>
              </w:rPr>
              <w:t xml:space="preserve"> as of</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 xml:space="preserve">were $133.7 million and $97.6 </w:t>
            </w:r>
            <w:r>
              <w:rPr>
                <w:sz w:val="20"/>
                <w:szCs w:val="20"/>
              </w:rPr>
              <w:t>million, respectively.</w:t>
            </w:r>
          </w:p>
        </w:tc>
      </w:tr>
    </w:tbl>
    <w:p w14:paraId="4A745DC5"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3BCC151" w14:textId="77777777">
        <w:trPr>
          <w:tblCellSpacing w:w="0" w:type="dxa"/>
        </w:trPr>
        <w:tc>
          <w:tcPr>
            <w:tcW w:w="360" w:type="dxa"/>
            <w:vAlign w:val="center"/>
            <w:hideMark/>
          </w:tcPr>
          <w:p w14:paraId="6D3E26E8" w14:textId="77777777" w:rsidR="00000000" w:rsidRDefault="00527094">
            <w:pPr>
              <w:rPr>
                <w:rFonts w:eastAsia="Times New Roman"/>
                <w:sz w:val="20"/>
                <w:szCs w:val="20"/>
              </w:rPr>
            </w:pPr>
            <w:r>
              <w:rPr>
                <w:rFonts w:eastAsia="Times New Roman"/>
                <w:sz w:val="20"/>
                <w:szCs w:val="20"/>
              </w:rPr>
              <w:t> </w:t>
            </w:r>
          </w:p>
        </w:tc>
        <w:tc>
          <w:tcPr>
            <w:tcW w:w="360" w:type="dxa"/>
            <w:hideMark/>
          </w:tcPr>
          <w:p w14:paraId="0467720B"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14:paraId="0F8EC8DF" w14:textId="77777777" w:rsidR="00000000" w:rsidRDefault="00527094">
            <w:pPr>
              <w:pStyle w:val="a3"/>
              <w:spacing w:before="0" w:beforeAutospacing="0" w:after="0" w:afterAutospacing="0"/>
              <w:jc w:val="both"/>
              <w:rPr>
                <w:sz w:val="20"/>
                <w:szCs w:val="20"/>
              </w:rPr>
            </w:pPr>
            <w:r>
              <w:rPr>
                <w:sz w:val="20"/>
                <w:szCs w:val="20"/>
              </w:rPr>
              <w:t>The Company determined that its valuation of its mortgages and construction loan were classified within Level</w:t>
            </w:r>
            <w:r>
              <w:rPr>
                <w:sz w:val="20"/>
                <w:szCs w:val="20"/>
              </w:rPr>
              <w:t xml:space="preserve"> </w:t>
            </w:r>
            <w:r>
              <w:rPr>
                <w:rStyle w:val="a6"/>
                <w:i w:val="0"/>
                <w:iCs w:val="0"/>
                <w:sz w:val="20"/>
                <w:szCs w:val="20"/>
              </w:rPr>
              <w:t>3</w:t>
            </w:r>
            <w:r>
              <w:rPr>
                <w:sz w:val="20"/>
                <w:szCs w:val="20"/>
              </w:rPr>
              <w:t xml:space="preserve"> of the fair value hierarchy. </w:t>
            </w:r>
          </w:p>
        </w:tc>
      </w:tr>
    </w:tbl>
    <w:p w14:paraId="2B512402" w14:textId="77777777" w:rsidR="00000000" w:rsidRDefault="00527094">
      <w:pPr>
        <w:pStyle w:val="a3"/>
        <w:spacing w:before="0" w:beforeAutospacing="0" w:after="0" w:afterAutospacing="0"/>
        <w:jc w:val="both"/>
        <w:rPr>
          <w:sz w:val="20"/>
          <w:szCs w:val="20"/>
        </w:rPr>
      </w:pPr>
      <w:r>
        <w:rPr>
          <w:sz w:val="20"/>
          <w:szCs w:val="20"/>
        </w:rPr>
        <w:t> </w:t>
      </w:r>
    </w:p>
    <w:p w14:paraId="62DF23A3" w14:textId="77777777" w:rsidR="00000000" w:rsidRDefault="00527094">
      <w:pPr>
        <w:pStyle w:val="a3"/>
        <w:spacing w:before="0" w:beforeAutospacing="0" w:after="0" w:afterAutospacing="0"/>
        <w:ind w:firstLine="360"/>
        <w:jc w:val="both"/>
        <w:rPr>
          <w:sz w:val="20"/>
          <w:szCs w:val="20"/>
        </w:rPr>
      </w:pPr>
      <w:r>
        <w:rPr>
          <w:sz w:val="20"/>
          <w:szCs w:val="20"/>
        </w:rPr>
        <w:t>The Company has certain financial instruments that must be measured under the FASB’s Fair Value Measurements and Disclosures guidance, including available for sale securities. The Company currently does</w:t>
      </w:r>
      <w:r>
        <w:rPr>
          <w:sz w:val="20"/>
          <w:szCs w:val="20"/>
        </w:rPr>
        <w:t xml:space="preserve"> </w:t>
      </w:r>
      <w:r>
        <w:rPr>
          <w:rStyle w:val="a6"/>
          <w:i w:val="0"/>
          <w:iCs w:val="0"/>
          <w:sz w:val="20"/>
          <w:szCs w:val="20"/>
        </w:rPr>
        <w:t>not</w:t>
      </w:r>
      <w:r>
        <w:rPr>
          <w:sz w:val="20"/>
          <w:szCs w:val="20"/>
        </w:rPr>
        <w:t xml:space="preserve"> have non-financial assets and non-financial liabi</w:t>
      </w:r>
      <w:r>
        <w:rPr>
          <w:sz w:val="20"/>
          <w:szCs w:val="20"/>
        </w:rPr>
        <w:t>lities that are required to be measured at fair value on a recurring basis.</w:t>
      </w:r>
    </w:p>
    <w:p w14:paraId="256705EC" w14:textId="77777777" w:rsidR="00000000" w:rsidRDefault="00527094">
      <w:pPr>
        <w:pStyle w:val="a3"/>
        <w:spacing w:before="0" w:beforeAutospacing="0" w:after="0" w:afterAutospacing="0"/>
        <w:ind w:firstLine="720"/>
        <w:jc w:val="both"/>
        <w:rPr>
          <w:sz w:val="20"/>
          <w:szCs w:val="20"/>
        </w:rPr>
      </w:pPr>
      <w:r>
        <w:rPr>
          <w:sz w:val="20"/>
          <w:szCs w:val="20"/>
        </w:rPr>
        <w:t> </w:t>
      </w:r>
    </w:p>
    <w:p w14:paraId="7C5B032D" w14:textId="77777777" w:rsidR="00000000" w:rsidRDefault="00527094">
      <w:pPr>
        <w:pStyle w:val="a3"/>
        <w:spacing w:before="0" w:beforeAutospacing="0" w:after="0" w:afterAutospacing="0"/>
        <w:ind w:firstLine="360"/>
        <w:jc w:val="both"/>
        <w:rPr>
          <w:sz w:val="20"/>
          <w:szCs w:val="20"/>
        </w:rPr>
      </w:pPr>
      <w:r>
        <w:rPr>
          <w:sz w:val="20"/>
          <w:szCs w:val="20"/>
        </w:rPr>
        <w:t>The tables below present the Company’s financial assets measured at fair value on a recurring basis at</w:t>
      </w:r>
      <w:r>
        <w:rPr>
          <w:sz w:val="20"/>
          <w:szCs w:val="20"/>
        </w:rPr>
        <w:t> </w:t>
      </w:r>
      <w:r>
        <w:rPr>
          <w:rStyle w:val="a6"/>
          <w:i w:val="0"/>
          <w:iCs w:val="0"/>
          <w:sz w:val="20"/>
          <w:szCs w:val="20"/>
        </w:rPr>
        <w:t xml:space="preserve"> 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aggregated by the level in the fair v</w:t>
      </w:r>
      <w:r>
        <w:rPr>
          <w:sz w:val="20"/>
          <w:szCs w:val="20"/>
        </w:rPr>
        <w:t>alue hierarchy within which those measurements fall (in thousands):</w:t>
      </w:r>
    </w:p>
    <w:p w14:paraId="4A95CA63"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3781"/>
        <w:gridCol w:w="72"/>
        <w:gridCol w:w="101"/>
        <w:gridCol w:w="782"/>
        <w:gridCol w:w="72"/>
        <w:gridCol w:w="72"/>
        <w:gridCol w:w="100"/>
        <w:gridCol w:w="782"/>
        <w:gridCol w:w="72"/>
        <w:gridCol w:w="72"/>
        <w:gridCol w:w="101"/>
        <w:gridCol w:w="782"/>
        <w:gridCol w:w="72"/>
        <w:gridCol w:w="73"/>
        <w:gridCol w:w="101"/>
        <w:gridCol w:w="783"/>
        <w:gridCol w:w="73"/>
      </w:tblGrid>
      <w:tr w:rsidR="00000000" w14:paraId="043455ED" w14:textId="77777777">
        <w:trPr>
          <w:tblCellSpacing w:w="0" w:type="dxa"/>
        </w:trPr>
        <w:tc>
          <w:tcPr>
            <w:tcW w:w="0" w:type="auto"/>
            <w:vAlign w:val="bottom"/>
            <w:hideMark/>
          </w:tcPr>
          <w:p w14:paraId="6F82075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A5F6F9C"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6A49B512" w14:textId="77777777" w:rsidR="00000000" w:rsidRDefault="00527094">
            <w:pPr>
              <w:pStyle w:val="a3"/>
              <w:spacing w:before="0" w:beforeAutospacing="0" w:after="0" w:afterAutospacing="0"/>
              <w:jc w:val="center"/>
              <w:rPr>
                <w:sz w:val="20"/>
                <w:szCs w:val="20"/>
              </w:rPr>
            </w:pPr>
            <w:r>
              <w:rPr>
                <w:b/>
                <w:bCs/>
                <w:sz w:val="20"/>
                <w:szCs w:val="20"/>
              </w:rPr>
              <w:t>Balance at</w:t>
            </w:r>
          </w:p>
          <w:p w14:paraId="28B467FB"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2C05C60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489C23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3ECBE7A" w14:textId="77777777" w:rsidR="00000000" w:rsidRDefault="0052709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0C5429F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3DA7B7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FBF4771" w14:textId="77777777" w:rsidR="00000000" w:rsidRDefault="0052709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2824914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DE5C80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33784B8" w14:textId="77777777" w:rsidR="00000000" w:rsidRDefault="0052709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53EB47F5" w14:textId="77777777" w:rsidR="00000000" w:rsidRDefault="00527094">
            <w:pPr>
              <w:rPr>
                <w:rFonts w:eastAsia="Times New Roman"/>
                <w:sz w:val="20"/>
                <w:szCs w:val="20"/>
              </w:rPr>
            </w:pPr>
            <w:r>
              <w:rPr>
                <w:rFonts w:eastAsia="Times New Roman"/>
                <w:sz w:val="20"/>
                <w:szCs w:val="20"/>
              </w:rPr>
              <w:t> </w:t>
            </w:r>
          </w:p>
        </w:tc>
      </w:tr>
      <w:tr w:rsidR="00000000" w14:paraId="7093703A" w14:textId="77777777">
        <w:trPr>
          <w:tblCellSpacing w:w="0" w:type="dxa"/>
        </w:trPr>
        <w:tc>
          <w:tcPr>
            <w:tcW w:w="2400" w:type="pct"/>
            <w:vAlign w:val="bottom"/>
            <w:hideMark/>
          </w:tcPr>
          <w:p w14:paraId="66D1295B" w14:textId="77777777" w:rsidR="00000000" w:rsidRDefault="00527094">
            <w:pPr>
              <w:pStyle w:val="a3"/>
              <w:spacing w:before="0" w:beforeAutospacing="0" w:after="0" w:afterAutospacing="0"/>
              <w:rPr>
                <w:sz w:val="20"/>
                <w:szCs w:val="20"/>
              </w:rPr>
            </w:pPr>
            <w:r>
              <w:rPr>
                <w:sz w:val="20"/>
                <w:szCs w:val="20"/>
              </w:rPr>
              <w:t> </w:t>
            </w:r>
          </w:p>
        </w:tc>
        <w:tc>
          <w:tcPr>
            <w:tcW w:w="0" w:type="auto"/>
            <w:vAlign w:val="bottom"/>
            <w:hideMark/>
          </w:tcPr>
          <w:p w14:paraId="012C741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16F06CD"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3B64BBE5"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228901DE"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7D19705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3F6EF5A"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43492962"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68C57EB3"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7B9A7AA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06072DE"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3F23A7F5"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55EF3ED7"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564A99F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7018D19"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618EAEEE"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39D9B8CD" w14:textId="77777777" w:rsidR="00000000" w:rsidRDefault="00527094">
            <w:pPr>
              <w:rPr>
                <w:rFonts w:eastAsia="Times New Roman"/>
                <w:sz w:val="20"/>
                <w:szCs w:val="20"/>
              </w:rPr>
            </w:pPr>
            <w:r>
              <w:rPr>
                <w:rFonts w:eastAsia="Times New Roman"/>
                <w:b/>
                <w:bCs/>
                <w:sz w:val="20"/>
                <w:szCs w:val="20"/>
              </w:rPr>
              <w:t> </w:t>
            </w:r>
          </w:p>
        </w:tc>
      </w:tr>
      <w:tr w:rsidR="00000000" w14:paraId="31C38298" w14:textId="77777777">
        <w:trPr>
          <w:tblCellSpacing w:w="0" w:type="dxa"/>
        </w:trPr>
        <w:tc>
          <w:tcPr>
            <w:tcW w:w="0" w:type="auto"/>
            <w:shd w:val="clear" w:color="auto" w:fill="CCEEFF"/>
            <w:vAlign w:val="bottom"/>
            <w:hideMark/>
          </w:tcPr>
          <w:p w14:paraId="63456684" w14:textId="77777777" w:rsidR="00000000" w:rsidRDefault="00527094">
            <w:pPr>
              <w:pStyle w:val="a3"/>
              <w:spacing w:before="0" w:beforeAutospacing="0" w:after="0" w:afterAutospacing="0"/>
              <w:ind w:left="180"/>
              <w:rPr>
                <w:sz w:val="20"/>
                <w:szCs w:val="20"/>
              </w:rPr>
            </w:pPr>
            <w:r>
              <w:rPr>
                <w:sz w:val="20"/>
                <w:szCs w:val="20"/>
              </w:rPr>
              <w:t>Marketable equity securities</w:t>
            </w:r>
          </w:p>
        </w:tc>
        <w:tc>
          <w:tcPr>
            <w:tcW w:w="50" w:type="pct"/>
            <w:shd w:val="clear" w:color="auto" w:fill="CCEEFF"/>
            <w:vAlign w:val="bottom"/>
            <w:hideMark/>
          </w:tcPr>
          <w:p w14:paraId="787AC3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9C6F0E"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445D2A0D" w14:textId="77777777" w:rsidR="00000000" w:rsidRDefault="00527094">
            <w:pPr>
              <w:jc w:val="right"/>
              <w:rPr>
                <w:rFonts w:eastAsia="Times New Roman"/>
                <w:sz w:val="20"/>
                <w:szCs w:val="20"/>
              </w:rPr>
            </w:pPr>
            <w:r>
              <w:rPr>
                <w:rFonts w:eastAsia="Times New Roman"/>
                <w:sz w:val="20"/>
                <w:szCs w:val="20"/>
              </w:rPr>
              <w:t>10,665</w:t>
            </w:r>
          </w:p>
        </w:tc>
        <w:tc>
          <w:tcPr>
            <w:tcW w:w="50" w:type="pct"/>
            <w:shd w:val="clear" w:color="auto" w:fill="CCEEFF"/>
            <w:vAlign w:val="bottom"/>
            <w:hideMark/>
          </w:tcPr>
          <w:p w14:paraId="452316E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318DA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1335CC"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4203CAEB" w14:textId="77777777" w:rsidR="00000000" w:rsidRDefault="00527094">
            <w:pPr>
              <w:jc w:val="right"/>
              <w:rPr>
                <w:rFonts w:eastAsia="Times New Roman"/>
                <w:sz w:val="20"/>
                <w:szCs w:val="20"/>
              </w:rPr>
            </w:pPr>
            <w:r>
              <w:rPr>
                <w:rFonts w:eastAsia="Times New Roman"/>
                <w:sz w:val="20"/>
                <w:szCs w:val="20"/>
              </w:rPr>
              <w:t>10,665</w:t>
            </w:r>
          </w:p>
        </w:tc>
        <w:tc>
          <w:tcPr>
            <w:tcW w:w="50" w:type="pct"/>
            <w:shd w:val="clear" w:color="auto" w:fill="CCEEFF"/>
            <w:vAlign w:val="bottom"/>
            <w:hideMark/>
          </w:tcPr>
          <w:p w14:paraId="268C84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BC12C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2A2F59"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3E6719F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45BC7C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0C468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FB9BF1"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C9A24AB"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07DB632" w14:textId="77777777" w:rsidR="00000000" w:rsidRDefault="00527094">
            <w:pPr>
              <w:rPr>
                <w:rFonts w:eastAsia="Times New Roman"/>
                <w:sz w:val="20"/>
                <w:szCs w:val="20"/>
              </w:rPr>
            </w:pPr>
            <w:r>
              <w:rPr>
                <w:rFonts w:eastAsia="Times New Roman"/>
                <w:sz w:val="20"/>
                <w:szCs w:val="20"/>
              </w:rPr>
              <w:t> </w:t>
            </w:r>
          </w:p>
        </w:tc>
      </w:tr>
    </w:tbl>
    <w:p w14:paraId="3475C04F" w14:textId="77777777" w:rsidR="00000000" w:rsidRDefault="00527094">
      <w:pPr>
        <w:pStyle w:val="a3"/>
        <w:spacing w:before="0" w:beforeAutospacing="0" w:after="0" w:afterAutospacing="0"/>
        <w:rPr>
          <w:sz w:val="20"/>
          <w:szCs w:val="20"/>
        </w:rPr>
      </w:pPr>
      <w:r>
        <w:rPr>
          <w:sz w:val="20"/>
          <w:szCs w:val="20"/>
        </w:rPr>
        <w:t> </w:t>
      </w:r>
    </w:p>
    <w:p w14:paraId="245F6E4B" w14:textId="77777777" w:rsidR="00000000" w:rsidRDefault="00527094">
      <w:pPr>
        <w:jc w:val="center"/>
        <w:rPr>
          <w:rFonts w:eastAsia="Times New Roman"/>
          <w:sz w:val="20"/>
          <w:szCs w:val="20"/>
        </w:rPr>
      </w:pPr>
      <w:r>
        <w:rPr>
          <w:rFonts w:eastAsia="Times New Roman"/>
          <w:sz w:val="20"/>
          <w:szCs w:val="20"/>
        </w:rPr>
        <w:t xml:space="preserve">19 </w:t>
      </w:r>
    </w:p>
    <w:p w14:paraId="7C16F3AE" w14:textId="77777777" w:rsidR="00000000" w:rsidRDefault="00527094">
      <w:pPr>
        <w:rPr>
          <w:rFonts w:eastAsia="Times New Roman"/>
          <w:sz w:val="20"/>
          <w:szCs w:val="20"/>
        </w:rPr>
      </w:pPr>
      <w:r>
        <w:rPr>
          <w:rFonts w:eastAsia="Times New Roman"/>
          <w:sz w:val="20"/>
          <w:szCs w:val="20"/>
        </w:rPr>
        <w:pict w14:anchorId="7821CD37">
          <v:rect id="_x0000_i1047" style="width:0;height:1.5pt" o:hralign="center" o:hrstd="t" o:hr="t" fillcolor="#a0a0a0" stroked="f"/>
        </w:pict>
      </w:r>
    </w:p>
    <w:p w14:paraId="178F6282"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2C2D849" w14:textId="77777777" w:rsidR="00000000" w:rsidRDefault="00527094">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3781"/>
        <w:gridCol w:w="72"/>
        <w:gridCol w:w="101"/>
        <w:gridCol w:w="788"/>
        <w:gridCol w:w="66"/>
        <w:gridCol w:w="72"/>
        <w:gridCol w:w="100"/>
        <w:gridCol w:w="782"/>
        <w:gridCol w:w="72"/>
        <w:gridCol w:w="72"/>
        <w:gridCol w:w="101"/>
        <w:gridCol w:w="782"/>
        <w:gridCol w:w="72"/>
        <w:gridCol w:w="73"/>
        <w:gridCol w:w="101"/>
        <w:gridCol w:w="783"/>
        <w:gridCol w:w="73"/>
      </w:tblGrid>
      <w:tr w:rsidR="00000000" w14:paraId="74FD439F" w14:textId="77777777">
        <w:trPr>
          <w:tblCellSpacing w:w="0" w:type="dxa"/>
        </w:trPr>
        <w:tc>
          <w:tcPr>
            <w:tcW w:w="0" w:type="auto"/>
            <w:vAlign w:val="bottom"/>
            <w:hideMark/>
          </w:tcPr>
          <w:p w14:paraId="37F0582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A730F9D"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4B2AB108" w14:textId="77777777" w:rsidR="00000000" w:rsidRDefault="00527094">
            <w:pPr>
              <w:pStyle w:val="a3"/>
              <w:spacing w:before="0" w:beforeAutospacing="0" w:after="0" w:afterAutospacing="0"/>
              <w:jc w:val="center"/>
              <w:rPr>
                <w:sz w:val="20"/>
                <w:szCs w:val="20"/>
              </w:rPr>
            </w:pPr>
            <w:r>
              <w:rPr>
                <w:b/>
                <w:bCs/>
                <w:sz w:val="20"/>
                <w:szCs w:val="20"/>
              </w:rPr>
              <w:t>Balance at</w:t>
            </w:r>
          </w:p>
          <w:p w14:paraId="3FD6662F" w14:textId="77777777" w:rsidR="00000000" w:rsidRDefault="00527094">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1F1AF09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78CB0B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B6335FE" w14:textId="77777777" w:rsidR="00000000" w:rsidRDefault="0052709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481B13E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1D6B14C"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45C958A" w14:textId="77777777" w:rsidR="00000000" w:rsidRDefault="0052709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5EE19C4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0365FF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10D25DC" w14:textId="77777777" w:rsidR="00000000" w:rsidRDefault="0052709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40721E32" w14:textId="77777777" w:rsidR="00000000" w:rsidRDefault="00527094">
            <w:pPr>
              <w:rPr>
                <w:rFonts w:eastAsia="Times New Roman"/>
                <w:sz w:val="20"/>
                <w:szCs w:val="20"/>
              </w:rPr>
            </w:pPr>
            <w:r>
              <w:rPr>
                <w:rFonts w:eastAsia="Times New Roman"/>
                <w:sz w:val="20"/>
                <w:szCs w:val="20"/>
              </w:rPr>
              <w:t> </w:t>
            </w:r>
          </w:p>
        </w:tc>
      </w:tr>
      <w:tr w:rsidR="00000000" w14:paraId="4A9BB351" w14:textId="77777777">
        <w:trPr>
          <w:tblCellSpacing w:w="0" w:type="dxa"/>
        </w:trPr>
        <w:tc>
          <w:tcPr>
            <w:tcW w:w="2400" w:type="pct"/>
            <w:vAlign w:val="bottom"/>
            <w:hideMark/>
          </w:tcPr>
          <w:p w14:paraId="33181456" w14:textId="77777777" w:rsidR="00000000" w:rsidRDefault="00527094">
            <w:pPr>
              <w:pStyle w:val="a3"/>
              <w:spacing w:before="0" w:beforeAutospacing="0" w:after="0" w:afterAutospacing="0"/>
              <w:rPr>
                <w:sz w:val="20"/>
                <w:szCs w:val="20"/>
              </w:rPr>
            </w:pPr>
            <w:r>
              <w:rPr>
                <w:sz w:val="20"/>
                <w:szCs w:val="20"/>
              </w:rPr>
              <w:t> </w:t>
            </w:r>
          </w:p>
        </w:tc>
        <w:tc>
          <w:tcPr>
            <w:tcW w:w="0" w:type="auto"/>
            <w:vAlign w:val="bottom"/>
            <w:hideMark/>
          </w:tcPr>
          <w:p w14:paraId="3DD0FE8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5C198B3"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3F0BD714"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4447021E"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7329094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8567EA1"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7944AE0B"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5AD5C7BE"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565CA5A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B4BEB82"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6A96AD05"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31788E01"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78EC997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7C994E0"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7B61130A" w14:textId="77777777" w:rsidR="00000000" w:rsidRDefault="00527094">
            <w:pPr>
              <w:rPr>
                <w:rFonts w:eastAsia="Times New Roman"/>
                <w:sz w:val="20"/>
                <w:szCs w:val="20"/>
              </w:rPr>
            </w:pPr>
            <w:r>
              <w:rPr>
                <w:rFonts w:eastAsia="Times New Roman"/>
                <w:b/>
                <w:bCs/>
                <w:sz w:val="20"/>
                <w:szCs w:val="20"/>
              </w:rPr>
              <w:t> </w:t>
            </w:r>
          </w:p>
        </w:tc>
        <w:tc>
          <w:tcPr>
            <w:tcW w:w="0" w:type="auto"/>
            <w:vAlign w:val="bottom"/>
            <w:hideMark/>
          </w:tcPr>
          <w:p w14:paraId="56245347" w14:textId="77777777" w:rsidR="00000000" w:rsidRDefault="00527094">
            <w:pPr>
              <w:rPr>
                <w:rFonts w:eastAsia="Times New Roman"/>
                <w:sz w:val="20"/>
                <w:szCs w:val="20"/>
              </w:rPr>
            </w:pPr>
            <w:r>
              <w:rPr>
                <w:rFonts w:eastAsia="Times New Roman"/>
                <w:b/>
                <w:bCs/>
                <w:sz w:val="20"/>
                <w:szCs w:val="20"/>
              </w:rPr>
              <w:t> </w:t>
            </w:r>
          </w:p>
        </w:tc>
      </w:tr>
      <w:tr w:rsidR="00000000" w14:paraId="7B199FD9" w14:textId="77777777">
        <w:trPr>
          <w:tblCellSpacing w:w="0" w:type="dxa"/>
        </w:trPr>
        <w:tc>
          <w:tcPr>
            <w:tcW w:w="0" w:type="auto"/>
            <w:shd w:val="clear" w:color="auto" w:fill="CCEEFF"/>
            <w:vAlign w:val="bottom"/>
            <w:hideMark/>
          </w:tcPr>
          <w:p w14:paraId="523B132D" w14:textId="77777777" w:rsidR="00000000" w:rsidRDefault="00527094">
            <w:pPr>
              <w:pStyle w:val="a3"/>
              <w:spacing w:before="0" w:beforeAutospacing="0" w:after="0" w:afterAutospacing="0"/>
              <w:ind w:left="180"/>
              <w:rPr>
                <w:sz w:val="20"/>
                <w:szCs w:val="20"/>
              </w:rPr>
            </w:pPr>
            <w:r>
              <w:rPr>
                <w:sz w:val="20"/>
                <w:szCs w:val="20"/>
              </w:rPr>
              <w:t>Marketable equity securities</w:t>
            </w:r>
          </w:p>
        </w:tc>
        <w:tc>
          <w:tcPr>
            <w:tcW w:w="50" w:type="pct"/>
            <w:shd w:val="clear" w:color="auto" w:fill="CCEEFF"/>
            <w:vAlign w:val="bottom"/>
            <w:hideMark/>
          </w:tcPr>
          <w:p w14:paraId="3F5B7CA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C96A82"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5107C947" w14:textId="77777777" w:rsidR="00000000" w:rsidRDefault="00527094">
            <w:pPr>
              <w:jc w:val="right"/>
              <w:rPr>
                <w:rFonts w:eastAsia="Times New Roman"/>
                <w:sz w:val="20"/>
                <w:szCs w:val="20"/>
              </w:rPr>
            </w:pPr>
            <w:r>
              <w:rPr>
                <w:rFonts w:eastAsia="Times New Roman"/>
                <w:sz w:val="20"/>
                <w:szCs w:val="20"/>
              </w:rPr>
              <w:t>9,045</w:t>
            </w:r>
          </w:p>
        </w:tc>
        <w:tc>
          <w:tcPr>
            <w:tcW w:w="50" w:type="pct"/>
            <w:shd w:val="clear" w:color="auto" w:fill="CCEEFF"/>
            <w:vAlign w:val="bottom"/>
            <w:hideMark/>
          </w:tcPr>
          <w:p w14:paraId="32C190A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D6DA5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8311A0"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2E47EEAF" w14:textId="77777777" w:rsidR="00000000" w:rsidRDefault="00527094">
            <w:pPr>
              <w:jc w:val="right"/>
              <w:rPr>
                <w:rFonts w:eastAsia="Times New Roman"/>
                <w:sz w:val="20"/>
                <w:szCs w:val="20"/>
              </w:rPr>
            </w:pPr>
            <w:r>
              <w:rPr>
                <w:rFonts w:eastAsia="Times New Roman"/>
                <w:sz w:val="20"/>
                <w:szCs w:val="20"/>
              </w:rPr>
              <w:t>9,045</w:t>
            </w:r>
          </w:p>
        </w:tc>
        <w:tc>
          <w:tcPr>
            <w:tcW w:w="50" w:type="pct"/>
            <w:shd w:val="clear" w:color="auto" w:fill="CCEEFF"/>
            <w:vAlign w:val="bottom"/>
            <w:hideMark/>
          </w:tcPr>
          <w:p w14:paraId="189C74F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3FBC7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2EC6F3"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52933350"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424788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2FAAA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B3A981"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507AA0F7"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B7DFB2D" w14:textId="77777777" w:rsidR="00000000" w:rsidRDefault="00527094">
            <w:pPr>
              <w:rPr>
                <w:rFonts w:eastAsia="Times New Roman"/>
                <w:sz w:val="20"/>
                <w:szCs w:val="20"/>
              </w:rPr>
            </w:pPr>
            <w:r>
              <w:rPr>
                <w:rFonts w:eastAsia="Times New Roman"/>
                <w:sz w:val="20"/>
                <w:szCs w:val="20"/>
              </w:rPr>
              <w:t> </w:t>
            </w:r>
          </w:p>
        </w:tc>
      </w:tr>
    </w:tbl>
    <w:p w14:paraId="21163202" w14:textId="77777777" w:rsidR="00000000" w:rsidRDefault="00527094">
      <w:pPr>
        <w:pStyle w:val="a3"/>
        <w:spacing w:before="0" w:beforeAutospacing="0" w:after="0" w:afterAutospacing="0"/>
        <w:jc w:val="both"/>
        <w:rPr>
          <w:sz w:val="20"/>
          <w:szCs w:val="20"/>
        </w:rPr>
      </w:pPr>
      <w:r>
        <w:rPr>
          <w:sz w:val="20"/>
          <w:szCs w:val="20"/>
        </w:rPr>
        <w:t> </w:t>
      </w:r>
    </w:p>
    <w:p w14:paraId="6B893909" w14:textId="77777777" w:rsidR="00000000" w:rsidRDefault="00527094">
      <w:pPr>
        <w:pStyle w:val="a3"/>
        <w:spacing w:before="0" w:beforeAutospacing="0" w:after="0" w:afterAutospacing="0"/>
        <w:ind w:firstLine="360"/>
        <w:jc w:val="both"/>
        <w:rPr>
          <w:sz w:val="20"/>
          <w:szCs w:val="20"/>
        </w:rPr>
      </w:pPr>
      <w:r>
        <w:rPr>
          <w:sz w:val="20"/>
          <w:szCs w:val="20"/>
        </w:rPr>
        <w:t>Assets measured at fair value on a non-recurring basis at</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are as follows (in thousands):</w:t>
      </w:r>
    </w:p>
    <w:p w14:paraId="0A5E04F6"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3781"/>
        <w:gridCol w:w="72"/>
        <w:gridCol w:w="101"/>
        <w:gridCol w:w="782"/>
        <w:gridCol w:w="72"/>
        <w:gridCol w:w="72"/>
        <w:gridCol w:w="101"/>
        <w:gridCol w:w="782"/>
        <w:gridCol w:w="72"/>
        <w:gridCol w:w="72"/>
        <w:gridCol w:w="101"/>
        <w:gridCol w:w="782"/>
        <w:gridCol w:w="72"/>
        <w:gridCol w:w="73"/>
        <w:gridCol w:w="100"/>
        <w:gridCol w:w="783"/>
        <w:gridCol w:w="73"/>
      </w:tblGrid>
      <w:tr w:rsidR="00000000" w14:paraId="49D01BDD" w14:textId="77777777">
        <w:trPr>
          <w:tblCellSpacing w:w="0" w:type="dxa"/>
        </w:trPr>
        <w:tc>
          <w:tcPr>
            <w:tcW w:w="0" w:type="auto"/>
            <w:vAlign w:val="bottom"/>
            <w:hideMark/>
          </w:tcPr>
          <w:p w14:paraId="53F0FA0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EB5B6C3"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7C314235" w14:textId="77777777" w:rsidR="00000000" w:rsidRDefault="00527094">
            <w:pPr>
              <w:pStyle w:val="a3"/>
              <w:spacing w:before="0" w:beforeAutospacing="0" w:after="0" w:afterAutospacing="0"/>
              <w:jc w:val="center"/>
              <w:rPr>
                <w:sz w:val="20"/>
                <w:szCs w:val="20"/>
              </w:rPr>
            </w:pPr>
            <w:r>
              <w:rPr>
                <w:b/>
                <w:bCs/>
                <w:sz w:val="20"/>
                <w:szCs w:val="20"/>
              </w:rPr>
              <w:t>Balance at</w:t>
            </w:r>
          </w:p>
          <w:p w14:paraId="08C5F6A0" w14:textId="77777777" w:rsidR="00000000" w:rsidRDefault="00527094">
            <w:pPr>
              <w:pStyle w:val="a3"/>
              <w:spacing w:before="0" w:beforeAutospacing="0" w:after="0" w:afterAutospacing="0"/>
              <w:jc w:val="center"/>
              <w:rPr>
                <w:sz w:val="20"/>
                <w:szCs w:val="20"/>
              </w:rPr>
            </w:pPr>
            <w:r>
              <w:rPr>
                <w:b/>
                <w:bCs/>
                <w:sz w:val="20"/>
                <w:szCs w:val="20"/>
              </w:rPr>
              <w:t>June 30, 2019</w:t>
            </w:r>
          </w:p>
        </w:tc>
        <w:tc>
          <w:tcPr>
            <w:tcW w:w="0" w:type="auto"/>
            <w:tcMar>
              <w:top w:w="0" w:type="dxa"/>
              <w:left w:w="0" w:type="dxa"/>
              <w:bottom w:w="15" w:type="dxa"/>
              <w:right w:w="0" w:type="dxa"/>
            </w:tcMar>
            <w:vAlign w:val="bottom"/>
            <w:hideMark/>
          </w:tcPr>
          <w:p w14:paraId="2D9305E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C566E71"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AD7EB1A" w14:textId="77777777" w:rsidR="00000000" w:rsidRDefault="0052709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6862F64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78EAD41"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7995793" w14:textId="77777777" w:rsidR="00000000" w:rsidRDefault="0052709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50C18EB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C8E286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4B0CA49" w14:textId="77777777" w:rsidR="00000000" w:rsidRDefault="0052709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6D4D4EAC" w14:textId="77777777" w:rsidR="00000000" w:rsidRDefault="00527094">
            <w:pPr>
              <w:rPr>
                <w:rFonts w:eastAsia="Times New Roman"/>
                <w:sz w:val="20"/>
                <w:szCs w:val="20"/>
              </w:rPr>
            </w:pPr>
            <w:r>
              <w:rPr>
                <w:rFonts w:eastAsia="Times New Roman"/>
                <w:sz w:val="20"/>
                <w:szCs w:val="20"/>
              </w:rPr>
              <w:t> </w:t>
            </w:r>
          </w:p>
        </w:tc>
      </w:tr>
      <w:tr w:rsidR="00000000" w14:paraId="4DE8BD2F" w14:textId="77777777">
        <w:trPr>
          <w:tblCellSpacing w:w="0" w:type="dxa"/>
        </w:trPr>
        <w:tc>
          <w:tcPr>
            <w:tcW w:w="0" w:type="auto"/>
            <w:vAlign w:val="bottom"/>
            <w:hideMark/>
          </w:tcPr>
          <w:p w14:paraId="4FC9BF0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9B2764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E6FD8C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3DD495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B52E3F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60093B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F3069B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F536F5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EE30D6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7854BF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FBFCA4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BC0ACB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9AE998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A45DBE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511849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C1912C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8F2991D" w14:textId="77777777" w:rsidR="00000000" w:rsidRDefault="00527094">
            <w:pPr>
              <w:rPr>
                <w:rFonts w:eastAsia="Times New Roman"/>
                <w:sz w:val="20"/>
                <w:szCs w:val="20"/>
              </w:rPr>
            </w:pPr>
            <w:r>
              <w:rPr>
                <w:rFonts w:eastAsia="Times New Roman"/>
                <w:sz w:val="20"/>
                <w:szCs w:val="20"/>
              </w:rPr>
              <w:t> </w:t>
            </w:r>
          </w:p>
        </w:tc>
      </w:tr>
      <w:tr w:rsidR="00000000" w14:paraId="7E514B71" w14:textId="77777777">
        <w:trPr>
          <w:tblCellSpacing w:w="0" w:type="dxa"/>
        </w:trPr>
        <w:tc>
          <w:tcPr>
            <w:tcW w:w="2400" w:type="pct"/>
            <w:shd w:val="clear" w:color="auto" w:fill="CCEEFF"/>
            <w:vAlign w:val="bottom"/>
            <w:hideMark/>
          </w:tcPr>
          <w:p w14:paraId="74AE9122" w14:textId="77777777" w:rsidR="00000000" w:rsidRDefault="00527094">
            <w:pPr>
              <w:pStyle w:val="a3"/>
              <w:spacing w:before="0" w:beforeAutospacing="0" w:after="0" w:afterAutospacing="0"/>
              <w:ind w:left="180"/>
              <w:rPr>
                <w:sz w:val="20"/>
                <w:szCs w:val="20"/>
              </w:rPr>
            </w:pPr>
            <w:r>
              <w:rPr>
                <w:sz w:val="20"/>
                <w:szCs w:val="20"/>
              </w:rPr>
              <w:t>Real estate</w:t>
            </w:r>
          </w:p>
        </w:tc>
        <w:tc>
          <w:tcPr>
            <w:tcW w:w="50" w:type="pct"/>
            <w:shd w:val="clear" w:color="auto" w:fill="CCEEFF"/>
            <w:vAlign w:val="bottom"/>
            <w:hideMark/>
          </w:tcPr>
          <w:p w14:paraId="6802B61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1184F9"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A2729C2" w14:textId="77777777" w:rsidR="00000000" w:rsidRDefault="00527094">
            <w:pPr>
              <w:jc w:val="right"/>
              <w:rPr>
                <w:rFonts w:eastAsia="Times New Roman"/>
                <w:sz w:val="20"/>
                <w:szCs w:val="20"/>
              </w:rPr>
            </w:pPr>
            <w:r>
              <w:rPr>
                <w:rFonts w:eastAsia="Times New Roman"/>
                <w:sz w:val="20"/>
                <w:szCs w:val="20"/>
              </w:rPr>
              <w:t>78,700</w:t>
            </w:r>
          </w:p>
        </w:tc>
        <w:tc>
          <w:tcPr>
            <w:tcW w:w="50" w:type="pct"/>
            <w:shd w:val="clear" w:color="auto" w:fill="CCEEFF"/>
            <w:vAlign w:val="bottom"/>
            <w:hideMark/>
          </w:tcPr>
          <w:p w14:paraId="4B79E77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B2BBE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DF01FA"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0B5BC018"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9E51E4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C66CA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43B9C8"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093B0972"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8E6217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9DF3B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9CBE5B"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2D3F6620" w14:textId="77777777" w:rsidR="00000000" w:rsidRDefault="00527094">
            <w:pPr>
              <w:jc w:val="right"/>
              <w:rPr>
                <w:rFonts w:eastAsia="Times New Roman"/>
                <w:sz w:val="20"/>
                <w:szCs w:val="20"/>
              </w:rPr>
            </w:pPr>
            <w:r>
              <w:rPr>
                <w:rFonts w:eastAsia="Times New Roman"/>
                <w:sz w:val="20"/>
                <w:szCs w:val="20"/>
              </w:rPr>
              <w:t>78,700</w:t>
            </w:r>
          </w:p>
        </w:tc>
        <w:tc>
          <w:tcPr>
            <w:tcW w:w="50" w:type="pct"/>
            <w:shd w:val="clear" w:color="auto" w:fill="CCEEFF"/>
            <w:vAlign w:val="bottom"/>
            <w:hideMark/>
          </w:tcPr>
          <w:p w14:paraId="743DB4E3" w14:textId="77777777" w:rsidR="00000000" w:rsidRDefault="00527094">
            <w:pPr>
              <w:rPr>
                <w:rFonts w:eastAsia="Times New Roman"/>
                <w:sz w:val="20"/>
                <w:szCs w:val="20"/>
              </w:rPr>
            </w:pPr>
            <w:r>
              <w:rPr>
                <w:rFonts w:eastAsia="Times New Roman"/>
                <w:sz w:val="20"/>
                <w:szCs w:val="20"/>
              </w:rPr>
              <w:t> </w:t>
            </w:r>
          </w:p>
        </w:tc>
      </w:tr>
    </w:tbl>
    <w:p w14:paraId="0FC82C4F" w14:textId="77777777" w:rsidR="00000000" w:rsidRDefault="00527094">
      <w:pPr>
        <w:pStyle w:val="a3"/>
        <w:spacing w:before="0" w:beforeAutospacing="0" w:after="0" w:afterAutospacing="0"/>
        <w:jc w:val="both"/>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3781"/>
        <w:gridCol w:w="72"/>
        <w:gridCol w:w="101"/>
        <w:gridCol w:w="788"/>
        <w:gridCol w:w="66"/>
        <w:gridCol w:w="72"/>
        <w:gridCol w:w="101"/>
        <w:gridCol w:w="782"/>
        <w:gridCol w:w="72"/>
        <w:gridCol w:w="72"/>
        <w:gridCol w:w="101"/>
        <w:gridCol w:w="782"/>
        <w:gridCol w:w="72"/>
        <w:gridCol w:w="73"/>
        <w:gridCol w:w="100"/>
        <w:gridCol w:w="783"/>
        <w:gridCol w:w="73"/>
      </w:tblGrid>
      <w:tr w:rsidR="00000000" w14:paraId="1BA17F2D" w14:textId="77777777">
        <w:trPr>
          <w:tblCellSpacing w:w="0" w:type="dxa"/>
        </w:trPr>
        <w:tc>
          <w:tcPr>
            <w:tcW w:w="0" w:type="auto"/>
            <w:vAlign w:val="bottom"/>
            <w:hideMark/>
          </w:tcPr>
          <w:p w14:paraId="0D5888B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881F9A0" w14:textId="77777777" w:rsidR="00000000" w:rsidRDefault="0052709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4D522F7D" w14:textId="77777777" w:rsidR="00000000" w:rsidRDefault="00527094">
            <w:pPr>
              <w:pStyle w:val="a3"/>
              <w:spacing w:before="0" w:beforeAutospacing="0" w:after="0" w:afterAutospacing="0"/>
              <w:jc w:val="center"/>
              <w:rPr>
                <w:sz w:val="20"/>
                <w:szCs w:val="20"/>
              </w:rPr>
            </w:pPr>
            <w:r>
              <w:rPr>
                <w:b/>
                <w:bCs/>
                <w:sz w:val="20"/>
                <w:szCs w:val="20"/>
              </w:rPr>
              <w:t>Balance at</w:t>
            </w:r>
          </w:p>
          <w:p w14:paraId="64F4A95F" w14:textId="77777777" w:rsidR="00000000" w:rsidRDefault="00527094">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14:paraId="19128EF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8041B7B"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09F37E4" w14:textId="77777777" w:rsidR="00000000" w:rsidRDefault="0052709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0730099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8EB83B9"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E2922B4" w14:textId="77777777" w:rsidR="00000000" w:rsidRDefault="0052709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6B252CB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C30E304"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A81BA0A" w14:textId="77777777" w:rsidR="00000000" w:rsidRDefault="0052709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6DCAE434" w14:textId="77777777" w:rsidR="00000000" w:rsidRDefault="00527094">
            <w:pPr>
              <w:rPr>
                <w:rFonts w:eastAsia="Times New Roman"/>
                <w:sz w:val="20"/>
                <w:szCs w:val="20"/>
              </w:rPr>
            </w:pPr>
            <w:r>
              <w:rPr>
                <w:rFonts w:eastAsia="Times New Roman"/>
                <w:sz w:val="20"/>
                <w:szCs w:val="20"/>
              </w:rPr>
              <w:t> </w:t>
            </w:r>
          </w:p>
        </w:tc>
      </w:tr>
      <w:tr w:rsidR="00000000" w14:paraId="3C6E858C" w14:textId="77777777">
        <w:trPr>
          <w:tblCellSpacing w:w="0" w:type="dxa"/>
        </w:trPr>
        <w:tc>
          <w:tcPr>
            <w:tcW w:w="0" w:type="auto"/>
            <w:vAlign w:val="bottom"/>
            <w:hideMark/>
          </w:tcPr>
          <w:p w14:paraId="1D98A49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3EDD92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6B10A9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0EFC64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9975F7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F3592B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549A14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4BD59A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F24C69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0E44D4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1765BC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4AB2B0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59F31B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74328D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681FD5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3E0F8E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8B89665" w14:textId="77777777" w:rsidR="00000000" w:rsidRDefault="00527094">
            <w:pPr>
              <w:rPr>
                <w:rFonts w:eastAsia="Times New Roman"/>
                <w:sz w:val="20"/>
                <w:szCs w:val="20"/>
              </w:rPr>
            </w:pPr>
            <w:r>
              <w:rPr>
                <w:rFonts w:eastAsia="Times New Roman"/>
                <w:sz w:val="20"/>
                <w:szCs w:val="20"/>
              </w:rPr>
              <w:t> </w:t>
            </w:r>
          </w:p>
        </w:tc>
      </w:tr>
      <w:tr w:rsidR="00000000" w14:paraId="15C30214" w14:textId="77777777">
        <w:trPr>
          <w:tblCellSpacing w:w="0" w:type="dxa"/>
        </w:trPr>
        <w:tc>
          <w:tcPr>
            <w:tcW w:w="2400" w:type="pct"/>
            <w:shd w:val="clear" w:color="auto" w:fill="CCEEFF"/>
            <w:vAlign w:val="bottom"/>
            <w:hideMark/>
          </w:tcPr>
          <w:p w14:paraId="77061210" w14:textId="77777777" w:rsidR="00000000" w:rsidRDefault="00527094">
            <w:pPr>
              <w:pStyle w:val="a3"/>
              <w:spacing w:before="0" w:beforeAutospacing="0" w:after="0" w:afterAutospacing="0"/>
              <w:ind w:left="180"/>
              <w:rPr>
                <w:sz w:val="20"/>
                <w:szCs w:val="20"/>
              </w:rPr>
            </w:pPr>
            <w:r>
              <w:rPr>
                <w:sz w:val="20"/>
                <w:szCs w:val="20"/>
              </w:rPr>
              <w:t>Real estate</w:t>
            </w:r>
          </w:p>
        </w:tc>
        <w:tc>
          <w:tcPr>
            <w:tcW w:w="50" w:type="pct"/>
            <w:shd w:val="clear" w:color="auto" w:fill="CCEEFF"/>
            <w:vAlign w:val="bottom"/>
            <w:hideMark/>
          </w:tcPr>
          <w:p w14:paraId="3EEFF79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F9EE11"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0D2EBAFA" w14:textId="77777777" w:rsidR="00000000" w:rsidRDefault="00527094">
            <w:pPr>
              <w:jc w:val="right"/>
              <w:rPr>
                <w:rFonts w:eastAsia="Times New Roman"/>
                <w:sz w:val="20"/>
                <w:szCs w:val="20"/>
              </w:rPr>
            </w:pPr>
            <w:r>
              <w:rPr>
                <w:rFonts w:eastAsia="Times New Roman"/>
                <w:sz w:val="20"/>
                <w:szCs w:val="20"/>
              </w:rPr>
              <w:t>99,693</w:t>
            </w:r>
          </w:p>
        </w:tc>
        <w:tc>
          <w:tcPr>
            <w:tcW w:w="50" w:type="pct"/>
            <w:shd w:val="clear" w:color="auto" w:fill="CCEEFF"/>
            <w:vAlign w:val="bottom"/>
            <w:hideMark/>
          </w:tcPr>
          <w:p w14:paraId="54C7B02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BDD63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D07E43"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3588883D"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1DF52F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7EC08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AC92A5"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4382A62C"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2DC4D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56A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39A738" w14:textId="77777777" w:rsidR="00000000" w:rsidRDefault="00527094">
            <w:pPr>
              <w:rPr>
                <w:rFonts w:eastAsia="Times New Roman"/>
                <w:sz w:val="20"/>
                <w:szCs w:val="20"/>
              </w:rPr>
            </w:pPr>
            <w:r>
              <w:rPr>
                <w:rFonts w:eastAsia="Times New Roman"/>
                <w:sz w:val="20"/>
                <w:szCs w:val="20"/>
              </w:rPr>
              <w:t>$</w:t>
            </w:r>
          </w:p>
        </w:tc>
        <w:tc>
          <w:tcPr>
            <w:tcW w:w="500" w:type="pct"/>
            <w:shd w:val="clear" w:color="auto" w:fill="CCEEFF"/>
            <w:vAlign w:val="bottom"/>
            <w:hideMark/>
          </w:tcPr>
          <w:p w14:paraId="0ED0D04F" w14:textId="77777777" w:rsidR="00000000" w:rsidRDefault="00527094">
            <w:pPr>
              <w:jc w:val="right"/>
              <w:rPr>
                <w:rFonts w:eastAsia="Times New Roman"/>
                <w:sz w:val="20"/>
                <w:szCs w:val="20"/>
              </w:rPr>
            </w:pPr>
            <w:r>
              <w:rPr>
                <w:rFonts w:eastAsia="Times New Roman"/>
                <w:sz w:val="20"/>
                <w:szCs w:val="20"/>
              </w:rPr>
              <w:t>99,693</w:t>
            </w:r>
          </w:p>
        </w:tc>
        <w:tc>
          <w:tcPr>
            <w:tcW w:w="50" w:type="pct"/>
            <w:shd w:val="clear" w:color="auto" w:fill="CCEEFF"/>
            <w:vAlign w:val="bottom"/>
            <w:hideMark/>
          </w:tcPr>
          <w:p w14:paraId="7BD42CAE" w14:textId="77777777" w:rsidR="00000000" w:rsidRDefault="00527094">
            <w:pPr>
              <w:rPr>
                <w:rFonts w:eastAsia="Times New Roman"/>
                <w:sz w:val="20"/>
                <w:szCs w:val="20"/>
              </w:rPr>
            </w:pPr>
            <w:r>
              <w:rPr>
                <w:rFonts w:eastAsia="Times New Roman"/>
                <w:sz w:val="20"/>
                <w:szCs w:val="20"/>
              </w:rPr>
              <w:t> </w:t>
            </w:r>
          </w:p>
        </w:tc>
      </w:tr>
      <w:tr w:rsidR="00000000" w14:paraId="610CBEEA" w14:textId="77777777">
        <w:trPr>
          <w:tblCellSpacing w:w="0" w:type="dxa"/>
        </w:trPr>
        <w:tc>
          <w:tcPr>
            <w:tcW w:w="0" w:type="auto"/>
            <w:shd w:val="clear" w:color="auto" w:fill="FFFFFF"/>
            <w:vAlign w:val="bottom"/>
            <w:hideMark/>
          </w:tcPr>
          <w:p w14:paraId="75337E46" w14:textId="77777777" w:rsidR="00000000" w:rsidRDefault="00527094">
            <w:pPr>
              <w:pStyle w:val="a3"/>
              <w:spacing w:before="0" w:beforeAutospacing="0" w:after="0" w:afterAutospacing="0"/>
              <w:ind w:left="180"/>
              <w:rPr>
                <w:sz w:val="20"/>
                <w:szCs w:val="20"/>
              </w:rPr>
            </w:pPr>
            <w:r>
              <w:rPr>
                <w:sz w:val="20"/>
                <w:szCs w:val="20"/>
              </w:rPr>
              <w:t>Investments in real estate joint ventures (1)</w:t>
            </w:r>
          </w:p>
        </w:tc>
        <w:tc>
          <w:tcPr>
            <w:tcW w:w="50" w:type="pct"/>
            <w:shd w:val="clear" w:color="auto" w:fill="FFFFFF"/>
            <w:vAlign w:val="bottom"/>
            <w:hideMark/>
          </w:tcPr>
          <w:p w14:paraId="5380286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9BFE77"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597E1AC2" w14:textId="77777777" w:rsidR="00000000" w:rsidRDefault="00527094">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14:paraId="55D564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7610C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6D7EBA"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45A36B7A"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95F13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7114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286AB6"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5992CA44"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F66802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50004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27C45C"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62A50770" w14:textId="77777777" w:rsidR="00000000" w:rsidRDefault="00527094">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14:paraId="701B4401" w14:textId="77777777" w:rsidR="00000000" w:rsidRDefault="00527094">
            <w:pPr>
              <w:rPr>
                <w:rFonts w:eastAsia="Times New Roman"/>
                <w:sz w:val="20"/>
                <w:szCs w:val="20"/>
              </w:rPr>
            </w:pPr>
            <w:r>
              <w:rPr>
                <w:rFonts w:eastAsia="Times New Roman"/>
                <w:sz w:val="20"/>
                <w:szCs w:val="20"/>
              </w:rPr>
              <w:t> </w:t>
            </w:r>
          </w:p>
        </w:tc>
      </w:tr>
    </w:tbl>
    <w:p w14:paraId="41050E38" w14:textId="77777777" w:rsidR="00000000" w:rsidRDefault="0052709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830E760" w14:textId="77777777">
        <w:trPr>
          <w:tblCellSpacing w:w="0" w:type="dxa"/>
        </w:trPr>
        <w:tc>
          <w:tcPr>
            <w:tcW w:w="360" w:type="dxa"/>
            <w:vAlign w:val="center"/>
            <w:hideMark/>
          </w:tcPr>
          <w:p w14:paraId="79FF53CE" w14:textId="77777777" w:rsidR="00000000" w:rsidRDefault="00527094">
            <w:pPr>
              <w:rPr>
                <w:rFonts w:eastAsia="Times New Roman"/>
                <w:sz w:val="20"/>
                <w:szCs w:val="20"/>
              </w:rPr>
            </w:pPr>
            <w:r>
              <w:rPr>
                <w:rFonts w:eastAsia="Times New Roman"/>
                <w:sz w:val="20"/>
                <w:szCs w:val="20"/>
              </w:rPr>
              <w:t> </w:t>
            </w:r>
          </w:p>
        </w:tc>
        <w:tc>
          <w:tcPr>
            <w:tcW w:w="360" w:type="dxa"/>
            <w:hideMark/>
          </w:tcPr>
          <w:p w14:paraId="533F0164"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33254766" w14:textId="77777777" w:rsidR="00000000" w:rsidRDefault="00527094">
            <w:pPr>
              <w:pStyle w:val="a3"/>
              <w:spacing w:before="0" w:beforeAutospacing="0" w:after="0" w:afterAutospacing="0"/>
              <w:jc w:val="both"/>
              <w:rPr>
                <w:sz w:val="20"/>
                <w:szCs w:val="20"/>
              </w:rPr>
            </w:pPr>
            <w:r>
              <w:rPr>
                <w:sz w:val="20"/>
                <w:szCs w:val="20"/>
              </w:rPr>
              <w:t>Fair value measurement as of date of deconsolidation.</w:t>
            </w:r>
          </w:p>
        </w:tc>
      </w:tr>
    </w:tbl>
    <w:p w14:paraId="4729271D" w14:textId="77777777" w:rsidR="00000000" w:rsidRDefault="00527094">
      <w:pPr>
        <w:pStyle w:val="a3"/>
        <w:spacing w:before="0" w:beforeAutospacing="0" w:after="0" w:afterAutospacing="0"/>
        <w:jc w:val="both"/>
        <w:rPr>
          <w:sz w:val="20"/>
          <w:szCs w:val="20"/>
        </w:rPr>
      </w:pPr>
      <w:r>
        <w:rPr>
          <w:sz w:val="20"/>
          <w:szCs w:val="20"/>
        </w:rPr>
        <w:t> </w:t>
      </w:r>
    </w:p>
    <w:p w14:paraId="10CE6A31" w14:textId="77777777" w:rsidR="00000000" w:rsidRDefault="00527094">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2018,</w:t>
      </w:r>
      <w:r>
        <w:rPr>
          <w:sz w:val="20"/>
          <w:szCs w:val="20"/>
        </w:rPr>
        <w:t xml:space="preserve"> </w:t>
      </w:r>
      <w:r>
        <w:rPr>
          <w:sz w:val="20"/>
          <w:szCs w:val="20"/>
        </w:rPr>
        <w:t>the Company recognized impairment charges related to adjustments to property carrying values of $21.6 million and $30.5 million, respectively. The Company’s estimated fair values of these properties were primarily based upon estimated sales prices from (i)</w:t>
      </w:r>
      <w:r>
        <w:rPr>
          <w:sz w:val="20"/>
          <w:szCs w:val="20"/>
        </w:rPr>
        <w:t> signed contracts or letters of intent from</w:t>
      </w:r>
      <w:r>
        <w:rPr>
          <w:sz w:val="20"/>
          <w:szCs w:val="20"/>
        </w:rPr>
        <w:t xml:space="preserve"> </w:t>
      </w:r>
      <w:r>
        <w:rPr>
          <w:rStyle w:val="a6"/>
          <w:i w:val="0"/>
          <w:iCs w:val="0"/>
          <w:sz w:val="20"/>
          <w:szCs w:val="20"/>
        </w:rPr>
        <w:t>third</w:t>
      </w:r>
      <w:r>
        <w:rPr>
          <w:sz w:val="20"/>
          <w:szCs w:val="20"/>
        </w:rPr>
        <w:t xml:space="preserve"> party offers or (ii) discounted cash flow models. The Company does</w:t>
      </w:r>
      <w:r>
        <w:rPr>
          <w:sz w:val="20"/>
          <w:szCs w:val="20"/>
        </w:rPr>
        <w:t xml:space="preserve"> </w:t>
      </w:r>
      <w:r>
        <w:rPr>
          <w:rStyle w:val="a6"/>
          <w:i w:val="0"/>
          <w:iCs w:val="0"/>
          <w:sz w:val="20"/>
          <w:szCs w:val="20"/>
        </w:rPr>
        <w:t>not</w:t>
      </w:r>
      <w:r>
        <w:rPr>
          <w:sz w:val="20"/>
          <w:szCs w:val="20"/>
        </w:rPr>
        <w:t xml:space="preserve"> have access to the unobservable inputs used to determine the estimated fair values of</w:t>
      </w:r>
      <w:r>
        <w:rPr>
          <w:sz w:val="20"/>
          <w:szCs w:val="20"/>
        </w:rPr>
        <w:t xml:space="preserve"> </w:t>
      </w:r>
      <w:r>
        <w:rPr>
          <w:rStyle w:val="a6"/>
          <w:i w:val="0"/>
          <w:iCs w:val="0"/>
          <w:sz w:val="20"/>
          <w:szCs w:val="20"/>
        </w:rPr>
        <w:t>third</w:t>
      </w:r>
      <w:r>
        <w:rPr>
          <w:sz w:val="20"/>
          <w:szCs w:val="20"/>
        </w:rPr>
        <w:t xml:space="preserve"> party offers. For the discounted cash flow </w:t>
      </w:r>
      <w:r>
        <w:rPr>
          <w:sz w:val="20"/>
          <w:szCs w:val="20"/>
        </w:rPr>
        <w:t>models, the capitalization rates primarily range from 9.75% to 11.00% and discount rates primarily range from 11.00% to 12.50% which were utilized in the models based upon unobservable rates that the Company believes to be within a reasonable range of curr</w:t>
      </w:r>
      <w:r>
        <w:rPr>
          <w:sz w:val="20"/>
          <w:szCs w:val="20"/>
        </w:rPr>
        <w:t>ent market rates for each respective investment.  Based on these inputs, the Company determined that its valuation of these investments was classified within Level</w:t>
      </w:r>
      <w:r>
        <w:rPr>
          <w:sz w:val="20"/>
          <w:szCs w:val="20"/>
        </w:rPr>
        <w:t xml:space="preserve"> </w:t>
      </w:r>
      <w:r>
        <w:rPr>
          <w:rStyle w:val="a6"/>
          <w:i w:val="0"/>
          <w:iCs w:val="0"/>
          <w:sz w:val="20"/>
          <w:szCs w:val="20"/>
        </w:rPr>
        <w:t>3</w:t>
      </w:r>
      <w:r>
        <w:rPr>
          <w:sz w:val="20"/>
          <w:szCs w:val="20"/>
        </w:rPr>
        <w:t xml:space="preserve"> of the fair value hierarchy. (See Footnote</w:t>
      </w:r>
      <w:r>
        <w:rPr>
          <w:sz w:val="20"/>
          <w:szCs w:val="20"/>
        </w:rPr>
        <w:t xml:space="preserve"> </w:t>
      </w:r>
      <w:r>
        <w:rPr>
          <w:rStyle w:val="a6"/>
          <w:i w:val="0"/>
          <w:iCs w:val="0"/>
          <w:sz w:val="20"/>
          <w:szCs w:val="20"/>
        </w:rPr>
        <w:t>3</w:t>
      </w:r>
      <w:r>
        <w:rPr>
          <w:sz w:val="20"/>
          <w:szCs w:val="20"/>
        </w:rPr>
        <w:t xml:space="preserve"> to the Notes to the Company’s Condensed Conso</w:t>
      </w:r>
      <w:r>
        <w:rPr>
          <w:sz w:val="20"/>
          <w:szCs w:val="20"/>
        </w:rPr>
        <w:t>lidated Financial Statements for additional discussion regarding impairment charges).</w:t>
      </w:r>
    </w:p>
    <w:p w14:paraId="59CC876E" w14:textId="77777777" w:rsidR="00000000" w:rsidRDefault="00527094">
      <w:pPr>
        <w:pStyle w:val="a3"/>
        <w:spacing w:before="0" w:beforeAutospacing="0" w:after="0" w:afterAutospacing="0"/>
        <w:rPr>
          <w:sz w:val="20"/>
          <w:szCs w:val="20"/>
        </w:rPr>
      </w:pPr>
      <w:r>
        <w:rPr>
          <w:sz w:val="20"/>
          <w:szCs w:val="20"/>
        </w:rPr>
        <w:t> </w:t>
      </w:r>
    </w:p>
    <w:p w14:paraId="1674788E" w14:textId="77777777" w:rsidR="00000000" w:rsidRDefault="00527094">
      <w:pPr>
        <w:divId w:val="1527524603"/>
        <w:rPr>
          <w:rFonts w:eastAsia="Times New Roman"/>
          <w:sz w:val="20"/>
          <w:szCs w:val="20"/>
        </w:rPr>
      </w:pPr>
      <w:r>
        <w:rPr>
          <w:rFonts w:eastAsia="Times New Roman"/>
          <w:sz w:val="20"/>
          <w:szCs w:val="20"/>
        </w:rPr>
        <w:t xml:space="preserve">  </w:t>
      </w:r>
    </w:p>
    <w:p w14:paraId="0D41A127" w14:textId="77777777" w:rsidR="00000000" w:rsidRDefault="00527094">
      <w:pPr>
        <w:pStyle w:val="a3"/>
        <w:spacing w:before="0" w:beforeAutospacing="0" w:after="0" w:afterAutospacing="0"/>
        <w:rPr>
          <w:sz w:val="20"/>
          <w:szCs w:val="20"/>
        </w:rPr>
      </w:pPr>
      <w:r>
        <w:rPr>
          <w:rStyle w:val="a6"/>
          <w:i w:val="0"/>
          <w:iCs w:val="0"/>
          <w:sz w:val="20"/>
          <w:szCs w:val="20"/>
        </w:rPr>
        <w:t>13.</w:t>
      </w:r>
      <w:r>
        <w:rPr>
          <w:sz w:val="20"/>
          <w:szCs w:val="20"/>
        </w:rPr>
        <w:t xml:space="preserve"> </w:t>
      </w:r>
      <w:r>
        <w:rPr>
          <w:sz w:val="20"/>
          <w:szCs w:val="20"/>
          <w:u w:val="single"/>
        </w:rPr>
        <w:t>Incentive Plans</w:t>
      </w:r>
    </w:p>
    <w:p w14:paraId="29D0062C" w14:textId="77777777" w:rsidR="00000000" w:rsidRDefault="00527094">
      <w:pPr>
        <w:pStyle w:val="a3"/>
        <w:spacing w:before="0" w:beforeAutospacing="0" w:after="0" w:afterAutospacing="0"/>
        <w:jc w:val="both"/>
        <w:rPr>
          <w:sz w:val="20"/>
          <w:szCs w:val="20"/>
        </w:rPr>
      </w:pPr>
      <w:r>
        <w:rPr>
          <w:sz w:val="20"/>
          <w:szCs w:val="20"/>
        </w:rPr>
        <w:t> </w:t>
      </w:r>
    </w:p>
    <w:p w14:paraId="2C8997E2" w14:textId="77777777" w:rsidR="00000000" w:rsidRDefault="00527094">
      <w:pPr>
        <w:pStyle w:val="a3"/>
        <w:spacing w:before="0" w:beforeAutospacing="0" w:after="0" w:afterAutospacing="0"/>
        <w:ind w:firstLine="360"/>
        <w:jc w:val="both"/>
        <w:rPr>
          <w:sz w:val="20"/>
          <w:szCs w:val="20"/>
        </w:rPr>
      </w:pPr>
      <w:r>
        <w:rPr>
          <w:sz w:val="20"/>
          <w:szCs w:val="20"/>
        </w:rPr>
        <w:t>The Company accounts for equity awards in accordance with FASB’s Compensation – Stock Compensation guidance which requires that all share-based</w:t>
      </w:r>
      <w:r>
        <w:rPr>
          <w:sz w:val="20"/>
          <w:szCs w:val="20"/>
        </w:rPr>
        <w:t xml:space="preserve"> payments to employees, including grants of employee stock options, restricted stock and performance shares, be recognized in the Condensed Consolidated Statements of Income over the service period based on their fair values. Fair value is determined, depe</w:t>
      </w:r>
      <w:r>
        <w:rPr>
          <w:sz w:val="20"/>
          <w:szCs w:val="20"/>
        </w:rPr>
        <w:t>nding on the type of award, using either the Black-Scholes option pricing formula or the Monte Carlo method for performance shares, both of which are intended to estimate the fair value of the awards at the grant date. Fair value of restricted shares is ca</w:t>
      </w:r>
      <w:r>
        <w:rPr>
          <w:sz w:val="20"/>
          <w:szCs w:val="20"/>
        </w:rPr>
        <w:t>lculated based on the price on the date of grant.</w:t>
      </w:r>
    </w:p>
    <w:p w14:paraId="35948109" w14:textId="77777777" w:rsidR="00000000" w:rsidRDefault="00527094">
      <w:pPr>
        <w:pStyle w:val="a3"/>
        <w:spacing w:before="0" w:beforeAutospacing="0" w:after="0" w:afterAutospacing="0"/>
        <w:ind w:left="360"/>
        <w:jc w:val="both"/>
        <w:rPr>
          <w:sz w:val="20"/>
          <w:szCs w:val="20"/>
        </w:rPr>
      </w:pPr>
      <w:r>
        <w:rPr>
          <w:sz w:val="20"/>
          <w:szCs w:val="20"/>
        </w:rPr>
        <w:t> </w:t>
      </w:r>
    </w:p>
    <w:p w14:paraId="1D26F822" w14:textId="77777777" w:rsidR="00000000" w:rsidRDefault="00527094">
      <w:pPr>
        <w:pStyle w:val="a3"/>
        <w:spacing w:before="0" w:beforeAutospacing="0" w:after="0" w:afterAutospacing="0"/>
        <w:ind w:firstLine="360"/>
        <w:jc w:val="both"/>
        <w:rPr>
          <w:sz w:val="20"/>
          <w:szCs w:val="20"/>
        </w:rPr>
      </w:pPr>
      <w:r>
        <w:rPr>
          <w:sz w:val="20"/>
          <w:szCs w:val="20"/>
        </w:rPr>
        <w:t>The Company recognized expenses associated with its equity awards of $10.3 million and $10.4 million for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2018,</w:t>
      </w:r>
      <w:r>
        <w:rPr>
          <w:sz w:val="20"/>
          <w:szCs w:val="20"/>
        </w:rPr>
        <w:t xml:space="preserve"> respectively.  As of</w:t>
      </w:r>
      <w:r>
        <w:rPr>
          <w:sz w:val="20"/>
          <w:szCs w:val="20"/>
        </w:rPr>
        <w:t xml:space="preserve"> </w:t>
      </w:r>
      <w:r>
        <w:rPr>
          <w:rStyle w:val="a6"/>
          <w:i w:val="0"/>
          <w:iCs w:val="0"/>
          <w:sz w:val="20"/>
          <w:szCs w:val="20"/>
        </w:rPr>
        <w:t xml:space="preserve">June 30, 2019, </w:t>
      </w:r>
      <w:r>
        <w:rPr>
          <w:sz w:val="20"/>
          <w:szCs w:val="20"/>
        </w:rPr>
        <w:t>the Company had $4</w:t>
      </w:r>
      <w:r>
        <w:rPr>
          <w:sz w:val="20"/>
          <w:szCs w:val="20"/>
        </w:rPr>
        <w:t>1.8 million of total unrecognized compensation cost related to unvested stock compensation granted under the Plans.  That cost is expected to be recognized over a weighted average period of approximately 3.1 years.</w:t>
      </w:r>
    </w:p>
    <w:p w14:paraId="7B09FD3A" w14:textId="77777777" w:rsidR="00000000" w:rsidRDefault="00527094">
      <w:pPr>
        <w:pStyle w:val="a3"/>
        <w:spacing w:before="0" w:beforeAutospacing="0" w:after="0" w:afterAutospacing="0"/>
        <w:rPr>
          <w:sz w:val="20"/>
          <w:szCs w:val="20"/>
        </w:rPr>
      </w:pPr>
      <w:r>
        <w:rPr>
          <w:sz w:val="20"/>
          <w:szCs w:val="20"/>
        </w:rPr>
        <w:t> </w:t>
      </w:r>
    </w:p>
    <w:p w14:paraId="494481D9" w14:textId="77777777" w:rsidR="00000000" w:rsidRDefault="00527094">
      <w:pPr>
        <w:divId w:val="735518875"/>
        <w:rPr>
          <w:rFonts w:eastAsia="Times New Roman"/>
          <w:sz w:val="20"/>
          <w:szCs w:val="20"/>
        </w:rPr>
      </w:pPr>
      <w:r>
        <w:rPr>
          <w:rFonts w:eastAsia="Times New Roman"/>
          <w:sz w:val="20"/>
          <w:szCs w:val="20"/>
        </w:rPr>
        <w:t xml:space="preserve">  </w:t>
      </w:r>
    </w:p>
    <w:p w14:paraId="64362B56" w14:textId="77777777" w:rsidR="00000000" w:rsidRDefault="00527094">
      <w:pPr>
        <w:pStyle w:val="a3"/>
        <w:spacing w:before="0" w:beforeAutospacing="0" w:after="0" w:afterAutospacing="0"/>
        <w:rPr>
          <w:sz w:val="20"/>
          <w:szCs w:val="20"/>
        </w:rPr>
      </w:pPr>
      <w:r>
        <w:rPr>
          <w:rStyle w:val="a6"/>
          <w:i w:val="0"/>
          <w:iCs w:val="0"/>
          <w:sz w:val="20"/>
          <w:szCs w:val="20"/>
        </w:rPr>
        <w:t>14.</w:t>
      </w:r>
      <w:r>
        <w:rPr>
          <w:sz w:val="20"/>
          <w:szCs w:val="20"/>
        </w:rPr>
        <w:t xml:space="preserve"> </w:t>
      </w:r>
      <w:r>
        <w:rPr>
          <w:sz w:val="20"/>
          <w:szCs w:val="20"/>
          <w:u w:val="single"/>
        </w:rPr>
        <w:t>Earnings Per Share</w:t>
      </w:r>
    </w:p>
    <w:p w14:paraId="0D29635A" w14:textId="77777777" w:rsidR="00000000" w:rsidRDefault="00527094">
      <w:pPr>
        <w:pStyle w:val="a3"/>
        <w:spacing w:before="0" w:beforeAutospacing="0" w:after="0" w:afterAutospacing="0"/>
        <w:jc w:val="both"/>
        <w:rPr>
          <w:sz w:val="20"/>
          <w:szCs w:val="20"/>
        </w:rPr>
      </w:pPr>
      <w:r>
        <w:rPr>
          <w:sz w:val="20"/>
          <w:szCs w:val="20"/>
        </w:rPr>
        <w:t> </w:t>
      </w:r>
    </w:p>
    <w:p w14:paraId="07D536C3" w14:textId="77777777" w:rsidR="00000000" w:rsidRDefault="00527094">
      <w:pPr>
        <w:pStyle w:val="a3"/>
        <w:spacing w:before="0" w:beforeAutospacing="0" w:after="0" w:afterAutospacing="0"/>
        <w:ind w:firstLine="360"/>
        <w:jc w:val="both"/>
        <w:rPr>
          <w:sz w:val="20"/>
          <w:szCs w:val="20"/>
        </w:rPr>
      </w:pPr>
      <w:r>
        <w:rPr>
          <w:sz w:val="20"/>
          <w:szCs w:val="20"/>
        </w:rPr>
        <w:t>The following table sets forth the reconciliation of earnings and the weighted average number of shares used in the calculation of basic and diluted earnings per share (amounts presented in thousands except per share data):</w:t>
      </w:r>
    </w:p>
    <w:p w14:paraId="19A279C2"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3"/>
        <w:gridCol w:w="100"/>
        <w:gridCol w:w="783"/>
        <w:gridCol w:w="73"/>
        <w:gridCol w:w="73"/>
        <w:gridCol w:w="100"/>
        <w:gridCol w:w="783"/>
        <w:gridCol w:w="73"/>
      </w:tblGrid>
      <w:tr w:rsidR="00000000" w14:paraId="0EEEB80D" w14:textId="77777777">
        <w:trPr>
          <w:tblCellSpacing w:w="0" w:type="dxa"/>
        </w:trPr>
        <w:tc>
          <w:tcPr>
            <w:tcW w:w="0" w:type="auto"/>
            <w:vAlign w:val="bottom"/>
            <w:hideMark/>
          </w:tcPr>
          <w:p w14:paraId="0925D3A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B3689A3" w14:textId="77777777" w:rsidR="00000000" w:rsidRDefault="00527094">
            <w:pPr>
              <w:rPr>
                <w:rFonts w:eastAsia="Times New Roman"/>
                <w:sz w:val="20"/>
                <w:szCs w:val="20"/>
              </w:rPr>
            </w:pPr>
            <w:r>
              <w:rPr>
                <w:rFonts w:eastAsia="Times New Roman"/>
                <w:sz w:val="20"/>
                <w:szCs w:val="20"/>
              </w:rPr>
              <w:t> </w:t>
            </w:r>
          </w:p>
        </w:tc>
        <w:tc>
          <w:tcPr>
            <w:tcW w:w="0" w:type="auto"/>
            <w:gridSpan w:val="6"/>
            <w:vAlign w:val="bottom"/>
            <w:hideMark/>
          </w:tcPr>
          <w:p w14:paraId="464AFA5F" w14:textId="77777777" w:rsidR="00000000" w:rsidRDefault="00527094">
            <w:pPr>
              <w:pStyle w:val="a3"/>
              <w:spacing w:before="0" w:beforeAutospacing="0" w:after="0" w:afterAutospacing="0"/>
              <w:jc w:val="center"/>
              <w:rPr>
                <w:sz w:val="20"/>
                <w:szCs w:val="20"/>
              </w:rPr>
            </w:pPr>
            <w:r>
              <w:rPr>
                <w:b/>
                <w:bCs/>
                <w:sz w:val="20"/>
                <w:szCs w:val="20"/>
              </w:rPr>
              <w:t>Three Months Ended</w:t>
            </w:r>
          </w:p>
        </w:tc>
        <w:tc>
          <w:tcPr>
            <w:tcW w:w="0" w:type="auto"/>
            <w:vAlign w:val="bottom"/>
            <w:hideMark/>
          </w:tcPr>
          <w:p w14:paraId="4573E54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A2FBBAC" w14:textId="77777777" w:rsidR="00000000" w:rsidRDefault="00527094">
            <w:pPr>
              <w:rPr>
                <w:rFonts w:eastAsia="Times New Roman"/>
                <w:sz w:val="20"/>
                <w:szCs w:val="20"/>
              </w:rPr>
            </w:pPr>
            <w:r>
              <w:rPr>
                <w:rFonts w:eastAsia="Times New Roman"/>
                <w:sz w:val="20"/>
                <w:szCs w:val="20"/>
              </w:rPr>
              <w:t> </w:t>
            </w:r>
          </w:p>
        </w:tc>
        <w:tc>
          <w:tcPr>
            <w:tcW w:w="0" w:type="auto"/>
            <w:gridSpan w:val="6"/>
            <w:vAlign w:val="bottom"/>
            <w:hideMark/>
          </w:tcPr>
          <w:p w14:paraId="643F7805" w14:textId="77777777" w:rsidR="00000000" w:rsidRDefault="00527094">
            <w:pPr>
              <w:pStyle w:val="a3"/>
              <w:spacing w:before="0" w:beforeAutospacing="0" w:after="0" w:afterAutospacing="0"/>
              <w:jc w:val="center"/>
              <w:rPr>
                <w:sz w:val="20"/>
                <w:szCs w:val="20"/>
              </w:rPr>
            </w:pPr>
            <w:r>
              <w:rPr>
                <w:b/>
                <w:bCs/>
                <w:sz w:val="20"/>
                <w:szCs w:val="20"/>
              </w:rPr>
              <w:t>Six Months Ended</w:t>
            </w:r>
          </w:p>
        </w:tc>
        <w:tc>
          <w:tcPr>
            <w:tcW w:w="0" w:type="auto"/>
            <w:vAlign w:val="bottom"/>
            <w:hideMark/>
          </w:tcPr>
          <w:p w14:paraId="71EC3D0B" w14:textId="77777777" w:rsidR="00000000" w:rsidRDefault="00527094">
            <w:pPr>
              <w:rPr>
                <w:rFonts w:eastAsia="Times New Roman"/>
                <w:sz w:val="20"/>
                <w:szCs w:val="20"/>
              </w:rPr>
            </w:pPr>
            <w:r>
              <w:rPr>
                <w:rFonts w:eastAsia="Times New Roman"/>
                <w:sz w:val="20"/>
                <w:szCs w:val="20"/>
              </w:rPr>
              <w:t> </w:t>
            </w:r>
          </w:p>
        </w:tc>
      </w:tr>
      <w:tr w:rsidR="00000000" w14:paraId="45939BB4" w14:textId="77777777">
        <w:trPr>
          <w:tblCellSpacing w:w="0" w:type="dxa"/>
        </w:trPr>
        <w:tc>
          <w:tcPr>
            <w:tcW w:w="0" w:type="auto"/>
            <w:vAlign w:val="bottom"/>
            <w:hideMark/>
          </w:tcPr>
          <w:p w14:paraId="7717714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962D271"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F3024DF" w14:textId="77777777" w:rsidR="00000000" w:rsidRDefault="00527094">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3503677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EA4FBA6"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A56EAB7" w14:textId="77777777" w:rsidR="00000000" w:rsidRDefault="00527094">
            <w:pPr>
              <w:jc w:val="center"/>
              <w:rPr>
                <w:rFonts w:eastAsia="Times New Roman"/>
                <w:sz w:val="20"/>
                <w:szCs w:val="20"/>
              </w:rPr>
            </w:pPr>
            <w:r>
              <w:rPr>
                <w:rFonts w:eastAsia="Times New Roman"/>
                <w:b/>
                <w:bCs/>
                <w:sz w:val="20"/>
                <w:szCs w:val="20"/>
              </w:rPr>
              <w:t>June 30,</w:t>
            </w:r>
          </w:p>
        </w:tc>
        <w:tc>
          <w:tcPr>
            <w:tcW w:w="0" w:type="auto"/>
            <w:tcMar>
              <w:top w:w="0" w:type="dxa"/>
              <w:left w:w="0" w:type="dxa"/>
              <w:bottom w:w="15" w:type="dxa"/>
              <w:right w:w="0" w:type="dxa"/>
            </w:tcMar>
            <w:vAlign w:val="bottom"/>
            <w:hideMark/>
          </w:tcPr>
          <w:p w14:paraId="73775F65" w14:textId="77777777" w:rsidR="00000000" w:rsidRDefault="00527094">
            <w:pPr>
              <w:rPr>
                <w:rFonts w:eastAsia="Times New Roman"/>
                <w:sz w:val="20"/>
                <w:szCs w:val="20"/>
              </w:rPr>
            </w:pPr>
            <w:r>
              <w:rPr>
                <w:rFonts w:eastAsia="Times New Roman"/>
                <w:b/>
                <w:bCs/>
                <w:sz w:val="20"/>
                <w:szCs w:val="20"/>
              </w:rPr>
              <w:t> </w:t>
            </w:r>
          </w:p>
        </w:tc>
      </w:tr>
      <w:tr w:rsidR="00000000" w14:paraId="0B7A48D2" w14:textId="77777777">
        <w:trPr>
          <w:tblCellSpacing w:w="0" w:type="dxa"/>
        </w:trPr>
        <w:tc>
          <w:tcPr>
            <w:tcW w:w="0" w:type="auto"/>
            <w:vAlign w:val="bottom"/>
            <w:hideMark/>
          </w:tcPr>
          <w:p w14:paraId="4AC92587"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1B17D6B"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1252F63"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A97C7A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BD4021A"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F617995"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98236AC"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37853E6"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A37A293"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364E3B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080455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3F1B3A9"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A86410B" w14:textId="77777777" w:rsidR="00000000" w:rsidRDefault="00527094">
            <w:pPr>
              <w:rPr>
                <w:rFonts w:eastAsia="Times New Roman"/>
                <w:sz w:val="20"/>
                <w:szCs w:val="20"/>
              </w:rPr>
            </w:pPr>
            <w:r>
              <w:rPr>
                <w:rFonts w:eastAsia="Times New Roman"/>
                <w:sz w:val="20"/>
                <w:szCs w:val="20"/>
              </w:rPr>
              <w:t> </w:t>
            </w:r>
          </w:p>
        </w:tc>
      </w:tr>
      <w:tr w:rsidR="00000000" w14:paraId="301D2584" w14:textId="77777777">
        <w:trPr>
          <w:tblCellSpacing w:w="0" w:type="dxa"/>
        </w:trPr>
        <w:tc>
          <w:tcPr>
            <w:tcW w:w="2400" w:type="pct"/>
            <w:shd w:val="clear" w:color="auto" w:fill="CCEEFF"/>
            <w:vAlign w:val="bottom"/>
            <w:hideMark/>
          </w:tcPr>
          <w:p w14:paraId="6D4863A6" w14:textId="77777777" w:rsidR="00000000" w:rsidRDefault="00527094">
            <w:pPr>
              <w:pStyle w:val="a3"/>
              <w:spacing w:before="0" w:beforeAutospacing="0" w:after="0" w:afterAutospacing="0"/>
              <w:ind w:left="180" w:hanging="180"/>
              <w:rPr>
                <w:sz w:val="20"/>
                <w:szCs w:val="20"/>
              </w:rPr>
            </w:pPr>
            <w:r>
              <w:rPr>
                <w:i/>
                <w:iCs/>
                <w:sz w:val="20"/>
                <w:szCs w:val="20"/>
              </w:rPr>
              <w:t>Computation of Basic and Diluted Earnings Per Share:</w:t>
            </w:r>
          </w:p>
        </w:tc>
        <w:tc>
          <w:tcPr>
            <w:tcW w:w="0" w:type="auto"/>
            <w:shd w:val="clear" w:color="auto" w:fill="CCEEFF"/>
            <w:vAlign w:val="bottom"/>
            <w:hideMark/>
          </w:tcPr>
          <w:p w14:paraId="0D23BC7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01B6BC"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6FCC2927"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0653BBBA"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55557A1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A25BD"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10C6ABE3"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0BCF058"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5B5D216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D67609"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247AEB0C"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1A97F28B"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5240876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74A25"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17042B1C" w14:textId="77777777" w:rsidR="00000000" w:rsidRDefault="0052709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15F69775" w14:textId="77777777" w:rsidR="00000000" w:rsidRDefault="00527094">
            <w:pPr>
              <w:rPr>
                <w:rFonts w:eastAsia="Times New Roman"/>
                <w:sz w:val="20"/>
                <w:szCs w:val="20"/>
              </w:rPr>
            </w:pPr>
            <w:r>
              <w:rPr>
                <w:rFonts w:eastAsia="Times New Roman"/>
                <w:i/>
                <w:iCs/>
                <w:sz w:val="20"/>
                <w:szCs w:val="20"/>
              </w:rPr>
              <w:t> </w:t>
            </w:r>
          </w:p>
        </w:tc>
      </w:tr>
      <w:tr w:rsidR="00000000" w14:paraId="2179530E" w14:textId="77777777">
        <w:trPr>
          <w:tblCellSpacing w:w="0" w:type="dxa"/>
        </w:trPr>
        <w:tc>
          <w:tcPr>
            <w:tcW w:w="0" w:type="auto"/>
            <w:shd w:val="clear" w:color="auto" w:fill="FFFFFF"/>
            <w:vAlign w:val="bottom"/>
            <w:hideMark/>
          </w:tcPr>
          <w:p w14:paraId="693513C4" w14:textId="77777777" w:rsidR="00000000" w:rsidRDefault="00527094">
            <w:pPr>
              <w:pStyle w:val="a3"/>
              <w:spacing w:before="0" w:beforeAutospacing="0" w:after="0" w:afterAutospacing="0"/>
              <w:ind w:left="180" w:hanging="180"/>
              <w:rPr>
                <w:sz w:val="20"/>
                <w:szCs w:val="20"/>
              </w:rPr>
            </w:pPr>
            <w:r>
              <w:rPr>
                <w:sz w:val="20"/>
                <w:szCs w:val="20"/>
              </w:rPr>
              <w:t>Net income available to the Company's common shareholders</w:t>
            </w:r>
          </w:p>
        </w:tc>
        <w:tc>
          <w:tcPr>
            <w:tcW w:w="50" w:type="pct"/>
            <w:shd w:val="clear" w:color="auto" w:fill="FFFFFF"/>
            <w:vAlign w:val="bottom"/>
            <w:hideMark/>
          </w:tcPr>
          <w:p w14:paraId="344425B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688DD7"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07164434" w14:textId="77777777" w:rsidR="00000000" w:rsidRDefault="00527094">
            <w:pPr>
              <w:jc w:val="right"/>
              <w:rPr>
                <w:rFonts w:eastAsia="Times New Roman"/>
                <w:sz w:val="20"/>
                <w:szCs w:val="20"/>
              </w:rPr>
            </w:pPr>
            <w:r>
              <w:rPr>
                <w:rFonts w:eastAsia="Times New Roman"/>
                <w:sz w:val="20"/>
                <w:szCs w:val="20"/>
              </w:rPr>
              <w:t>86,493</w:t>
            </w:r>
          </w:p>
        </w:tc>
        <w:tc>
          <w:tcPr>
            <w:tcW w:w="50" w:type="pct"/>
            <w:shd w:val="clear" w:color="auto" w:fill="FFFFFF"/>
            <w:vAlign w:val="bottom"/>
            <w:hideMark/>
          </w:tcPr>
          <w:p w14:paraId="7C43433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76D4B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CB9027"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146604EF" w14:textId="77777777" w:rsidR="00000000" w:rsidRDefault="00527094">
            <w:pPr>
              <w:jc w:val="right"/>
              <w:rPr>
                <w:rFonts w:eastAsia="Times New Roman"/>
                <w:sz w:val="20"/>
                <w:szCs w:val="20"/>
              </w:rPr>
            </w:pPr>
            <w:r>
              <w:rPr>
                <w:rFonts w:eastAsia="Times New Roman"/>
                <w:sz w:val="20"/>
                <w:szCs w:val="20"/>
              </w:rPr>
              <w:t>150,852</w:t>
            </w:r>
          </w:p>
        </w:tc>
        <w:tc>
          <w:tcPr>
            <w:tcW w:w="50" w:type="pct"/>
            <w:shd w:val="clear" w:color="auto" w:fill="FFFFFF"/>
            <w:vAlign w:val="bottom"/>
            <w:hideMark/>
          </w:tcPr>
          <w:p w14:paraId="28D7F35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9FBC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030D8C"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462B8FCC" w14:textId="77777777" w:rsidR="00000000" w:rsidRDefault="00527094">
            <w:pPr>
              <w:jc w:val="right"/>
              <w:rPr>
                <w:rFonts w:eastAsia="Times New Roman"/>
                <w:sz w:val="20"/>
                <w:szCs w:val="20"/>
              </w:rPr>
            </w:pPr>
            <w:r>
              <w:rPr>
                <w:rFonts w:eastAsia="Times New Roman"/>
                <w:sz w:val="20"/>
                <w:szCs w:val="20"/>
              </w:rPr>
              <w:t>188,128</w:t>
            </w:r>
          </w:p>
        </w:tc>
        <w:tc>
          <w:tcPr>
            <w:tcW w:w="50" w:type="pct"/>
            <w:shd w:val="clear" w:color="auto" w:fill="FFFFFF"/>
            <w:vAlign w:val="bottom"/>
            <w:hideMark/>
          </w:tcPr>
          <w:p w14:paraId="10385A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E48A5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9C9DC6" w14:textId="77777777" w:rsidR="00000000" w:rsidRDefault="00527094">
            <w:pPr>
              <w:rPr>
                <w:rFonts w:eastAsia="Times New Roman"/>
                <w:sz w:val="20"/>
                <w:szCs w:val="20"/>
              </w:rPr>
            </w:pPr>
            <w:r>
              <w:rPr>
                <w:rFonts w:eastAsia="Times New Roman"/>
                <w:sz w:val="20"/>
                <w:szCs w:val="20"/>
              </w:rPr>
              <w:t>$</w:t>
            </w:r>
          </w:p>
        </w:tc>
        <w:tc>
          <w:tcPr>
            <w:tcW w:w="500" w:type="pct"/>
            <w:shd w:val="clear" w:color="auto" w:fill="FFFFFF"/>
            <w:vAlign w:val="bottom"/>
            <w:hideMark/>
          </w:tcPr>
          <w:p w14:paraId="015D912C" w14:textId="77777777" w:rsidR="00000000" w:rsidRDefault="00527094">
            <w:pPr>
              <w:jc w:val="right"/>
              <w:rPr>
                <w:rFonts w:eastAsia="Times New Roman"/>
                <w:sz w:val="20"/>
                <w:szCs w:val="20"/>
              </w:rPr>
            </w:pPr>
            <w:r>
              <w:rPr>
                <w:rFonts w:eastAsia="Times New Roman"/>
                <w:sz w:val="20"/>
                <w:szCs w:val="20"/>
              </w:rPr>
              <w:t>280,353</w:t>
            </w:r>
          </w:p>
        </w:tc>
        <w:tc>
          <w:tcPr>
            <w:tcW w:w="50" w:type="pct"/>
            <w:shd w:val="clear" w:color="auto" w:fill="FFFFFF"/>
            <w:vAlign w:val="bottom"/>
            <w:hideMark/>
          </w:tcPr>
          <w:p w14:paraId="7D96E919" w14:textId="77777777" w:rsidR="00000000" w:rsidRDefault="00527094">
            <w:pPr>
              <w:rPr>
                <w:rFonts w:eastAsia="Times New Roman"/>
                <w:sz w:val="20"/>
                <w:szCs w:val="20"/>
              </w:rPr>
            </w:pPr>
            <w:r>
              <w:rPr>
                <w:rFonts w:eastAsia="Times New Roman"/>
                <w:sz w:val="20"/>
                <w:szCs w:val="20"/>
              </w:rPr>
              <w:t> </w:t>
            </w:r>
          </w:p>
        </w:tc>
      </w:tr>
      <w:tr w:rsidR="00000000" w14:paraId="0120B5C8" w14:textId="77777777">
        <w:trPr>
          <w:tblCellSpacing w:w="0" w:type="dxa"/>
        </w:trPr>
        <w:tc>
          <w:tcPr>
            <w:tcW w:w="0" w:type="auto"/>
            <w:shd w:val="clear" w:color="auto" w:fill="CCEEFF"/>
            <w:vAlign w:val="bottom"/>
            <w:hideMark/>
          </w:tcPr>
          <w:p w14:paraId="4673FF8D" w14:textId="77777777" w:rsidR="00000000" w:rsidRDefault="00527094">
            <w:pPr>
              <w:pStyle w:val="a3"/>
              <w:spacing w:before="0" w:beforeAutospacing="0" w:after="0" w:afterAutospacing="0"/>
              <w:ind w:left="180" w:hanging="180"/>
              <w:rPr>
                <w:sz w:val="20"/>
                <w:szCs w:val="20"/>
              </w:rPr>
            </w:pPr>
            <w:r>
              <w:rPr>
                <w:sz w:val="20"/>
                <w:szCs w:val="20"/>
              </w:rPr>
              <w:t>Earnings attributable to participating securities</w:t>
            </w:r>
          </w:p>
        </w:tc>
        <w:tc>
          <w:tcPr>
            <w:tcW w:w="50" w:type="pct"/>
            <w:shd w:val="clear" w:color="auto" w:fill="CCEEFF"/>
            <w:vAlign w:val="bottom"/>
            <w:hideMark/>
          </w:tcPr>
          <w:p w14:paraId="6B1F984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224772"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5C1B9DEE" w14:textId="77777777" w:rsidR="00000000" w:rsidRDefault="00527094">
            <w:pPr>
              <w:jc w:val="right"/>
              <w:rPr>
                <w:rFonts w:eastAsia="Times New Roman"/>
                <w:sz w:val="20"/>
                <w:szCs w:val="20"/>
              </w:rPr>
            </w:pPr>
            <w:r>
              <w:rPr>
                <w:rFonts w:eastAsia="Times New Roman"/>
                <w:sz w:val="20"/>
                <w:szCs w:val="20"/>
              </w:rPr>
              <w:t>(660</w:t>
            </w:r>
          </w:p>
        </w:tc>
        <w:tc>
          <w:tcPr>
            <w:tcW w:w="50" w:type="pct"/>
            <w:shd w:val="clear" w:color="auto" w:fill="CCEEFF"/>
            <w:tcMar>
              <w:top w:w="0" w:type="dxa"/>
              <w:left w:w="0" w:type="dxa"/>
              <w:bottom w:w="15" w:type="dxa"/>
              <w:right w:w="0" w:type="dxa"/>
            </w:tcMar>
            <w:vAlign w:val="bottom"/>
            <w:hideMark/>
          </w:tcPr>
          <w:p w14:paraId="2A86922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7A26C3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D1F3A38"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32098349" w14:textId="77777777" w:rsidR="00000000" w:rsidRDefault="00527094">
            <w:pPr>
              <w:jc w:val="right"/>
              <w:rPr>
                <w:rFonts w:eastAsia="Times New Roman"/>
                <w:sz w:val="20"/>
                <w:szCs w:val="20"/>
              </w:rPr>
            </w:pPr>
            <w:r>
              <w:rPr>
                <w:rFonts w:eastAsia="Times New Roman"/>
                <w:sz w:val="20"/>
                <w:szCs w:val="20"/>
              </w:rPr>
              <w:t>(863</w:t>
            </w:r>
          </w:p>
        </w:tc>
        <w:tc>
          <w:tcPr>
            <w:tcW w:w="50" w:type="pct"/>
            <w:shd w:val="clear" w:color="auto" w:fill="CCEEFF"/>
            <w:tcMar>
              <w:top w:w="0" w:type="dxa"/>
              <w:left w:w="0" w:type="dxa"/>
              <w:bottom w:w="15" w:type="dxa"/>
              <w:right w:w="0" w:type="dxa"/>
            </w:tcMar>
            <w:vAlign w:val="bottom"/>
            <w:hideMark/>
          </w:tcPr>
          <w:p w14:paraId="31FE549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5012E1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5198B3"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6A5BBFED" w14:textId="77777777" w:rsidR="00000000" w:rsidRDefault="00527094">
            <w:pPr>
              <w:jc w:val="right"/>
              <w:rPr>
                <w:rFonts w:eastAsia="Times New Roman"/>
                <w:sz w:val="20"/>
                <w:szCs w:val="20"/>
              </w:rPr>
            </w:pPr>
            <w:r>
              <w:rPr>
                <w:rFonts w:eastAsia="Times New Roman"/>
                <w:sz w:val="20"/>
                <w:szCs w:val="20"/>
              </w:rPr>
              <w:t>(1,285</w:t>
            </w:r>
          </w:p>
        </w:tc>
        <w:tc>
          <w:tcPr>
            <w:tcW w:w="50" w:type="pct"/>
            <w:shd w:val="clear" w:color="auto" w:fill="CCEEFF"/>
            <w:tcMar>
              <w:top w:w="0" w:type="dxa"/>
              <w:left w:w="0" w:type="dxa"/>
              <w:bottom w:w="15" w:type="dxa"/>
              <w:right w:w="0" w:type="dxa"/>
            </w:tcMar>
            <w:vAlign w:val="bottom"/>
            <w:hideMark/>
          </w:tcPr>
          <w:p w14:paraId="5CDECA14"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9FB391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5C9AFF8"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570B907" w14:textId="77777777" w:rsidR="00000000" w:rsidRDefault="00527094">
            <w:pPr>
              <w:jc w:val="right"/>
              <w:rPr>
                <w:rFonts w:eastAsia="Times New Roman"/>
                <w:sz w:val="20"/>
                <w:szCs w:val="20"/>
              </w:rPr>
            </w:pPr>
            <w:r>
              <w:rPr>
                <w:rFonts w:eastAsia="Times New Roman"/>
                <w:sz w:val="20"/>
                <w:szCs w:val="20"/>
              </w:rPr>
              <w:t>(1,472</w:t>
            </w:r>
          </w:p>
        </w:tc>
        <w:tc>
          <w:tcPr>
            <w:tcW w:w="50" w:type="pct"/>
            <w:shd w:val="clear" w:color="auto" w:fill="CCEEFF"/>
            <w:tcMar>
              <w:top w:w="0" w:type="dxa"/>
              <w:left w:w="0" w:type="dxa"/>
              <w:bottom w:w="15" w:type="dxa"/>
              <w:right w:w="0" w:type="dxa"/>
            </w:tcMar>
            <w:vAlign w:val="bottom"/>
            <w:hideMark/>
          </w:tcPr>
          <w:p w14:paraId="507705A7" w14:textId="77777777" w:rsidR="00000000" w:rsidRDefault="00527094">
            <w:pPr>
              <w:rPr>
                <w:rFonts w:eastAsia="Times New Roman"/>
                <w:sz w:val="20"/>
                <w:szCs w:val="20"/>
              </w:rPr>
            </w:pPr>
            <w:r>
              <w:rPr>
                <w:rFonts w:eastAsia="Times New Roman"/>
                <w:sz w:val="20"/>
                <w:szCs w:val="20"/>
              </w:rPr>
              <w:t>)</w:t>
            </w:r>
          </w:p>
        </w:tc>
      </w:tr>
      <w:tr w:rsidR="00000000" w14:paraId="3454D00D" w14:textId="77777777">
        <w:trPr>
          <w:tblCellSpacing w:w="0" w:type="dxa"/>
        </w:trPr>
        <w:tc>
          <w:tcPr>
            <w:tcW w:w="0" w:type="auto"/>
            <w:shd w:val="clear" w:color="auto" w:fill="FFFFFF"/>
            <w:vAlign w:val="bottom"/>
            <w:hideMark/>
          </w:tcPr>
          <w:p w14:paraId="5EEA7286" w14:textId="77777777" w:rsidR="00000000" w:rsidRDefault="00527094">
            <w:pPr>
              <w:pStyle w:val="a3"/>
              <w:spacing w:before="0" w:beforeAutospacing="0" w:after="0" w:afterAutospacing="0"/>
              <w:ind w:left="180" w:hanging="180"/>
              <w:rPr>
                <w:sz w:val="20"/>
                <w:szCs w:val="20"/>
              </w:rPr>
            </w:pPr>
            <w:r>
              <w:rPr>
                <w:sz w:val="20"/>
                <w:szCs w:val="20"/>
              </w:rPr>
              <w:t>Net income available to the Company’s common shareholders for basic earnings per share</w:t>
            </w:r>
          </w:p>
        </w:tc>
        <w:tc>
          <w:tcPr>
            <w:tcW w:w="50" w:type="pct"/>
            <w:tcBorders>
              <w:bottom w:val="nil"/>
            </w:tcBorders>
            <w:shd w:val="clear" w:color="auto" w:fill="FFFFFF"/>
            <w:vAlign w:val="bottom"/>
            <w:hideMark/>
          </w:tcPr>
          <w:p w14:paraId="633879B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08A22A2A" w14:textId="77777777" w:rsidR="00000000" w:rsidRDefault="0052709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50384813" w14:textId="77777777" w:rsidR="00000000" w:rsidRDefault="00527094">
            <w:pPr>
              <w:jc w:val="right"/>
              <w:rPr>
                <w:rFonts w:eastAsia="Times New Roman"/>
                <w:sz w:val="20"/>
                <w:szCs w:val="20"/>
              </w:rPr>
            </w:pPr>
            <w:r>
              <w:rPr>
                <w:rFonts w:eastAsia="Times New Roman"/>
                <w:sz w:val="20"/>
                <w:szCs w:val="20"/>
              </w:rPr>
              <w:t>85,833</w:t>
            </w:r>
          </w:p>
        </w:tc>
        <w:tc>
          <w:tcPr>
            <w:tcW w:w="50" w:type="pct"/>
            <w:tcBorders>
              <w:bottom w:val="nil"/>
            </w:tcBorders>
            <w:shd w:val="clear" w:color="auto" w:fill="FFFFFF"/>
            <w:vAlign w:val="bottom"/>
            <w:hideMark/>
          </w:tcPr>
          <w:p w14:paraId="1A31F14C"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0902B5C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48041325" w14:textId="77777777" w:rsidR="00000000" w:rsidRDefault="0052709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5F5F3E58" w14:textId="77777777" w:rsidR="00000000" w:rsidRDefault="00527094">
            <w:pPr>
              <w:jc w:val="right"/>
              <w:rPr>
                <w:rFonts w:eastAsia="Times New Roman"/>
                <w:sz w:val="20"/>
                <w:szCs w:val="20"/>
              </w:rPr>
            </w:pPr>
            <w:r>
              <w:rPr>
                <w:rFonts w:eastAsia="Times New Roman"/>
                <w:sz w:val="20"/>
                <w:szCs w:val="20"/>
              </w:rPr>
              <w:t>149,989</w:t>
            </w:r>
          </w:p>
        </w:tc>
        <w:tc>
          <w:tcPr>
            <w:tcW w:w="50" w:type="pct"/>
            <w:tcBorders>
              <w:bottom w:val="nil"/>
            </w:tcBorders>
            <w:shd w:val="clear" w:color="auto" w:fill="FFFFFF"/>
            <w:vAlign w:val="bottom"/>
            <w:hideMark/>
          </w:tcPr>
          <w:p w14:paraId="63E78FE1"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4587A9BE"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0087B34C" w14:textId="77777777" w:rsidR="00000000" w:rsidRDefault="0052709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70F612D8" w14:textId="77777777" w:rsidR="00000000" w:rsidRDefault="00527094">
            <w:pPr>
              <w:jc w:val="right"/>
              <w:rPr>
                <w:rFonts w:eastAsia="Times New Roman"/>
                <w:sz w:val="20"/>
                <w:szCs w:val="20"/>
              </w:rPr>
            </w:pPr>
            <w:r>
              <w:rPr>
                <w:rFonts w:eastAsia="Times New Roman"/>
                <w:sz w:val="20"/>
                <w:szCs w:val="20"/>
              </w:rPr>
              <w:t>186,843</w:t>
            </w:r>
          </w:p>
        </w:tc>
        <w:tc>
          <w:tcPr>
            <w:tcW w:w="50" w:type="pct"/>
            <w:tcBorders>
              <w:bottom w:val="nil"/>
            </w:tcBorders>
            <w:shd w:val="clear" w:color="auto" w:fill="FFFFFF"/>
            <w:vAlign w:val="bottom"/>
            <w:hideMark/>
          </w:tcPr>
          <w:p w14:paraId="2B3DD711"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E706A15"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39A2AFB3" w14:textId="77777777" w:rsidR="00000000" w:rsidRDefault="0052709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313B3A79" w14:textId="77777777" w:rsidR="00000000" w:rsidRDefault="00527094">
            <w:pPr>
              <w:jc w:val="right"/>
              <w:rPr>
                <w:rFonts w:eastAsia="Times New Roman"/>
                <w:sz w:val="20"/>
                <w:szCs w:val="20"/>
              </w:rPr>
            </w:pPr>
            <w:r>
              <w:rPr>
                <w:rFonts w:eastAsia="Times New Roman"/>
                <w:sz w:val="20"/>
                <w:szCs w:val="20"/>
              </w:rPr>
              <w:t>278,881</w:t>
            </w:r>
          </w:p>
        </w:tc>
        <w:tc>
          <w:tcPr>
            <w:tcW w:w="50" w:type="pct"/>
            <w:tcBorders>
              <w:bottom w:val="nil"/>
            </w:tcBorders>
            <w:shd w:val="clear" w:color="auto" w:fill="FFFFFF"/>
            <w:vAlign w:val="bottom"/>
            <w:hideMark/>
          </w:tcPr>
          <w:p w14:paraId="483F02A2" w14:textId="77777777" w:rsidR="00000000" w:rsidRDefault="00527094">
            <w:pPr>
              <w:rPr>
                <w:rFonts w:eastAsia="Times New Roman"/>
                <w:sz w:val="20"/>
                <w:szCs w:val="20"/>
              </w:rPr>
            </w:pPr>
            <w:r>
              <w:rPr>
                <w:rFonts w:eastAsia="Times New Roman"/>
                <w:sz w:val="20"/>
                <w:szCs w:val="20"/>
              </w:rPr>
              <w:t> </w:t>
            </w:r>
          </w:p>
        </w:tc>
      </w:tr>
      <w:tr w:rsidR="00000000" w14:paraId="2F7799C2" w14:textId="77777777">
        <w:trPr>
          <w:tblCellSpacing w:w="0" w:type="dxa"/>
        </w:trPr>
        <w:tc>
          <w:tcPr>
            <w:tcW w:w="0" w:type="auto"/>
            <w:shd w:val="clear" w:color="auto" w:fill="CCEEFF"/>
            <w:vAlign w:val="bottom"/>
            <w:hideMark/>
          </w:tcPr>
          <w:p w14:paraId="34BE5C57" w14:textId="77777777" w:rsidR="00000000" w:rsidRDefault="00527094">
            <w:pPr>
              <w:pStyle w:val="a3"/>
              <w:spacing w:before="0" w:beforeAutospacing="0" w:after="0" w:afterAutospacing="0"/>
              <w:ind w:left="180" w:hanging="180"/>
              <w:rPr>
                <w:sz w:val="20"/>
                <w:szCs w:val="20"/>
              </w:rPr>
            </w:pPr>
            <w:r>
              <w:rPr>
                <w:sz w:val="20"/>
                <w:szCs w:val="20"/>
              </w:rPr>
              <w:t>Distributions on convertible units</w:t>
            </w:r>
          </w:p>
        </w:tc>
        <w:tc>
          <w:tcPr>
            <w:tcW w:w="50" w:type="pct"/>
            <w:shd w:val="clear" w:color="auto" w:fill="CCEEFF"/>
            <w:vAlign w:val="bottom"/>
            <w:hideMark/>
          </w:tcPr>
          <w:p w14:paraId="05E9326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E3E4C43"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170099CF"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D194A2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3E9D9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330D1D8"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62EF2E72" w14:textId="77777777" w:rsidR="00000000" w:rsidRDefault="00527094">
            <w:pPr>
              <w:jc w:val="right"/>
              <w:rPr>
                <w:rFonts w:eastAsia="Times New Roman"/>
                <w:sz w:val="20"/>
                <w:szCs w:val="20"/>
              </w:rPr>
            </w:pPr>
            <w:r>
              <w:rPr>
                <w:rFonts w:eastAsia="Times New Roman"/>
                <w:sz w:val="20"/>
                <w:szCs w:val="20"/>
              </w:rPr>
              <w:t>282</w:t>
            </w:r>
          </w:p>
        </w:tc>
        <w:tc>
          <w:tcPr>
            <w:tcW w:w="50" w:type="pct"/>
            <w:shd w:val="clear" w:color="auto" w:fill="CCEEFF"/>
            <w:tcMar>
              <w:top w:w="0" w:type="dxa"/>
              <w:left w:w="0" w:type="dxa"/>
              <w:bottom w:w="15" w:type="dxa"/>
              <w:right w:w="0" w:type="dxa"/>
            </w:tcMar>
            <w:vAlign w:val="bottom"/>
            <w:hideMark/>
          </w:tcPr>
          <w:p w14:paraId="0CD5C99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A3A19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079E6E2"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7F9B3036" w14:textId="77777777" w:rsidR="00000000" w:rsidRDefault="00527094">
            <w:pPr>
              <w:jc w:val="right"/>
              <w:rPr>
                <w:rFonts w:eastAsia="Times New Roman"/>
                <w:sz w:val="20"/>
                <w:szCs w:val="20"/>
              </w:rPr>
            </w:pPr>
            <w:r>
              <w:rPr>
                <w:rFonts w:eastAsia="Times New Roman"/>
                <w:sz w:val="20"/>
                <w:szCs w:val="20"/>
              </w:rPr>
              <w:t>20</w:t>
            </w:r>
          </w:p>
        </w:tc>
        <w:tc>
          <w:tcPr>
            <w:tcW w:w="50" w:type="pct"/>
            <w:shd w:val="clear" w:color="auto" w:fill="CCEEFF"/>
            <w:tcMar>
              <w:top w:w="0" w:type="dxa"/>
              <w:left w:w="0" w:type="dxa"/>
              <w:bottom w:w="15" w:type="dxa"/>
              <w:right w:w="0" w:type="dxa"/>
            </w:tcMar>
            <w:vAlign w:val="bottom"/>
            <w:hideMark/>
          </w:tcPr>
          <w:p w14:paraId="7F95713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25ABF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743F4BB"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5109263" w14:textId="77777777" w:rsidR="00000000" w:rsidRDefault="00527094">
            <w:pPr>
              <w:jc w:val="right"/>
              <w:rPr>
                <w:rFonts w:eastAsia="Times New Roman"/>
                <w:sz w:val="20"/>
                <w:szCs w:val="20"/>
              </w:rPr>
            </w:pPr>
            <w:r>
              <w:rPr>
                <w:rFonts w:eastAsia="Times New Roman"/>
                <w:sz w:val="20"/>
                <w:szCs w:val="20"/>
              </w:rPr>
              <w:t>521</w:t>
            </w:r>
          </w:p>
        </w:tc>
        <w:tc>
          <w:tcPr>
            <w:tcW w:w="50" w:type="pct"/>
            <w:shd w:val="clear" w:color="auto" w:fill="CCEEFF"/>
            <w:tcMar>
              <w:top w:w="0" w:type="dxa"/>
              <w:left w:w="0" w:type="dxa"/>
              <w:bottom w:w="15" w:type="dxa"/>
              <w:right w:w="0" w:type="dxa"/>
            </w:tcMar>
            <w:vAlign w:val="bottom"/>
            <w:hideMark/>
          </w:tcPr>
          <w:p w14:paraId="67CC9B88" w14:textId="77777777" w:rsidR="00000000" w:rsidRDefault="00527094">
            <w:pPr>
              <w:rPr>
                <w:rFonts w:eastAsia="Times New Roman"/>
                <w:sz w:val="20"/>
                <w:szCs w:val="20"/>
              </w:rPr>
            </w:pPr>
            <w:r>
              <w:rPr>
                <w:rFonts w:eastAsia="Times New Roman"/>
                <w:sz w:val="20"/>
                <w:szCs w:val="20"/>
              </w:rPr>
              <w:t> </w:t>
            </w:r>
          </w:p>
        </w:tc>
      </w:tr>
      <w:tr w:rsidR="00000000" w14:paraId="6ABE0010" w14:textId="77777777">
        <w:trPr>
          <w:tblCellSpacing w:w="0" w:type="dxa"/>
        </w:trPr>
        <w:tc>
          <w:tcPr>
            <w:tcW w:w="0" w:type="auto"/>
            <w:shd w:val="clear" w:color="auto" w:fill="FFFFFF"/>
            <w:vAlign w:val="bottom"/>
            <w:hideMark/>
          </w:tcPr>
          <w:p w14:paraId="1A5269CA" w14:textId="77777777" w:rsidR="00000000" w:rsidRDefault="00527094">
            <w:pPr>
              <w:pStyle w:val="a3"/>
              <w:spacing w:before="0" w:beforeAutospacing="0" w:after="0" w:afterAutospacing="0"/>
              <w:ind w:left="180" w:hanging="180"/>
              <w:rPr>
                <w:sz w:val="20"/>
                <w:szCs w:val="20"/>
              </w:rPr>
            </w:pPr>
            <w:r>
              <w:rPr>
                <w:sz w:val="20"/>
                <w:szCs w:val="20"/>
              </w:rPr>
              <w:t>Net income available to the Company’s common shareholders for diluted earnings per share</w:t>
            </w:r>
          </w:p>
        </w:tc>
        <w:tc>
          <w:tcPr>
            <w:tcW w:w="50" w:type="pct"/>
            <w:shd w:val="clear" w:color="auto" w:fill="FFFFFF"/>
            <w:vAlign w:val="bottom"/>
            <w:hideMark/>
          </w:tcPr>
          <w:p w14:paraId="66B13AB4"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82600CE"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24F9AA84" w14:textId="77777777" w:rsidR="00000000" w:rsidRDefault="00527094">
            <w:pPr>
              <w:jc w:val="right"/>
              <w:rPr>
                <w:rFonts w:eastAsia="Times New Roman"/>
                <w:sz w:val="20"/>
                <w:szCs w:val="20"/>
              </w:rPr>
            </w:pPr>
            <w:r>
              <w:rPr>
                <w:rFonts w:eastAsia="Times New Roman"/>
                <w:sz w:val="20"/>
                <w:szCs w:val="20"/>
              </w:rPr>
              <w:t>85,833</w:t>
            </w:r>
          </w:p>
        </w:tc>
        <w:tc>
          <w:tcPr>
            <w:tcW w:w="50" w:type="pct"/>
            <w:shd w:val="clear" w:color="auto" w:fill="FFFFFF"/>
            <w:tcMar>
              <w:top w:w="0" w:type="dxa"/>
              <w:left w:w="0" w:type="dxa"/>
              <w:bottom w:w="45" w:type="dxa"/>
              <w:right w:w="0" w:type="dxa"/>
            </w:tcMar>
            <w:vAlign w:val="bottom"/>
            <w:hideMark/>
          </w:tcPr>
          <w:p w14:paraId="190F4EF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55185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A94C8A9"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8E2AE46" w14:textId="77777777" w:rsidR="00000000" w:rsidRDefault="00527094">
            <w:pPr>
              <w:jc w:val="right"/>
              <w:rPr>
                <w:rFonts w:eastAsia="Times New Roman"/>
                <w:sz w:val="20"/>
                <w:szCs w:val="20"/>
              </w:rPr>
            </w:pPr>
            <w:r>
              <w:rPr>
                <w:rFonts w:eastAsia="Times New Roman"/>
                <w:sz w:val="20"/>
                <w:szCs w:val="20"/>
              </w:rPr>
              <w:t>150,271</w:t>
            </w:r>
          </w:p>
        </w:tc>
        <w:tc>
          <w:tcPr>
            <w:tcW w:w="50" w:type="pct"/>
            <w:shd w:val="clear" w:color="auto" w:fill="FFFFFF"/>
            <w:tcMar>
              <w:top w:w="0" w:type="dxa"/>
              <w:left w:w="0" w:type="dxa"/>
              <w:bottom w:w="45" w:type="dxa"/>
              <w:right w:w="0" w:type="dxa"/>
            </w:tcMar>
            <w:vAlign w:val="bottom"/>
            <w:hideMark/>
          </w:tcPr>
          <w:p w14:paraId="7B4473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182DD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6A35C69"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141CF0AE" w14:textId="77777777" w:rsidR="00000000" w:rsidRDefault="00527094">
            <w:pPr>
              <w:jc w:val="right"/>
              <w:rPr>
                <w:rFonts w:eastAsia="Times New Roman"/>
                <w:sz w:val="20"/>
                <w:szCs w:val="20"/>
              </w:rPr>
            </w:pPr>
            <w:r>
              <w:rPr>
                <w:rFonts w:eastAsia="Times New Roman"/>
                <w:sz w:val="20"/>
                <w:szCs w:val="20"/>
              </w:rPr>
              <w:t>186,863</w:t>
            </w:r>
          </w:p>
        </w:tc>
        <w:tc>
          <w:tcPr>
            <w:tcW w:w="50" w:type="pct"/>
            <w:shd w:val="clear" w:color="auto" w:fill="FFFFFF"/>
            <w:tcMar>
              <w:top w:w="0" w:type="dxa"/>
              <w:left w:w="0" w:type="dxa"/>
              <w:bottom w:w="45" w:type="dxa"/>
              <w:right w:w="0" w:type="dxa"/>
            </w:tcMar>
            <w:vAlign w:val="bottom"/>
            <w:hideMark/>
          </w:tcPr>
          <w:p w14:paraId="3549F0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8C9AFD"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D22C6AE"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1A2CFB46" w14:textId="77777777" w:rsidR="00000000" w:rsidRDefault="00527094">
            <w:pPr>
              <w:jc w:val="right"/>
              <w:rPr>
                <w:rFonts w:eastAsia="Times New Roman"/>
                <w:sz w:val="20"/>
                <w:szCs w:val="20"/>
              </w:rPr>
            </w:pPr>
            <w:r>
              <w:rPr>
                <w:rFonts w:eastAsia="Times New Roman"/>
                <w:sz w:val="20"/>
                <w:szCs w:val="20"/>
              </w:rPr>
              <w:t>279,402</w:t>
            </w:r>
          </w:p>
        </w:tc>
        <w:tc>
          <w:tcPr>
            <w:tcW w:w="50" w:type="pct"/>
            <w:shd w:val="clear" w:color="auto" w:fill="FFFFFF"/>
            <w:tcMar>
              <w:top w:w="0" w:type="dxa"/>
              <w:left w:w="0" w:type="dxa"/>
              <w:bottom w:w="45" w:type="dxa"/>
              <w:right w:w="0" w:type="dxa"/>
            </w:tcMar>
            <w:vAlign w:val="bottom"/>
            <w:hideMark/>
          </w:tcPr>
          <w:p w14:paraId="4AB05BC9" w14:textId="77777777" w:rsidR="00000000" w:rsidRDefault="00527094">
            <w:pPr>
              <w:rPr>
                <w:rFonts w:eastAsia="Times New Roman"/>
                <w:sz w:val="20"/>
                <w:szCs w:val="20"/>
              </w:rPr>
            </w:pPr>
            <w:r>
              <w:rPr>
                <w:rFonts w:eastAsia="Times New Roman"/>
                <w:sz w:val="20"/>
                <w:szCs w:val="20"/>
              </w:rPr>
              <w:t> </w:t>
            </w:r>
          </w:p>
        </w:tc>
      </w:tr>
      <w:tr w:rsidR="00000000" w14:paraId="02685DB6" w14:textId="77777777">
        <w:trPr>
          <w:tblCellSpacing w:w="0" w:type="dxa"/>
        </w:trPr>
        <w:tc>
          <w:tcPr>
            <w:tcW w:w="0" w:type="auto"/>
            <w:shd w:val="clear" w:color="auto" w:fill="CCEEFF"/>
            <w:vAlign w:val="bottom"/>
            <w:hideMark/>
          </w:tcPr>
          <w:p w14:paraId="1615620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F1FF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AADC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CABEE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0B9D6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27CA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5767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DFAC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BBB9B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10F4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44EB0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9D85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EC74A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44846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98842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12244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07AC43" w14:textId="77777777" w:rsidR="00000000" w:rsidRDefault="00527094">
            <w:pPr>
              <w:rPr>
                <w:rFonts w:eastAsia="Times New Roman"/>
                <w:sz w:val="20"/>
                <w:szCs w:val="20"/>
              </w:rPr>
            </w:pPr>
            <w:r>
              <w:rPr>
                <w:rFonts w:eastAsia="Times New Roman"/>
                <w:sz w:val="20"/>
                <w:szCs w:val="20"/>
              </w:rPr>
              <w:t> </w:t>
            </w:r>
          </w:p>
        </w:tc>
      </w:tr>
      <w:tr w:rsidR="00000000" w14:paraId="7E5D284F" w14:textId="77777777">
        <w:trPr>
          <w:tblCellSpacing w:w="0" w:type="dxa"/>
        </w:trPr>
        <w:tc>
          <w:tcPr>
            <w:tcW w:w="0" w:type="auto"/>
            <w:shd w:val="clear" w:color="auto" w:fill="FFFFFF"/>
            <w:vAlign w:val="bottom"/>
            <w:hideMark/>
          </w:tcPr>
          <w:p w14:paraId="78DFBAA6" w14:textId="77777777" w:rsidR="00000000" w:rsidRDefault="00527094">
            <w:pPr>
              <w:pStyle w:val="a3"/>
              <w:spacing w:before="0" w:beforeAutospacing="0" w:after="0" w:afterAutospacing="0"/>
              <w:ind w:left="180" w:hanging="180"/>
              <w:rPr>
                <w:sz w:val="20"/>
                <w:szCs w:val="20"/>
              </w:rPr>
            </w:pPr>
            <w:r>
              <w:rPr>
                <w:sz w:val="20"/>
                <w:szCs w:val="20"/>
              </w:rPr>
              <w:t>Weighted average common shares outstanding – basic</w:t>
            </w:r>
          </w:p>
        </w:tc>
        <w:tc>
          <w:tcPr>
            <w:tcW w:w="50" w:type="pct"/>
            <w:shd w:val="clear" w:color="auto" w:fill="FFFFFF"/>
            <w:vAlign w:val="bottom"/>
            <w:hideMark/>
          </w:tcPr>
          <w:p w14:paraId="3A0860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6ECCE2"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BB6EB3F" w14:textId="77777777" w:rsidR="00000000" w:rsidRDefault="00527094">
            <w:pPr>
              <w:jc w:val="right"/>
              <w:rPr>
                <w:rFonts w:eastAsia="Times New Roman"/>
                <w:sz w:val="20"/>
                <w:szCs w:val="20"/>
              </w:rPr>
            </w:pPr>
            <w:r>
              <w:rPr>
                <w:rFonts w:eastAsia="Times New Roman"/>
                <w:sz w:val="20"/>
                <w:szCs w:val="20"/>
              </w:rPr>
              <w:t>419,697</w:t>
            </w:r>
          </w:p>
        </w:tc>
        <w:tc>
          <w:tcPr>
            <w:tcW w:w="50" w:type="pct"/>
            <w:shd w:val="clear" w:color="auto" w:fill="FFFFFF"/>
            <w:vAlign w:val="bottom"/>
            <w:hideMark/>
          </w:tcPr>
          <w:p w14:paraId="236B8E2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3945D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38EA26"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27B91B2" w14:textId="77777777" w:rsidR="00000000" w:rsidRDefault="00527094">
            <w:pPr>
              <w:jc w:val="right"/>
              <w:rPr>
                <w:rFonts w:eastAsia="Times New Roman"/>
                <w:sz w:val="20"/>
                <w:szCs w:val="20"/>
              </w:rPr>
            </w:pPr>
            <w:r>
              <w:rPr>
                <w:rFonts w:eastAsia="Times New Roman"/>
                <w:sz w:val="20"/>
                <w:szCs w:val="20"/>
              </w:rPr>
              <w:t>420,731</w:t>
            </w:r>
          </w:p>
        </w:tc>
        <w:tc>
          <w:tcPr>
            <w:tcW w:w="50" w:type="pct"/>
            <w:shd w:val="clear" w:color="auto" w:fill="FFFFFF"/>
            <w:vAlign w:val="bottom"/>
            <w:hideMark/>
          </w:tcPr>
          <w:p w14:paraId="5990FDA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5EEA8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57E9C7"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5B03BA1" w14:textId="77777777" w:rsidR="00000000" w:rsidRDefault="00527094">
            <w:pPr>
              <w:jc w:val="right"/>
              <w:rPr>
                <w:rFonts w:eastAsia="Times New Roman"/>
                <w:sz w:val="20"/>
                <w:szCs w:val="20"/>
              </w:rPr>
            </w:pPr>
            <w:r>
              <w:rPr>
                <w:rFonts w:eastAsia="Times New Roman"/>
                <w:sz w:val="20"/>
                <w:szCs w:val="20"/>
              </w:rPr>
              <w:t>419,581</w:t>
            </w:r>
          </w:p>
        </w:tc>
        <w:tc>
          <w:tcPr>
            <w:tcW w:w="50" w:type="pct"/>
            <w:shd w:val="clear" w:color="auto" w:fill="FFFFFF"/>
            <w:vAlign w:val="bottom"/>
            <w:hideMark/>
          </w:tcPr>
          <w:p w14:paraId="14EC5C2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97A3F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797712"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CD9C68D" w14:textId="77777777" w:rsidR="00000000" w:rsidRDefault="00527094">
            <w:pPr>
              <w:jc w:val="right"/>
              <w:rPr>
                <w:rFonts w:eastAsia="Times New Roman"/>
                <w:sz w:val="20"/>
                <w:szCs w:val="20"/>
              </w:rPr>
            </w:pPr>
            <w:r>
              <w:rPr>
                <w:rFonts w:eastAsia="Times New Roman"/>
                <w:sz w:val="20"/>
                <w:szCs w:val="20"/>
              </w:rPr>
              <w:t>422,060</w:t>
            </w:r>
          </w:p>
        </w:tc>
        <w:tc>
          <w:tcPr>
            <w:tcW w:w="50" w:type="pct"/>
            <w:shd w:val="clear" w:color="auto" w:fill="FFFFFF"/>
            <w:vAlign w:val="bottom"/>
            <w:hideMark/>
          </w:tcPr>
          <w:p w14:paraId="79A30754" w14:textId="77777777" w:rsidR="00000000" w:rsidRDefault="00527094">
            <w:pPr>
              <w:rPr>
                <w:rFonts w:eastAsia="Times New Roman"/>
                <w:sz w:val="20"/>
                <w:szCs w:val="20"/>
              </w:rPr>
            </w:pPr>
            <w:r>
              <w:rPr>
                <w:rFonts w:eastAsia="Times New Roman"/>
                <w:sz w:val="20"/>
                <w:szCs w:val="20"/>
              </w:rPr>
              <w:t> </w:t>
            </w:r>
          </w:p>
        </w:tc>
      </w:tr>
      <w:tr w:rsidR="00000000" w14:paraId="48288E3C" w14:textId="77777777">
        <w:trPr>
          <w:tblCellSpacing w:w="0" w:type="dxa"/>
        </w:trPr>
        <w:tc>
          <w:tcPr>
            <w:tcW w:w="0" w:type="auto"/>
            <w:shd w:val="clear" w:color="auto" w:fill="CCEEFF"/>
            <w:vAlign w:val="bottom"/>
            <w:hideMark/>
          </w:tcPr>
          <w:p w14:paraId="56E05635" w14:textId="77777777" w:rsidR="00000000" w:rsidRDefault="00527094">
            <w:pPr>
              <w:pStyle w:val="a3"/>
              <w:spacing w:before="0" w:beforeAutospacing="0" w:after="0" w:afterAutospacing="0"/>
              <w:ind w:left="180" w:hanging="180"/>
              <w:rPr>
                <w:sz w:val="20"/>
                <w:szCs w:val="20"/>
              </w:rPr>
            </w:pPr>
            <w:r>
              <w:rPr>
                <w:sz w:val="20"/>
                <w:szCs w:val="20"/>
              </w:rPr>
              <w:t>Effect of dilutive securities (1):</w:t>
            </w:r>
          </w:p>
        </w:tc>
        <w:tc>
          <w:tcPr>
            <w:tcW w:w="0" w:type="auto"/>
            <w:shd w:val="clear" w:color="auto" w:fill="CCEEFF"/>
            <w:vAlign w:val="bottom"/>
            <w:hideMark/>
          </w:tcPr>
          <w:p w14:paraId="775824A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837FC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AA0A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1336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ECED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72CE3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5D532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C6DE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20926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9E4E3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2A8B8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7E98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6A31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AC0C2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5B7A6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49944" w14:textId="77777777" w:rsidR="00000000" w:rsidRDefault="00527094">
            <w:pPr>
              <w:rPr>
                <w:rFonts w:eastAsia="Times New Roman"/>
                <w:sz w:val="20"/>
                <w:szCs w:val="20"/>
              </w:rPr>
            </w:pPr>
            <w:r>
              <w:rPr>
                <w:rFonts w:eastAsia="Times New Roman"/>
                <w:sz w:val="20"/>
                <w:szCs w:val="20"/>
              </w:rPr>
              <w:t> </w:t>
            </w:r>
          </w:p>
        </w:tc>
      </w:tr>
      <w:tr w:rsidR="00000000" w14:paraId="042BDDD2" w14:textId="77777777">
        <w:trPr>
          <w:tblCellSpacing w:w="0" w:type="dxa"/>
        </w:trPr>
        <w:tc>
          <w:tcPr>
            <w:tcW w:w="0" w:type="auto"/>
            <w:shd w:val="clear" w:color="auto" w:fill="FFFFFF"/>
            <w:vAlign w:val="bottom"/>
            <w:hideMark/>
          </w:tcPr>
          <w:p w14:paraId="56E5670B" w14:textId="77777777" w:rsidR="00000000" w:rsidRDefault="00527094">
            <w:pPr>
              <w:pStyle w:val="a3"/>
              <w:spacing w:before="0" w:beforeAutospacing="0" w:after="0" w:afterAutospacing="0"/>
              <w:ind w:left="180"/>
              <w:rPr>
                <w:sz w:val="20"/>
                <w:szCs w:val="20"/>
              </w:rPr>
            </w:pPr>
            <w:r>
              <w:rPr>
                <w:sz w:val="20"/>
                <w:szCs w:val="20"/>
              </w:rPr>
              <w:t>Equity awards</w:t>
            </w:r>
          </w:p>
        </w:tc>
        <w:tc>
          <w:tcPr>
            <w:tcW w:w="50" w:type="pct"/>
            <w:shd w:val="clear" w:color="auto" w:fill="FFFFFF"/>
            <w:vAlign w:val="bottom"/>
            <w:hideMark/>
          </w:tcPr>
          <w:p w14:paraId="39AEE34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51927B"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56D25F1" w14:textId="77777777" w:rsidR="00000000" w:rsidRDefault="00527094">
            <w:pPr>
              <w:jc w:val="right"/>
              <w:rPr>
                <w:rFonts w:eastAsia="Times New Roman"/>
                <w:sz w:val="20"/>
                <w:szCs w:val="20"/>
              </w:rPr>
            </w:pPr>
            <w:r>
              <w:rPr>
                <w:rFonts w:eastAsia="Times New Roman"/>
                <w:sz w:val="20"/>
                <w:szCs w:val="20"/>
              </w:rPr>
              <w:t>949</w:t>
            </w:r>
          </w:p>
        </w:tc>
        <w:tc>
          <w:tcPr>
            <w:tcW w:w="50" w:type="pct"/>
            <w:shd w:val="clear" w:color="auto" w:fill="FFFFFF"/>
            <w:vAlign w:val="bottom"/>
            <w:hideMark/>
          </w:tcPr>
          <w:p w14:paraId="67555D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E9292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DC1F93"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6B4078B" w14:textId="77777777" w:rsidR="00000000" w:rsidRDefault="00527094">
            <w:pPr>
              <w:jc w:val="right"/>
              <w:rPr>
                <w:rFonts w:eastAsia="Times New Roman"/>
                <w:sz w:val="20"/>
                <w:szCs w:val="20"/>
              </w:rPr>
            </w:pPr>
            <w:r>
              <w:rPr>
                <w:rFonts w:eastAsia="Times New Roman"/>
                <w:sz w:val="20"/>
                <w:szCs w:val="20"/>
              </w:rPr>
              <w:t>350</w:t>
            </w:r>
          </w:p>
        </w:tc>
        <w:tc>
          <w:tcPr>
            <w:tcW w:w="50" w:type="pct"/>
            <w:shd w:val="clear" w:color="auto" w:fill="FFFFFF"/>
            <w:vAlign w:val="bottom"/>
            <w:hideMark/>
          </w:tcPr>
          <w:p w14:paraId="239241B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F05B6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F06326"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018A0FE" w14:textId="77777777" w:rsidR="00000000" w:rsidRDefault="00527094">
            <w:pPr>
              <w:jc w:val="right"/>
              <w:rPr>
                <w:rFonts w:eastAsia="Times New Roman"/>
                <w:sz w:val="20"/>
                <w:szCs w:val="20"/>
              </w:rPr>
            </w:pPr>
            <w:r>
              <w:rPr>
                <w:rFonts w:eastAsia="Times New Roman"/>
                <w:sz w:val="20"/>
                <w:szCs w:val="20"/>
              </w:rPr>
              <w:t>1,166</w:t>
            </w:r>
          </w:p>
        </w:tc>
        <w:tc>
          <w:tcPr>
            <w:tcW w:w="50" w:type="pct"/>
            <w:shd w:val="clear" w:color="auto" w:fill="FFFFFF"/>
            <w:vAlign w:val="bottom"/>
            <w:hideMark/>
          </w:tcPr>
          <w:p w14:paraId="4BE4F13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07772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72A095"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E873B50" w14:textId="77777777" w:rsidR="00000000" w:rsidRDefault="00527094">
            <w:pPr>
              <w:jc w:val="right"/>
              <w:rPr>
                <w:rFonts w:eastAsia="Times New Roman"/>
                <w:sz w:val="20"/>
                <w:szCs w:val="20"/>
              </w:rPr>
            </w:pPr>
            <w:r>
              <w:rPr>
                <w:rFonts w:eastAsia="Times New Roman"/>
                <w:sz w:val="20"/>
                <w:szCs w:val="20"/>
              </w:rPr>
              <w:t>352</w:t>
            </w:r>
          </w:p>
        </w:tc>
        <w:tc>
          <w:tcPr>
            <w:tcW w:w="50" w:type="pct"/>
            <w:shd w:val="clear" w:color="auto" w:fill="FFFFFF"/>
            <w:vAlign w:val="bottom"/>
            <w:hideMark/>
          </w:tcPr>
          <w:p w14:paraId="14FB34F8" w14:textId="77777777" w:rsidR="00000000" w:rsidRDefault="00527094">
            <w:pPr>
              <w:rPr>
                <w:rFonts w:eastAsia="Times New Roman"/>
                <w:sz w:val="20"/>
                <w:szCs w:val="20"/>
              </w:rPr>
            </w:pPr>
            <w:r>
              <w:rPr>
                <w:rFonts w:eastAsia="Times New Roman"/>
                <w:sz w:val="20"/>
                <w:szCs w:val="20"/>
              </w:rPr>
              <w:t> </w:t>
            </w:r>
          </w:p>
        </w:tc>
      </w:tr>
      <w:tr w:rsidR="00000000" w14:paraId="1E04F147" w14:textId="77777777">
        <w:trPr>
          <w:tblCellSpacing w:w="0" w:type="dxa"/>
        </w:trPr>
        <w:tc>
          <w:tcPr>
            <w:tcW w:w="0" w:type="auto"/>
            <w:shd w:val="clear" w:color="auto" w:fill="CCEEFF"/>
            <w:vAlign w:val="bottom"/>
            <w:hideMark/>
          </w:tcPr>
          <w:p w14:paraId="21E97EF5" w14:textId="77777777" w:rsidR="00000000" w:rsidRDefault="00527094">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CCEEFF"/>
            <w:vAlign w:val="bottom"/>
            <w:hideMark/>
          </w:tcPr>
          <w:p w14:paraId="15B8434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8FA2FE5"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110C3F02"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DD9E8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C889BC"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758C464"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53731B06" w14:textId="77777777" w:rsidR="00000000" w:rsidRDefault="00527094">
            <w:pPr>
              <w:jc w:val="right"/>
              <w:rPr>
                <w:rFonts w:eastAsia="Times New Roman"/>
                <w:sz w:val="20"/>
                <w:szCs w:val="20"/>
              </w:rPr>
            </w:pPr>
            <w:r>
              <w:rPr>
                <w:rFonts w:eastAsia="Times New Roman"/>
                <w:sz w:val="20"/>
                <w:szCs w:val="20"/>
              </w:rPr>
              <w:t>847</w:t>
            </w:r>
          </w:p>
        </w:tc>
        <w:tc>
          <w:tcPr>
            <w:tcW w:w="50" w:type="pct"/>
            <w:shd w:val="clear" w:color="auto" w:fill="CCEEFF"/>
            <w:tcMar>
              <w:top w:w="0" w:type="dxa"/>
              <w:left w:w="0" w:type="dxa"/>
              <w:bottom w:w="15" w:type="dxa"/>
              <w:right w:w="0" w:type="dxa"/>
            </w:tcMar>
            <w:vAlign w:val="bottom"/>
            <w:hideMark/>
          </w:tcPr>
          <w:p w14:paraId="01E0A83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A1590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2E18411"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409449D5" w14:textId="77777777" w:rsidR="00000000" w:rsidRDefault="00527094">
            <w:pPr>
              <w:jc w:val="right"/>
              <w:rPr>
                <w:rFonts w:eastAsia="Times New Roman"/>
                <w:sz w:val="20"/>
                <w:szCs w:val="20"/>
              </w:rPr>
            </w:pPr>
            <w:r>
              <w:rPr>
                <w:rFonts w:eastAsia="Times New Roman"/>
                <w:sz w:val="20"/>
                <w:szCs w:val="20"/>
              </w:rPr>
              <w:t>51</w:t>
            </w:r>
          </w:p>
        </w:tc>
        <w:tc>
          <w:tcPr>
            <w:tcW w:w="50" w:type="pct"/>
            <w:shd w:val="clear" w:color="auto" w:fill="CCEEFF"/>
            <w:tcMar>
              <w:top w:w="0" w:type="dxa"/>
              <w:left w:w="0" w:type="dxa"/>
              <w:bottom w:w="15" w:type="dxa"/>
              <w:right w:w="0" w:type="dxa"/>
            </w:tcMar>
            <w:vAlign w:val="bottom"/>
            <w:hideMark/>
          </w:tcPr>
          <w:p w14:paraId="13E1391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56D5A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4E71E2"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1473B043" w14:textId="77777777" w:rsidR="00000000" w:rsidRDefault="00527094">
            <w:pPr>
              <w:jc w:val="right"/>
              <w:rPr>
                <w:rFonts w:eastAsia="Times New Roman"/>
                <w:sz w:val="20"/>
                <w:szCs w:val="20"/>
              </w:rPr>
            </w:pPr>
            <w:r>
              <w:rPr>
                <w:rFonts w:eastAsia="Times New Roman"/>
                <w:sz w:val="20"/>
                <w:szCs w:val="20"/>
              </w:rPr>
              <w:t>824</w:t>
            </w:r>
          </w:p>
        </w:tc>
        <w:tc>
          <w:tcPr>
            <w:tcW w:w="50" w:type="pct"/>
            <w:shd w:val="clear" w:color="auto" w:fill="CCEEFF"/>
            <w:tcMar>
              <w:top w:w="0" w:type="dxa"/>
              <w:left w:w="0" w:type="dxa"/>
              <w:bottom w:w="15" w:type="dxa"/>
              <w:right w:w="0" w:type="dxa"/>
            </w:tcMar>
            <w:vAlign w:val="bottom"/>
            <w:hideMark/>
          </w:tcPr>
          <w:p w14:paraId="353DC6EB" w14:textId="77777777" w:rsidR="00000000" w:rsidRDefault="00527094">
            <w:pPr>
              <w:rPr>
                <w:rFonts w:eastAsia="Times New Roman"/>
                <w:sz w:val="20"/>
                <w:szCs w:val="20"/>
              </w:rPr>
            </w:pPr>
            <w:r>
              <w:rPr>
                <w:rFonts w:eastAsia="Times New Roman"/>
                <w:sz w:val="20"/>
                <w:szCs w:val="20"/>
              </w:rPr>
              <w:t> </w:t>
            </w:r>
          </w:p>
        </w:tc>
      </w:tr>
      <w:tr w:rsidR="00000000" w14:paraId="0FACD0C8" w14:textId="77777777">
        <w:trPr>
          <w:tblCellSpacing w:w="0" w:type="dxa"/>
        </w:trPr>
        <w:tc>
          <w:tcPr>
            <w:tcW w:w="0" w:type="auto"/>
            <w:shd w:val="clear" w:color="auto" w:fill="FFFFFF"/>
            <w:vAlign w:val="bottom"/>
            <w:hideMark/>
          </w:tcPr>
          <w:p w14:paraId="3EA8E458" w14:textId="77777777" w:rsidR="00000000" w:rsidRDefault="00527094">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FFFFFF"/>
            <w:vAlign w:val="bottom"/>
            <w:hideMark/>
          </w:tcPr>
          <w:p w14:paraId="704CDC9B"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FB821F1" w14:textId="77777777" w:rsidR="00000000" w:rsidRDefault="0052709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65FAE94C" w14:textId="77777777" w:rsidR="00000000" w:rsidRDefault="00527094">
            <w:pPr>
              <w:jc w:val="right"/>
              <w:rPr>
                <w:rFonts w:eastAsia="Times New Roman"/>
                <w:sz w:val="20"/>
                <w:szCs w:val="20"/>
              </w:rPr>
            </w:pPr>
            <w:r>
              <w:rPr>
                <w:rFonts w:eastAsia="Times New Roman"/>
                <w:sz w:val="20"/>
                <w:szCs w:val="20"/>
              </w:rPr>
              <w:t>420,646</w:t>
            </w:r>
          </w:p>
        </w:tc>
        <w:tc>
          <w:tcPr>
            <w:tcW w:w="50" w:type="pct"/>
            <w:shd w:val="clear" w:color="auto" w:fill="FFFFFF"/>
            <w:tcMar>
              <w:top w:w="0" w:type="dxa"/>
              <w:left w:w="0" w:type="dxa"/>
              <w:bottom w:w="45" w:type="dxa"/>
              <w:right w:w="0" w:type="dxa"/>
            </w:tcMar>
            <w:vAlign w:val="bottom"/>
            <w:hideMark/>
          </w:tcPr>
          <w:p w14:paraId="65D5052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330B92"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94FC38C" w14:textId="77777777" w:rsidR="00000000" w:rsidRDefault="0052709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240D8DBB" w14:textId="77777777" w:rsidR="00000000" w:rsidRDefault="00527094">
            <w:pPr>
              <w:jc w:val="right"/>
              <w:rPr>
                <w:rFonts w:eastAsia="Times New Roman"/>
                <w:sz w:val="20"/>
                <w:szCs w:val="20"/>
              </w:rPr>
            </w:pPr>
            <w:r>
              <w:rPr>
                <w:rFonts w:eastAsia="Times New Roman"/>
                <w:sz w:val="20"/>
                <w:szCs w:val="20"/>
              </w:rPr>
              <w:t>421,928</w:t>
            </w:r>
          </w:p>
        </w:tc>
        <w:tc>
          <w:tcPr>
            <w:tcW w:w="50" w:type="pct"/>
            <w:shd w:val="clear" w:color="auto" w:fill="FFFFFF"/>
            <w:tcMar>
              <w:top w:w="0" w:type="dxa"/>
              <w:left w:w="0" w:type="dxa"/>
              <w:bottom w:w="45" w:type="dxa"/>
              <w:right w:w="0" w:type="dxa"/>
            </w:tcMar>
            <w:vAlign w:val="bottom"/>
            <w:hideMark/>
          </w:tcPr>
          <w:p w14:paraId="3702F76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DB0F2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9E11CFD" w14:textId="77777777" w:rsidR="00000000" w:rsidRDefault="0052709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4C21FD3C" w14:textId="77777777" w:rsidR="00000000" w:rsidRDefault="00527094">
            <w:pPr>
              <w:jc w:val="right"/>
              <w:rPr>
                <w:rFonts w:eastAsia="Times New Roman"/>
                <w:sz w:val="20"/>
                <w:szCs w:val="20"/>
              </w:rPr>
            </w:pPr>
            <w:r>
              <w:rPr>
                <w:rFonts w:eastAsia="Times New Roman"/>
                <w:sz w:val="20"/>
                <w:szCs w:val="20"/>
              </w:rPr>
              <w:t>420,798</w:t>
            </w:r>
          </w:p>
        </w:tc>
        <w:tc>
          <w:tcPr>
            <w:tcW w:w="50" w:type="pct"/>
            <w:shd w:val="clear" w:color="auto" w:fill="FFFFFF"/>
            <w:tcMar>
              <w:top w:w="0" w:type="dxa"/>
              <w:left w:w="0" w:type="dxa"/>
              <w:bottom w:w="45" w:type="dxa"/>
              <w:right w:w="0" w:type="dxa"/>
            </w:tcMar>
            <w:vAlign w:val="bottom"/>
            <w:hideMark/>
          </w:tcPr>
          <w:p w14:paraId="4EFCD3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3FDED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153B8BD" w14:textId="77777777" w:rsidR="00000000" w:rsidRDefault="0052709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73E30911" w14:textId="77777777" w:rsidR="00000000" w:rsidRDefault="00527094">
            <w:pPr>
              <w:jc w:val="right"/>
              <w:rPr>
                <w:rFonts w:eastAsia="Times New Roman"/>
                <w:sz w:val="20"/>
                <w:szCs w:val="20"/>
              </w:rPr>
            </w:pPr>
            <w:r>
              <w:rPr>
                <w:rFonts w:eastAsia="Times New Roman"/>
                <w:sz w:val="20"/>
                <w:szCs w:val="20"/>
              </w:rPr>
              <w:t>423,236</w:t>
            </w:r>
          </w:p>
        </w:tc>
        <w:tc>
          <w:tcPr>
            <w:tcW w:w="50" w:type="pct"/>
            <w:shd w:val="clear" w:color="auto" w:fill="FFFFFF"/>
            <w:tcMar>
              <w:top w:w="0" w:type="dxa"/>
              <w:left w:w="0" w:type="dxa"/>
              <w:bottom w:w="45" w:type="dxa"/>
              <w:right w:w="0" w:type="dxa"/>
            </w:tcMar>
            <w:vAlign w:val="bottom"/>
            <w:hideMark/>
          </w:tcPr>
          <w:p w14:paraId="67DFCC48" w14:textId="77777777" w:rsidR="00000000" w:rsidRDefault="00527094">
            <w:pPr>
              <w:rPr>
                <w:rFonts w:eastAsia="Times New Roman"/>
                <w:sz w:val="20"/>
                <w:szCs w:val="20"/>
              </w:rPr>
            </w:pPr>
            <w:r>
              <w:rPr>
                <w:rFonts w:eastAsia="Times New Roman"/>
                <w:sz w:val="20"/>
                <w:szCs w:val="20"/>
              </w:rPr>
              <w:t> </w:t>
            </w:r>
          </w:p>
        </w:tc>
      </w:tr>
      <w:tr w:rsidR="00000000" w14:paraId="708CCB00" w14:textId="77777777">
        <w:trPr>
          <w:tblCellSpacing w:w="0" w:type="dxa"/>
        </w:trPr>
        <w:tc>
          <w:tcPr>
            <w:tcW w:w="0" w:type="auto"/>
            <w:shd w:val="clear" w:color="auto" w:fill="CCEEFF"/>
            <w:vAlign w:val="bottom"/>
            <w:hideMark/>
          </w:tcPr>
          <w:p w14:paraId="73D24E5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4369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7F611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BBF96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5BED0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A06AF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3C47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5016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426D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22A5B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C9D1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2A6D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A73DC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F9D39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35EDB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EE4ED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547803" w14:textId="77777777" w:rsidR="00000000" w:rsidRDefault="00527094">
            <w:pPr>
              <w:rPr>
                <w:rFonts w:eastAsia="Times New Roman"/>
                <w:sz w:val="20"/>
                <w:szCs w:val="20"/>
              </w:rPr>
            </w:pPr>
            <w:r>
              <w:rPr>
                <w:rFonts w:eastAsia="Times New Roman"/>
                <w:sz w:val="20"/>
                <w:szCs w:val="20"/>
              </w:rPr>
              <w:t> </w:t>
            </w:r>
          </w:p>
        </w:tc>
      </w:tr>
      <w:tr w:rsidR="00000000" w14:paraId="75336816" w14:textId="77777777">
        <w:trPr>
          <w:tblCellSpacing w:w="0" w:type="dxa"/>
        </w:trPr>
        <w:tc>
          <w:tcPr>
            <w:tcW w:w="0" w:type="auto"/>
            <w:shd w:val="clear" w:color="auto" w:fill="FFFFFF"/>
            <w:vAlign w:val="bottom"/>
            <w:hideMark/>
          </w:tcPr>
          <w:p w14:paraId="6454BCE1" w14:textId="77777777" w:rsidR="00000000" w:rsidRDefault="00527094">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FFFFFF"/>
            <w:vAlign w:val="bottom"/>
            <w:hideMark/>
          </w:tcPr>
          <w:p w14:paraId="21DEE39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D3E1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D3E15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783FC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33EDE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B196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B484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1FE7C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0B113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A10C2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B25F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CBE4E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19FF0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5ACDA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91168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AFB9D" w14:textId="77777777" w:rsidR="00000000" w:rsidRDefault="00527094">
            <w:pPr>
              <w:rPr>
                <w:rFonts w:eastAsia="Times New Roman"/>
                <w:sz w:val="20"/>
                <w:szCs w:val="20"/>
              </w:rPr>
            </w:pPr>
            <w:r>
              <w:rPr>
                <w:rFonts w:eastAsia="Times New Roman"/>
                <w:sz w:val="20"/>
                <w:szCs w:val="20"/>
              </w:rPr>
              <w:t> </w:t>
            </w:r>
          </w:p>
        </w:tc>
      </w:tr>
      <w:tr w:rsidR="00000000" w14:paraId="01A4C4E3" w14:textId="77777777">
        <w:trPr>
          <w:tblCellSpacing w:w="0" w:type="dxa"/>
        </w:trPr>
        <w:tc>
          <w:tcPr>
            <w:tcW w:w="0" w:type="auto"/>
            <w:shd w:val="clear" w:color="auto" w:fill="CCEEFF"/>
            <w:vAlign w:val="bottom"/>
            <w:hideMark/>
          </w:tcPr>
          <w:p w14:paraId="502CFAB8" w14:textId="77777777" w:rsidR="00000000" w:rsidRDefault="00527094">
            <w:pPr>
              <w:pStyle w:val="a3"/>
              <w:spacing w:before="0" w:beforeAutospacing="0" w:after="0" w:afterAutospacing="0"/>
              <w:ind w:left="360" w:hanging="180"/>
              <w:rPr>
                <w:sz w:val="20"/>
                <w:szCs w:val="20"/>
              </w:rPr>
            </w:pPr>
            <w:r>
              <w:rPr>
                <w:sz w:val="20"/>
                <w:szCs w:val="20"/>
              </w:rPr>
              <w:t>Basic earnings per share</w:t>
            </w:r>
          </w:p>
        </w:tc>
        <w:tc>
          <w:tcPr>
            <w:tcW w:w="50" w:type="pct"/>
            <w:shd w:val="clear" w:color="auto" w:fill="CCEEFF"/>
            <w:vAlign w:val="bottom"/>
            <w:hideMark/>
          </w:tcPr>
          <w:p w14:paraId="689B3FE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6EE8F2E"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28F79587" w14:textId="77777777" w:rsidR="00000000" w:rsidRDefault="00527094">
            <w:pPr>
              <w:jc w:val="right"/>
              <w:rPr>
                <w:rFonts w:eastAsia="Times New Roman"/>
                <w:sz w:val="20"/>
                <w:szCs w:val="20"/>
              </w:rPr>
            </w:pPr>
            <w:r>
              <w:rPr>
                <w:rFonts w:eastAsia="Times New Roman"/>
                <w:sz w:val="20"/>
                <w:szCs w:val="20"/>
              </w:rPr>
              <w:t>0.20</w:t>
            </w:r>
          </w:p>
        </w:tc>
        <w:tc>
          <w:tcPr>
            <w:tcW w:w="50" w:type="pct"/>
            <w:shd w:val="clear" w:color="auto" w:fill="CCEEFF"/>
            <w:tcMar>
              <w:top w:w="0" w:type="dxa"/>
              <w:left w:w="0" w:type="dxa"/>
              <w:bottom w:w="45" w:type="dxa"/>
              <w:right w:w="0" w:type="dxa"/>
            </w:tcMar>
            <w:vAlign w:val="bottom"/>
            <w:hideMark/>
          </w:tcPr>
          <w:p w14:paraId="3D30304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B85A7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773AF85"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3C2159F5"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CCEEFF"/>
            <w:tcMar>
              <w:top w:w="0" w:type="dxa"/>
              <w:left w:w="0" w:type="dxa"/>
              <w:bottom w:w="45" w:type="dxa"/>
              <w:right w:w="0" w:type="dxa"/>
            </w:tcMar>
            <w:vAlign w:val="bottom"/>
            <w:hideMark/>
          </w:tcPr>
          <w:p w14:paraId="6684E14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C3090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F3E4023"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722F5C73" w14:textId="77777777" w:rsidR="00000000" w:rsidRDefault="00527094">
            <w:pPr>
              <w:jc w:val="right"/>
              <w:rPr>
                <w:rFonts w:eastAsia="Times New Roman"/>
                <w:sz w:val="20"/>
                <w:szCs w:val="20"/>
              </w:rPr>
            </w:pPr>
            <w:r>
              <w:rPr>
                <w:rFonts w:eastAsia="Times New Roman"/>
                <w:sz w:val="20"/>
                <w:szCs w:val="20"/>
              </w:rPr>
              <w:t>0.45</w:t>
            </w:r>
          </w:p>
        </w:tc>
        <w:tc>
          <w:tcPr>
            <w:tcW w:w="50" w:type="pct"/>
            <w:shd w:val="clear" w:color="auto" w:fill="CCEEFF"/>
            <w:tcMar>
              <w:top w:w="0" w:type="dxa"/>
              <w:left w:w="0" w:type="dxa"/>
              <w:bottom w:w="45" w:type="dxa"/>
              <w:right w:w="0" w:type="dxa"/>
            </w:tcMar>
            <w:vAlign w:val="bottom"/>
            <w:hideMark/>
          </w:tcPr>
          <w:p w14:paraId="1DFA8A8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A16CD5"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ED8F0A8"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43954F99" w14:textId="77777777" w:rsidR="00000000" w:rsidRDefault="00527094">
            <w:pPr>
              <w:jc w:val="right"/>
              <w:rPr>
                <w:rFonts w:eastAsia="Times New Roman"/>
                <w:sz w:val="20"/>
                <w:szCs w:val="20"/>
              </w:rPr>
            </w:pPr>
            <w:r>
              <w:rPr>
                <w:rFonts w:eastAsia="Times New Roman"/>
                <w:sz w:val="20"/>
                <w:szCs w:val="20"/>
              </w:rPr>
              <w:t>0.66</w:t>
            </w:r>
          </w:p>
        </w:tc>
        <w:tc>
          <w:tcPr>
            <w:tcW w:w="50" w:type="pct"/>
            <w:shd w:val="clear" w:color="auto" w:fill="CCEEFF"/>
            <w:tcMar>
              <w:top w:w="0" w:type="dxa"/>
              <w:left w:w="0" w:type="dxa"/>
              <w:bottom w:w="45" w:type="dxa"/>
              <w:right w:w="0" w:type="dxa"/>
            </w:tcMar>
            <w:vAlign w:val="bottom"/>
            <w:hideMark/>
          </w:tcPr>
          <w:p w14:paraId="521B7001" w14:textId="77777777" w:rsidR="00000000" w:rsidRDefault="00527094">
            <w:pPr>
              <w:rPr>
                <w:rFonts w:eastAsia="Times New Roman"/>
                <w:sz w:val="20"/>
                <w:szCs w:val="20"/>
              </w:rPr>
            </w:pPr>
            <w:r>
              <w:rPr>
                <w:rFonts w:eastAsia="Times New Roman"/>
                <w:sz w:val="20"/>
                <w:szCs w:val="20"/>
              </w:rPr>
              <w:t> </w:t>
            </w:r>
          </w:p>
        </w:tc>
      </w:tr>
      <w:tr w:rsidR="00000000" w14:paraId="21C9DD8F" w14:textId="77777777">
        <w:trPr>
          <w:tblCellSpacing w:w="0" w:type="dxa"/>
        </w:trPr>
        <w:tc>
          <w:tcPr>
            <w:tcW w:w="0" w:type="auto"/>
            <w:shd w:val="clear" w:color="auto" w:fill="FFFFFF"/>
            <w:vAlign w:val="bottom"/>
            <w:hideMark/>
          </w:tcPr>
          <w:p w14:paraId="2921E8DF" w14:textId="77777777" w:rsidR="00000000" w:rsidRDefault="00527094">
            <w:pPr>
              <w:pStyle w:val="a3"/>
              <w:spacing w:before="0" w:beforeAutospacing="0" w:after="0" w:afterAutospacing="0"/>
              <w:ind w:left="360" w:hanging="180"/>
              <w:rPr>
                <w:sz w:val="20"/>
                <w:szCs w:val="20"/>
              </w:rPr>
            </w:pPr>
            <w:r>
              <w:rPr>
                <w:sz w:val="20"/>
                <w:szCs w:val="20"/>
              </w:rPr>
              <w:t>Diluted earnings per share</w:t>
            </w:r>
          </w:p>
        </w:tc>
        <w:tc>
          <w:tcPr>
            <w:tcW w:w="50" w:type="pct"/>
            <w:shd w:val="clear" w:color="auto" w:fill="FFFFFF"/>
            <w:vAlign w:val="bottom"/>
            <w:hideMark/>
          </w:tcPr>
          <w:p w14:paraId="14EF7387"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12FD015"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624E8324" w14:textId="77777777" w:rsidR="00000000" w:rsidRDefault="00527094">
            <w:pPr>
              <w:jc w:val="right"/>
              <w:rPr>
                <w:rFonts w:eastAsia="Times New Roman"/>
                <w:sz w:val="20"/>
                <w:szCs w:val="20"/>
              </w:rPr>
            </w:pPr>
            <w:r>
              <w:rPr>
                <w:rFonts w:eastAsia="Times New Roman"/>
                <w:sz w:val="20"/>
                <w:szCs w:val="20"/>
              </w:rPr>
              <w:t>0.20</w:t>
            </w:r>
          </w:p>
        </w:tc>
        <w:tc>
          <w:tcPr>
            <w:tcW w:w="50" w:type="pct"/>
            <w:shd w:val="clear" w:color="auto" w:fill="FFFFFF"/>
            <w:tcMar>
              <w:top w:w="0" w:type="dxa"/>
              <w:left w:w="0" w:type="dxa"/>
              <w:bottom w:w="45" w:type="dxa"/>
              <w:right w:w="0" w:type="dxa"/>
            </w:tcMar>
            <w:vAlign w:val="bottom"/>
            <w:hideMark/>
          </w:tcPr>
          <w:p w14:paraId="7909E59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B92F04"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A4D749C"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687F5B70"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FFFFFF"/>
            <w:tcMar>
              <w:top w:w="0" w:type="dxa"/>
              <w:left w:w="0" w:type="dxa"/>
              <w:bottom w:w="45" w:type="dxa"/>
              <w:right w:w="0" w:type="dxa"/>
            </w:tcMar>
            <w:vAlign w:val="bottom"/>
            <w:hideMark/>
          </w:tcPr>
          <w:p w14:paraId="78E3BE9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12833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54093D8"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7974AE84" w14:textId="77777777" w:rsidR="00000000" w:rsidRDefault="00527094">
            <w:pPr>
              <w:jc w:val="right"/>
              <w:rPr>
                <w:rFonts w:eastAsia="Times New Roman"/>
                <w:sz w:val="20"/>
                <w:szCs w:val="20"/>
              </w:rPr>
            </w:pPr>
            <w:r>
              <w:rPr>
                <w:rFonts w:eastAsia="Times New Roman"/>
                <w:sz w:val="20"/>
                <w:szCs w:val="20"/>
              </w:rPr>
              <w:t>0.44</w:t>
            </w:r>
          </w:p>
        </w:tc>
        <w:tc>
          <w:tcPr>
            <w:tcW w:w="50" w:type="pct"/>
            <w:shd w:val="clear" w:color="auto" w:fill="FFFFFF"/>
            <w:tcMar>
              <w:top w:w="0" w:type="dxa"/>
              <w:left w:w="0" w:type="dxa"/>
              <w:bottom w:w="45" w:type="dxa"/>
              <w:right w:w="0" w:type="dxa"/>
            </w:tcMar>
            <w:vAlign w:val="bottom"/>
            <w:hideMark/>
          </w:tcPr>
          <w:p w14:paraId="0C57F1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C9ECC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18D892C" w14:textId="77777777" w:rsidR="00000000" w:rsidRDefault="0052709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5DD458FD" w14:textId="77777777" w:rsidR="00000000" w:rsidRDefault="00527094">
            <w:pPr>
              <w:jc w:val="right"/>
              <w:rPr>
                <w:rFonts w:eastAsia="Times New Roman"/>
                <w:sz w:val="20"/>
                <w:szCs w:val="20"/>
              </w:rPr>
            </w:pPr>
            <w:r>
              <w:rPr>
                <w:rFonts w:eastAsia="Times New Roman"/>
                <w:sz w:val="20"/>
                <w:szCs w:val="20"/>
              </w:rPr>
              <w:t>0.66</w:t>
            </w:r>
          </w:p>
        </w:tc>
        <w:tc>
          <w:tcPr>
            <w:tcW w:w="50" w:type="pct"/>
            <w:shd w:val="clear" w:color="auto" w:fill="FFFFFF"/>
            <w:tcMar>
              <w:top w:w="0" w:type="dxa"/>
              <w:left w:w="0" w:type="dxa"/>
              <w:bottom w:w="45" w:type="dxa"/>
              <w:right w:w="0" w:type="dxa"/>
            </w:tcMar>
            <w:vAlign w:val="bottom"/>
            <w:hideMark/>
          </w:tcPr>
          <w:p w14:paraId="3666D36D" w14:textId="77777777" w:rsidR="00000000" w:rsidRDefault="00527094">
            <w:pPr>
              <w:rPr>
                <w:rFonts w:eastAsia="Times New Roman"/>
                <w:sz w:val="20"/>
                <w:szCs w:val="20"/>
              </w:rPr>
            </w:pPr>
            <w:r>
              <w:rPr>
                <w:rFonts w:eastAsia="Times New Roman"/>
                <w:sz w:val="20"/>
                <w:szCs w:val="20"/>
              </w:rPr>
              <w:t> </w:t>
            </w:r>
          </w:p>
        </w:tc>
      </w:tr>
    </w:tbl>
    <w:p w14:paraId="58456C12" w14:textId="77777777" w:rsidR="00000000" w:rsidRDefault="0052709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7135C43" w14:textId="77777777">
        <w:trPr>
          <w:tblCellSpacing w:w="0" w:type="dxa"/>
        </w:trPr>
        <w:tc>
          <w:tcPr>
            <w:tcW w:w="360" w:type="dxa"/>
            <w:hideMark/>
          </w:tcPr>
          <w:p w14:paraId="7A4FE66C" w14:textId="77777777" w:rsidR="00000000" w:rsidRDefault="00527094">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14:paraId="6647AF0C" w14:textId="77777777" w:rsidR="00000000" w:rsidRDefault="00527094">
            <w:pPr>
              <w:pStyle w:val="a3"/>
              <w:spacing w:before="0" w:beforeAutospacing="0" w:after="0" w:afterAutospacing="0"/>
              <w:ind w:right="810"/>
              <w:jc w:val="both"/>
              <w:rPr>
                <w:sz w:val="20"/>
                <w:szCs w:val="20"/>
              </w:rPr>
            </w:pPr>
            <w:r>
              <w:rPr>
                <w:sz w:val="20"/>
                <w:szCs w:val="20"/>
              </w:rPr>
              <w:t>The effect of the assumed conversion of certain convertible units had an anti-dilutive effect upon the calculation of Net income available to the Company’s common shareholders per share. Accordingly, the impact of such conversions has</w:t>
            </w:r>
            <w:r>
              <w:rPr>
                <w:sz w:val="20"/>
                <w:szCs w:val="20"/>
              </w:rPr>
              <w:t xml:space="preserve"> </w:t>
            </w:r>
            <w:r>
              <w:rPr>
                <w:rStyle w:val="a6"/>
                <w:i w:val="0"/>
                <w:iCs w:val="0"/>
                <w:sz w:val="20"/>
                <w:szCs w:val="20"/>
              </w:rPr>
              <w:t>not</w:t>
            </w:r>
            <w:r>
              <w:rPr>
                <w:sz w:val="20"/>
                <w:szCs w:val="20"/>
              </w:rPr>
              <w:t xml:space="preserve"> been included in </w:t>
            </w:r>
            <w:r>
              <w:rPr>
                <w:sz w:val="20"/>
                <w:szCs w:val="20"/>
              </w:rPr>
              <w:t>the determination of diluted earnings per share calculations. Additionally, there were 1.3 million and 3.2 million stock options that were</w:t>
            </w:r>
            <w:r>
              <w:rPr>
                <w:sz w:val="20"/>
                <w:szCs w:val="20"/>
              </w:rPr>
              <w:t xml:space="preserve"> </w:t>
            </w:r>
            <w:r>
              <w:rPr>
                <w:rStyle w:val="a6"/>
                <w:i w:val="0"/>
                <w:iCs w:val="0"/>
                <w:sz w:val="20"/>
                <w:szCs w:val="20"/>
              </w:rPr>
              <w:t>not</w:t>
            </w:r>
            <w:r>
              <w:rPr>
                <w:sz w:val="20"/>
                <w:szCs w:val="20"/>
              </w:rPr>
              <w:t xml:space="preserve"> dilutive as of</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2018,</w:t>
            </w:r>
            <w:r>
              <w:rPr>
                <w:sz w:val="20"/>
                <w:szCs w:val="20"/>
              </w:rPr>
              <w:t xml:space="preserve"> respectively, and 2.3 million of restricted stock that were</w:t>
            </w:r>
            <w:r>
              <w:rPr>
                <w:sz w:val="20"/>
                <w:szCs w:val="20"/>
              </w:rPr>
              <w:t xml:space="preserve"> </w:t>
            </w:r>
            <w:r>
              <w:rPr>
                <w:rStyle w:val="a6"/>
                <w:i w:val="0"/>
                <w:iCs w:val="0"/>
                <w:sz w:val="20"/>
                <w:szCs w:val="20"/>
              </w:rPr>
              <w:t>not</w:t>
            </w:r>
            <w:r>
              <w:rPr>
                <w:sz w:val="20"/>
                <w:szCs w:val="20"/>
              </w:rPr>
              <w:t xml:space="preserve"> dilutive f</w:t>
            </w:r>
            <w:r>
              <w:rPr>
                <w:sz w:val="20"/>
                <w:szCs w:val="20"/>
              </w:rPr>
              <w:t>or the</w:t>
            </w:r>
            <w:r>
              <w:rPr>
                <w:sz w:val="20"/>
                <w:szCs w:val="20"/>
              </w:rPr>
              <w:t xml:space="preserve"> </w:t>
            </w:r>
            <w:r>
              <w:rPr>
                <w:rStyle w:val="a6"/>
                <w:i w:val="0"/>
                <w:iCs w:val="0"/>
                <w:sz w:val="20"/>
                <w:szCs w:val="20"/>
              </w:rPr>
              <w:t>three</w:t>
            </w:r>
            <w:r>
              <w:rPr>
                <w:sz w:val="20"/>
                <w:szCs w:val="20"/>
              </w:rPr>
              <w:t xml:space="preserve"> months ended</w:t>
            </w:r>
            <w:r>
              <w:rPr>
                <w:sz w:val="20"/>
                <w:szCs w:val="20"/>
              </w:rPr>
              <w:t> </w:t>
            </w:r>
            <w:r>
              <w:rPr>
                <w:rStyle w:val="a6"/>
                <w:i w:val="0"/>
                <w:iCs w:val="0"/>
                <w:sz w:val="20"/>
                <w:szCs w:val="20"/>
              </w:rPr>
              <w:t xml:space="preserve"> June 30, 2018.</w:t>
            </w:r>
          </w:p>
        </w:tc>
      </w:tr>
    </w:tbl>
    <w:p w14:paraId="6CC76EAC" w14:textId="77777777" w:rsidR="00000000" w:rsidRDefault="00527094">
      <w:pPr>
        <w:pStyle w:val="a3"/>
        <w:spacing w:before="0" w:beforeAutospacing="0" w:after="0" w:afterAutospacing="0"/>
        <w:ind w:firstLine="360"/>
        <w:jc w:val="both"/>
        <w:rPr>
          <w:sz w:val="20"/>
          <w:szCs w:val="20"/>
        </w:rPr>
      </w:pPr>
      <w:r>
        <w:rPr>
          <w:sz w:val="20"/>
          <w:szCs w:val="20"/>
        </w:rPr>
        <w:t> </w:t>
      </w:r>
    </w:p>
    <w:p w14:paraId="39EDB1BF" w14:textId="77777777" w:rsidR="00000000" w:rsidRDefault="00527094">
      <w:pPr>
        <w:jc w:val="center"/>
        <w:rPr>
          <w:rFonts w:eastAsia="Times New Roman"/>
          <w:sz w:val="20"/>
          <w:szCs w:val="20"/>
        </w:rPr>
      </w:pPr>
      <w:r>
        <w:rPr>
          <w:rFonts w:eastAsia="Times New Roman"/>
          <w:sz w:val="20"/>
          <w:szCs w:val="20"/>
        </w:rPr>
        <w:t xml:space="preserve">20 </w:t>
      </w:r>
    </w:p>
    <w:p w14:paraId="6EC8D090" w14:textId="77777777" w:rsidR="00000000" w:rsidRDefault="00527094">
      <w:pPr>
        <w:rPr>
          <w:rFonts w:eastAsia="Times New Roman"/>
          <w:sz w:val="20"/>
          <w:szCs w:val="20"/>
        </w:rPr>
      </w:pPr>
      <w:r>
        <w:rPr>
          <w:rFonts w:eastAsia="Times New Roman"/>
          <w:sz w:val="20"/>
          <w:szCs w:val="20"/>
        </w:rPr>
        <w:pict w14:anchorId="43CABF20">
          <v:rect id="_x0000_i1048" style="width:0;height:1.5pt" o:hralign="center" o:hrstd="t" o:hr="t" fillcolor="#a0a0a0" stroked="f"/>
        </w:pict>
      </w:r>
    </w:p>
    <w:p w14:paraId="28F61EE6"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50C1754" w14:textId="77777777" w:rsidR="00000000" w:rsidRDefault="00527094">
      <w:pPr>
        <w:pStyle w:val="a3"/>
        <w:spacing w:before="0" w:beforeAutospacing="0" w:after="0" w:afterAutospacing="0"/>
        <w:rPr>
          <w:sz w:val="20"/>
          <w:szCs w:val="20"/>
        </w:rPr>
      </w:pPr>
      <w:r>
        <w:rPr>
          <w:sz w:val="20"/>
          <w:szCs w:val="20"/>
        </w:rPr>
        <w:t> </w:t>
      </w:r>
    </w:p>
    <w:p w14:paraId="3BE7A6B7" w14:textId="77777777" w:rsidR="00000000" w:rsidRDefault="00527094">
      <w:pPr>
        <w:pStyle w:val="a3"/>
        <w:spacing w:before="0" w:beforeAutospacing="0" w:after="0" w:afterAutospacing="0"/>
        <w:ind w:firstLine="360"/>
        <w:rPr>
          <w:sz w:val="20"/>
          <w:szCs w:val="20"/>
        </w:rPr>
      </w:pPr>
      <w:r>
        <w:rPr>
          <w:sz w:val="20"/>
          <w:szCs w:val="20"/>
        </w:rPr>
        <w:t>The Company's unvested restricted share awards contain non-forfeitable rights to distributions or distribution equivalents. The impact of the unvested restricted share award</w:t>
      </w:r>
      <w:r>
        <w:rPr>
          <w:sz w:val="20"/>
          <w:szCs w:val="20"/>
        </w:rPr>
        <w:t>s on earnings per share has been calculated using the</w:t>
      </w:r>
      <w:r>
        <w:rPr>
          <w:sz w:val="20"/>
          <w:szCs w:val="20"/>
        </w:rPr>
        <w:t xml:space="preserve"> </w:t>
      </w:r>
      <w:r>
        <w:rPr>
          <w:rStyle w:val="a6"/>
          <w:i w:val="0"/>
          <w:iCs w:val="0"/>
          <w:sz w:val="20"/>
          <w:szCs w:val="20"/>
        </w:rPr>
        <w:t>two</w:t>
      </w:r>
      <w:r>
        <w:rPr>
          <w:sz w:val="20"/>
          <w:szCs w:val="20"/>
        </w:rPr>
        <w:t>-class method whereby earnings are allocated to the unvested restricted share awards based on dividends declared and the unvested restricted shares' participation rights in undistributed earnings.</w:t>
      </w:r>
    </w:p>
    <w:p w14:paraId="40F392F9" w14:textId="77777777" w:rsidR="00000000" w:rsidRDefault="00527094">
      <w:pPr>
        <w:pStyle w:val="a3"/>
        <w:spacing w:before="0" w:beforeAutospacing="0" w:after="0" w:afterAutospacing="0"/>
        <w:rPr>
          <w:sz w:val="20"/>
          <w:szCs w:val="20"/>
        </w:rPr>
      </w:pPr>
      <w:r>
        <w:rPr>
          <w:sz w:val="20"/>
          <w:szCs w:val="20"/>
        </w:rPr>
        <w:t> </w:t>
      </w:r>
    </w:p>
    <w:p w14:paraId="5B5A21CA" w14:textId="77777777" w:rsidR="00000000" w:rsidRDefault="00527094">
      <w:pPr>
        <w:divId w:val="115100109"/>
        <w:rPr>
          <w:rFonts w:eastAsia="Times New Roman"/>
          <w:sz w:val="20"/>
          <w:szCs w:val="20"/>
        </w:rPr>
      </w:pPr>
      <w:r>
        <w:rPr>
          <w:rFonts w:eastAsia="Times New Roman"/>
          <w:sz w:val="20"/>
          <w:szCs w:val="20"/>
        </w:rPr>
        <w:t xml:space="preserve">  </w:t>
      </w:r>
    </w:p>
    <w:p w14:paraId="2BCF193A" w14:textId="77777777" w:rsidR="00000000" w:rsidRDefault="00527094">
      <w:pPr>
        <w:pStyle w:val="a3"/>
        <w:spacing w:before="0" w:beforeAutospacing="0" w:after="0" w:afterAutospacing="0"/>
        <w:rPr>
          <w:sz w:val="20"/>
          <w:szCs w:val="20"/>
        </w:rPr>
      </w:pPr>
      <w:r>
        <w:rPr>
          <w:rStyle w:val="a6"/>
          <w:i w:val="0"/>
          <w:iCs w:val="0"/>
          <w:sz w:val="20"/>
          <w:szCs w:val="20"/>
        </w:rPr>
        <w:t>15.</w:t>
      </w:r>
      <w:r>
        <w:rPr>
          <w:sz w:val="20"/>
          <w:szCs w:val="20"/>
        </w:rPr>
        <w:t xml:space="preserve"> </w:t>
      </w:r>
      <w:r>
        <w:rPr>
          <w:sz w:val="20"/>
          <w:szCs w:val="20"/>
          <w:u w:val="single"/>
        </w:rPr>
        <w:t>Stockholders’ Equity</w:t>
      </w:r>
    </w:p>
    <w:p w14:paraId="43078D8D" w14:textId="77777777" w:rsidR="00000000" w:rsidRDefault="00527094">
      <w:pPr>
        <w:pStyle w:val="a3"/>
        <w:spacing w:before="0" w:beforeAutospacing="0" w:after="0" w:afterAutospacing="0"/>
        <w:rPr>
          <w:sz w:val="20"/>
          <w:szCs w:val="20"/>
        </w:rPr>
      </w:pPr>
      <w:r>
        <w:rPr>
          <w:sz w:val="20"/>
          <w:szCs w:val="20"/>
        </w:rPr>
        <w:t> </w:t>
      </w:r>
    </w:p>
    <w:p w14:paraId="13CE3F01" w14:textId="77777777" w:rsidR="00000000" w:rsidRDefault="00527094">
      <w:pPr>
        <w:pStyle w:val="a3"/>
        <w:spacing w:before="0" w:beforeAutospacing="0" w:after="0" w:afterAutospacing="0"/>
        <w:jc w:val="both"/>
        <w:rPr>
          <w:sz w:val="20"/>
          <w:szCs w:val="20"/>
        </w:rPr>
      </w:pPr>
      <w:r>
        <w:rPr>
          <w:i/>
          <w:iCs/>
          <w:sz w:val="20"/>
          <w:szCs w:val="20"/>
        </w:rPr>
        <w:t>Preferred Stock -</w:t>
      </w:r>
    </w:p>
    <w:p w14:paraId="6A53C89A" w14:textId="77777777" w:rsidR="00000000" w:rsidRDefault="00527094">
      <w:pPr>
        <w:pStyle w:val="a3"/>
        <w:spacing w:before="0" w:beforeAutospacing="0" w:after="0" w:afterAutospacing="0"/>
        <w:ind w:left="360"/>
        <w:jc w:val="both"/>
        <w:rPr>
          <w:sz w:val="20"/>
          <w:szCs w:val="20"/>
        </w:rPr>
      </w:pPr>
      <w:r>
        <w:rPr>
          <w:sz w:val="20"/>
          <w:szCs w:val="20"/>
        </w:rPr>
        <w:t> </w:t>
      </w:r>
    </w:p>
    <w:p w14:paraId="2B43A17A" w14:textId="77777777" w:rsidR="00000000" w:rsidRDefault="00527094">
      <w:pPr>
        <w:pStyle w:val="a3"/>
        <w:spacing w:before="0" w:beforeAutospacing="0" w:after="0" w:afterAutospacing="0"/>
        <w:ind w:left="360"/>
        <w:jc w:val="both"/>
        <w:rPr>
          <w:sz w:val="20"/>
          <w:szCs w:val="20"/>
        </w:rPr>
      </w:pPr>
      <w:r>
        <w:rPr>
          <w:sz w:val="20"/>
          <w:szCs w:val="20"/>
        </w:rPr>
        <w:t>The Company’s outstanding Preferred Stock is detailed below:</w:t>
      </w:r>
    </w:p>
    <w:p w14:paraId="5C967D84" w14:textId="77777777" w:rsidR="00000000" w:rsidRDefault="0052709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160"/>
        <w:gridCol w:w="50"/>
        <w:gridCol w:w="50"/>
        <w:gridCol w:w="78"/>
        <w:gridCol w:w="701"/>
        <w:gridCol w:w="167"/>
        <w:gridCol w:w="50"/>
        <w:gridCol w:w="101"/>
        <w:gridCol w:w="840"/>
        <w:gridCol w:w="50"/>
        <w:gridCol w:w="50"/>
        <w:gridCol w:w="120"/>
        <w:gridCol w:w="450"/>
        <w:gridCol w:w="50"/>
        <w:gridCol w:w="1045"/>
      </w:tblGrid>
      <w:tr w:rsidR="00000000" w14:paraId="5EB01028" w14:textId="77777777">
        <w:trPr>
          <w:tblCellSpacing w:w="0" w:type="dxa"/>
        </w:trPr>
        <w:tc>
          <w:tcPr>
            <w:tcW w:w="0" w:type="auto"/>
            <w:gridSpan w:val="26"/>
            <w:tcBorders>
              <w:bottom w:val="single" w:sz="6" w:space="0" w:color="000000"/>
            </w:tcBorders>
            <w:vAlign w:val="bottom"/>
            <w:hideMark/>
          </w:tcPr>
          <w:p w14:paraId="145A13A3" w14:textId="77777777" w:rsidR="00000000" w:rsidRDefault="00527094">
            <w:pPr>
              <w:pStyle w:val="a3"/>
              <w:spacing w:before="0" w:beforeAutospacing="0" w:after="0" w:afterAutospacing="0"/>
              <w:jc w:val="center"/>
              <w:rPr>
                <w:sz w:val="20"/>
                <w:szCs w:val="20"/>
              </w:rPr>
            </w:pPr>
            <w:r>
              <w:rPr>
                <w:b/>
                <w:bCs/>
                <w:sz w:val="20"/>
                <w:szCs w:val="20"/>
              </w:rPr>
              <w:t>As of June 30, 2019 and December 31, 2018</w:t>
            </w:r>
          </w:p>
        </w:tc>
      </w:tr>
      <w:tr w:rsidR="00000000" w14:paraId="1F40D42B" w14:textId="77777777">
        <w:trPr>
          <w:tblCellSpacing w:w="0" w:type="dxa"/>
        </w:trPr>
        <w:tc>
          <w:tcPr>
            <w:tcW w:w="665" w:type="pct"/>
            <w:tcBorders>
              <w:bottom w:val="single" w:sz="6" w:space="0" w:color="000000"/>
            </w:tcBorders>
            <w:vAlign w:val="bottom"/>
            <w:hideMark/>
          </w:tcPr>
          <w:p w14:paraId="2368B45C" w14:textId="77777777" w:rsidR="00000000" w:rsidRDefault="00527094">
            <w:pPr>
              <w:pStyle w:val="a3"/>
              <w:spacing w:before="0" w:beforeAutospacing="0" w:after="0" w:afterAutospacing="0"/>
              <w:jc w:val="center"/>
              <w:rPr>
                <w:sz w:val="20"/>
                <w:szCs w:val="20"/>
              </w:rPr>
            </w:pPr>
            <w:r>
              <w:rPr>
                <w:b/>
                <w:bCs/>
                <w:sz w:val="20"/>
                <w:szCs w:val="20"/>
              </w:rPr>
              <w:t xml:space="preserve">Class of </w:t>
            </w:r>
          </w:p>
          <w:p w14:paraId="02DC017F" w14:textId="77777777" w:rsidR="00000000" w:rsidRDefault="00527094">
            <w:pPr>
              <w:pStyle w:val="a3"/>
              <w:spacing w:before="0" w:beforeAutospacing="0" w:after="0" w:afterAutospacing="0"/>
              <w:jc w:val="center"/>
              <w:rPr>
                <w:sz w:val="20"/>
                <w:szCs w:val="20"/>
              </w:rPr>
            </w:pPr>
            <w:r>
              <w:rPr>
                <w:b/>
                <w:bCs/>
                <w:sz w:val="20"/>
                <w:szCs w:val="20"/>
              </w:rPr>
              <w:t xml:space="preserve">Preferred </w:t>
            </w:r>
          </w:p>
          <w:p w14:paraId="4D3210F8" w14:textId="77777777" w:rsidR="00000000" w:rsidRDefault="00527094">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14C1DDE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C6AAF4C" w14:textId="77777777" w:rsidR="00000000" w:rsidRDefault="00527094">
            <w:pPr>
              <w:pStyle w:val="a3"/>
              <w:spacing w:before="0" w:beforeAutospacing="0" w:after="0" w:afterAutospacing="0"/>
              <w:jc w:val="center"/>
              <w:rPr>
                <w:sz w:val="20"/>
                <w:szCs w:val="20"/>
              </w:rPr>
            </w:pPr>
            <w:r>
              <w:rPr>
                <w:b/>
                <w:bCs/>
                <w:sz w:val="20"/>
                <w:szCs w:val="20"/>
              </w:rPr>
              <w:t xml:space="preserve">Shares </w:t>
            </w:r>
          </w:p>
          <w:p w14:paraId="53D3E248" w14:textId="77777777" w:rsidR="00000000" w:rsidRDefault="00527094">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14:paraId="029CBEC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24E7004"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62C2000" w14:textId="77777777" w:rsidR="00000000" w:rsidRDefault="00527094">
            <w:pPr>
              <w:pStyle w:val="a3"/>
              <w:spacing w:before="0" w:beforeAutospacing="0" w:after="0" w:afterAutospacing="0"/>
              <w:jc w:val="center"/>
              <w:rPr>
                <w:sz w:val="20"/>
                <w:szCs w:val="20"/>
              </w:rPr>
            </w:pPr>
            <w:r>
              <w:rPr>
                <w:b/>
                <w:bCs/>
                <w:sz w:val="20"/>
                <w:szCs w:val="20"/>
              </w:rPr>
              <w:t xml:space="preserve">Shares </w:t>
            </w:r>
          </w:p>
          <w:p w14:paraId="05D4629D" w14:textId="77777777" w:rsidR="00000000" w:rsidRDefault="00527094">
            <w:pPr>
              <w:pStyle w:val="a3"/>
              <w:spacing w:before="0" w:beforeAutospacing="0" w:after="0" w:afterAutospacing="0"/>
              <w:jc w:val="center"/>
              <w:rPr>
                <w:sz w:val="20"/>
                <w:szCs w:val="20"/>
              </w:rPr>
            </w:pPr>
            <w:r>
              <w:rPr>
                <w:b/>
                <w:bCs/>
                <w:sz w:val="20"/>
                <w:szCs w:val="20"/>
              </w:rPr>
              <w:t xml:space="preserve">Issued and </w:t>
            </w:r>
          </w:p>
          <w:p w14:paraId="3FD7E6DE" w14:textId="77777777" w:rsidR="00000000" w:rsidRDefault="00527094">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14:paraId="58C0B79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44F75F0"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76C7BD7" w14:textId="77777777" w:rsidR="00000000" w:rsidRDefault="00527094">
            <w:pPr>
              <w:pStyle w:val="a3"/>
              <w:spacing w:before="0" w:beforeAutospacing="0" w:after="0" w:afterAutospacing="0"/>
              <w:jc w:val="center"/>
              <w:rPr>
                <w:sz w:val="20"/>
                <w:szCs w:val="20"/>
              </w:rPr>
            </w:pPr>
            <w:r>
              <w:rPr>
                <w:b/>
                <w:bCs/>
                <w:sz w:val="20"/>
                <w:szCs w:val="20"/>
              </w:rPr>
              <w:t>Liquidation</w:t>
            </w:r>
          </w:p>
          <w:p w14:paraId="07D7A021" w14:textId="77777777" w:rsidR="00000000" w:rsidRDefault="00527094">
            <w:pPr>
              <w:pStyle w:val="a3"/>
              <w:spacing w:before="0" w:beforeAutospacing="0" w:after="0" w:afterAutospacing="0"/>
              <w:jc w:val="center"/>
              <w:rPr>
                <w:sz w:val="20"/>
                <w:szCs w:val="20"/>
              </w:rPr>
            </w:pPr>
            <w:r>
              <w:rPr>
                <w:b/>
                <w:bCs/>
                <w:sz w:val="20"/>
                <w:szCs w:val="20"/>
              </w:rPr>
              <w:t>Preference</w:t>
            </w:r>
          </w:p>
          <w:p w14:paraId="7626CE3A" w14:textId="77777777" w:rsidR="00000000" w:rsidRDefault="00527094">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14:paraId="49C288C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705D79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2C9685" w14:textId="77777777" w:rsidR="00000000" w:rsidRDefault="00527094">
            <w:pPr>
              <w:pStyle w:val="a3"/>
              <w:spacing w:before="0" w:beforeAutospacing="0" w:after="0" w:afterAutospacing="0"/>
              <w:jc w:val="center"/>
              <w:rPr>
                <w:sz w:val="20"/>
                <w:szCs w:val="20"/>
              </w:rPr>
            </w:pPr>
            <w:r>
              <w:rPr>
                <w:b/>
                <w:bCs/>
                <w:sz w:val="20"/>
                <w:szCs w:val="20"/>
              </w:rPr>
              <w:t xml:space="preserve">Dividend </w:t>
            </w:r>
          </w:p>
          <w:p w14:paraId="37973DEA" w14:textId="77777777" w:rsidR="00000000" w:rsidRDefault="00527094">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14:paraId="402F0C6E"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7FCAA4E"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31E6413" w14:textId="77777777" w:rsidR="00000000" w:rsidRDefault="00527094">
            <w:pPr>
              <w:pStyle w:val="a3"/>
              <w:spacing w:before="0" w:beforeAutospacing="0" w:after="0" w:afterAutospacing="0"/>
              <w:jc w:val="center"/>
              <w:rPr>
                <w:sz w:val="20"/>
                <w:szCs w:val="20"/>
              </w:rPr>
            </w:pPr>
            <w:r>
              <w:rPr>
                <w:b/>
                <w:bCs/>
                <w:sz w:val="20"/>
                <w:szCs w:val="20"/>
              </w:rPr>
              <w:t xml:space="preserve">Annual </w:t>
            </w:r>
          </w:p>
          <w:p w14:paraId="1FF222C4" w14:textId="77777777" w:rsidR="00000000" w:rsidRDefault="00527094">
            <w:pPr>
              <w:pStyle w:val="a3"/>
              <w:spacing w:before="0" w:beforeAutospacing="0" w:after="0" w:afterAutospacing="0"/>
              <w:jc w:val="center"/>
              <w:rPr>
                <w:sz w:val="20"/>
                <w:szCs w:val="20"/>
              </w:rPr>
            </w:pPr>
            <w:r>
              <w:rPr>
                <w:b/>
                <w:bCs/>
                <w:sz w:val="20"/>
                <w:szCs w:val="20"/>
              </w:rPr>
              <w:t xml:space="preserve">Dividend per </w:t>
            </w:r>
          </w:p>
          <w:p w14:paraId="272C8854" w14:textId="77777777" w:rsidR="00000000" w:rsidRDefault="00527094">
            <w:pPr>
              <w:pStyle w:val="a3"/>
              <w:spacing w:before="0" w:beforeAutospacing="0" w:after="0" w:afterAutospacing="0"/>
              <w:jc w:val="center"/>
              <w:rPr>
                <w:sz w:val="20"/>
                <w:szCs w:val="20"/>
              </w:rPr>
            </w:pPr>
            <w:r>
              <w:rPr>
                <w:b/>
                <w:bCs/>
                <w:sz w:val="20"/>
                <w:szCs w:val="20"/>
              </w:rPr>
              <w:t xml:space="preserve">Depositary </w:t>
            </w:r>
          </w:p>
          <w:p w14:paraId="7276D129" w14:textId="77777777" w:rsidR="00000000" w:rsidRDefault="00527094">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14:paraId="5342F925"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B5CE5F8"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5EF39A7" w14:textId="77777777" w:rsidR="00000000" w:rsidRDefault="00527094">
            <w:pPr>
              <w:pStyle w:val="a3"/>
              <w:spacing w:before="0" w:beforeAutospacing="0" w:after="0" w:afterAutospacing="0"/>
              <w:jc w:val="center"/>
              <w:rPr>
                <w:sz w:val="20"/>
                <w:szCs w:val="20"/>
              </w:rPr>
            </w:pPr>
            <w:r>
              <w:rPr>
                <w:sz w:val="20"/>
                <w:szCs w:val="20"/>
              </w:rPr>
              <w:t> </w:t>
            </w:r>
          </w:p>
          <w:p w14:paraId="05839E5A" w14:textId="77777777" w:rsidR="00000000" w:rsidRDefault="00527094">
            <w:pPr>
              <w:pStyle w:val="a3"/>
              <w:spacing w:before="0" w:beforeAutospacing="0" w:after="0" w:afterAutospacing="0"/>
              <w:jc w:val="center"/>
              <w:rPr>
                <w:sz w:val="20"/>
                <w:szCs w:val="20"/>
              </w:rPr>
            </w:pPr>
            <w:r>
              <w:rPr>
                <w:b/>
                <w:bCs/>
                <w:sz w:val="20"/>
                <w:szCs w:val="20"/>
              </w:rPr>
              <w:t>Par</w:t>
            </w:r>
          </w:p>
          <w:p w14:paraId="255E9EA4" w14:textId="77777777" w:rsidR="00000000" w:rsidRDefault="00527094">
            <w:pPr>
              <w:pStyle w:val="a3"/>
              <w:spacing w:before="0" w:beforeAutospacing="0" w:after="0" w:afterAutospacing="0"/>
              <w:jc w:val="center"/>
              <w:rPr>
                <w:sz w:val="20"/>
                <w:szCs w:val="20"/>
              </w:rPr>
            </w:pPr>
            <w:r>
              <w:rPr>
                <w:b/>
                <w:bCs/>
                <w:sz w:val="20"/>
                <w:szCs w:val="20"/>
              </w:rPr>
              <w:t>Value</w:t>
            </w:r>
          </w:p>
        </w:tc>
        <w:tc>
          <w:tcPr>
            <w:tcW w:w="0" w:type="auto"/>
            <w:tcMar>
              <w:top w:w="0" w:type="dxa"/>
              <w:left w:w="0" w:type="dxa"/>
              <w:bottom w:w="15" w:type="dxa"/>
              <w:right w:w="0" w:type="dxa"/>
            </w:tcMar>
            <w:vAlign w:val="bottom"/>
            <w:hideMark/>
          </w:tcPr>
          <w:p w14:paraId="39F8B90B" w14:textId="77777777" w:rsidR="00000000" w:rsidRDefault="00527094">
            <w:pPr>
              <w:rPr>
                <w:rFonts w:eastAsia="Times New Roman"/>
                <w:sz w:val="20"/>
                <w:szCs w:val="20"/>
              </w:rPr>
            </w:pPr>
            <w:r>
              <w:rPr>
                <w:rFonts w:eastAsia="Times New Roman"/>
                <w:sz w:val="20"/>
                <w:szCs w:val="20"/>
              </w:rPr>
              <w:t> </w:t>
            </w:r>
          </w:p>
        </w:tc>
        <w:tc>
          <w:tcPr>
            <w:tcW w:w="735" w:type="pct"/>
            <w:tcBorders>
              <w:bottom w:val="single" w:sz="6" w:space="0" w:color="000000"/>
            </w:tcBorders>
            <w:vAlign w:val="bottom"/>
            <w:hideMark/>
          </w:tcPr>
          <w:p w14:paraId="15DFAF12" w14:textId="77777777" w:rsidR="00000000" w:rsidRDefault="00527094">
            <w:pPr>
              <w:pStyle w:val="a3"/>
              <w:spacing w:before="0" w:beforeAutospacing="0" w:after="0" w:afterAutospacing="0"/>
              <w:jc w:val="center"/>
              <w:rPr>
                <w:sz w:val="20"/>
                <w:szCs w:val="20"/>
              </w:rPr>
            </w:pPr>
            <w:r>
              <w:rPr>
                <w:b/>
                <w:bCs/>
                <w:sz w:val="20"/>
                <w:szCs w:val="20"/>
              </w:rPr>
              <w:t xml:space="preserve">Optional </w:t>
            </w:r>
          </w:p>
          <w:p w14:paraId="414BF15F" w14:textId="77777777" w:rsidR="00000000" w:rsidRDefault="00527094">
            <w:pPr>
              <w:pStyle w:val="a3"/>
              <w:spacing w:before="0" w:beforeAutospacing="0" w:after="0" w:afterAutospacing="0"/>
              <w:jc w:val="center"/>
              <w:rPr>
                <w:sz w:val="20"/>
                <w:szCs w:val="20"/>
              </w:rPr>
            </w:pPr>
            <w:r>
              <w:rPr>
                <w:b/>
                <w:bCs/>
                <w:sz w:val="20"/>
                <w:szCs w:val="20"/>
              </w:rPr>
              <w:t xml:space="preserve">Redemption </w:t>
            </w:r>
          </w:p>
          <w:p w14:paraId="1977AD52" w14:textId="77777777" w:rsidR="00000000" w:rsidRDefault="00527094">
            <w:pPr>
              <w:pStyle w:val="a3"/>
              <w:spacing w:before="0" w:beforeAutospacing="0" w:after="0" w:afterAutospacing="0"/>
              <w:jc w:val="center"/>
              <w:rPr>
                <w:sz w:val="20"/>
                <w:szCs w:val="20"/>
              </w:rPr>
            </w:pPr>
            <w:r>
              <w:rPr>
                <w:b/>
                <w:bCs/>
                <w:sz w:val="20"/>
                <w:szCs w:val="20"/>
              </w:rPr>
              <w:t>Date</w:t>
            </w:r>
          </w:p>
        </w:tc>
      </w:tr>
      <w:tr w:rsidR="00000000" w14:paraId="19CC7824" w14:textId="77777777">
        <w:trPr>
          <w:tblCellSpacing w:w="0" w:type="dxa"/>
        </w:trPr>
        <w:tc>
          <w:tcPr>
            <w:tcW w:w="0" w:type="auto"/>
            <w:tcBorders>
              <w:bottom w:val="nil"/>
            </w:tcBorders>
            <w:shd w:val="clear" w:color="auto" w:fill="CCEEFF"/>
            <w:vAlign w:val="bottom"/>
            <w:hideMark/>
          </w:tcPr>
          <w:p w14:paraId="15184400" w14:textId="77777777" w:rsidR="00000000" w:rsidRDefault="00527094">
            <w:pPr>
              <w:pStyle w:val="a3"/>
              <w:spacing w:before="0" w:beforeAutospacing="0" w:after="0" w:afterAutospacing="0"/>
              <w:jc w:val="center"/>
              <w:rPr>
                <w:sz w:val="20"/>
                <w:szCs w:val="20"/>
              </w:rPr>
            </w:pPr>
            <w:r>
              <w:rPr>
                <w:sz w:val="20"/>
                <w:szCs w:val="20"/>
              </w:rPr>
              <w:t>Class I</w:t>
            </w:r>
          </w:p>
        </w:tc>
        <w:tc>
          <w:tcPr>
            <w:tcW w:w="50" w:type="pct"/>
            <w:shd w:val="clear" w:color="auto" w:fill="CCEEFF"/>
            <w:vAlign w:val="bottom"/>
            <w:hideMark/>
          </w:tcPr>
          <w:p w14:paraId="5EF5675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89C54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B6109E2" w14:textId="77777777" w:rsidR="00000000" w:rsidRDefault="00527094">
            <w:pPr>
              <w:jc w:val="right"/>
              <w:rPr>
                <w:rFonts w:eastAsia="Times New Roman"/>
                <w:sz w:val="20"/>
                <w:szCs w:val="20"/>
              </w:rPr>
            </w:pPr>
            <w:r>
              <w:rPr>
                <w:rFonts w:eastAsia="Times New Roman"/>
                <w:sz w:val="20"/>
                <w:szCs w:val="20"/>
              </w:rPr>
              <w:t>18,400</w:t>
            </w:r>
          </w:p>
        </w:tc>
        <w:tc>
          <w:tcPr>
            <w:tcW w:w="50" w:type="pct"/>
            <w:shd w:val="clear" w:color="auto" w:fill="CCEEFF"/>
            <w:vAlign w:val="bottom"/>
            <w:hideMark/>
          </w:tcPr>
          <w:p w14:paraId="64C4F09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4E308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A9D323"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15C2D9" w14:textId="77777777" w:rsidR="00000000" w:rsidRDefault="00527094">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14:paraId="0FE0F69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5FFC8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68B24C"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188CD7DE" w14:textId="77777777" w:rsidR="00000000" w:rsidRDefault="00527094">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14:paraId="6E42135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ED23E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876EB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9B06BC7" w14:textId="77777777" w:rsidR="00000000" w:rsidRDefault="00527094">
            <w:pPr>
              <w:jc w:val="right"/>
              <w:rPr>
                <w:rFonts w:eastAsia="Times New Roman"/>
                <w:sz w:val="20"/>
                <w:szCs w:val="20"/>
              </w:rPr>
            </w:pPr>
            <w:r>
              <w:rPr>
                <w:rFonts w:eastAsia="Times New Roman"/>
                <w:sz w:val="20"/>
                <w:szCs w:val="20"/>
              </w:rPr>
              <w:t>6.000</w:t>
            </w:r>
          </w:p>
        </w:tc>
        <w:tc>
          <w:tcPr>
            <w:tcW w:w="50" w:type="pct"/>
            <w:shd w:val="clear" w:color="auto" w:fill="CCEEFF"/>
            <w:vAlign w:val="bottom"/>
            <w:hideMark/>
          </w:tcPr>
          <w:p w14:paraId="30239BB1"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118AC7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9C4E69"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2978C014" w14:textId="77777777" w:rsidR="00000000" w:rsidRDefault="00527094">
            <w:pPr>
              <w:jc w:val="right"/>
              <w:rPr>
                <w:rFonts w:eastAsia="Times New Roman"/>
                <w:sz w:val="20"/>
                <w:szCs w:val="20"/>
              </w:rPr>
            </w:pPr>
            <w:r>
              <w:rPr>
                <w:rFonts w:eastAsia="Times New Roman"/>
                <w:sz w:val="20"/>
                <w:szCs w:val="20"/>
              </w:rPr>
              <w:t>1.50000</w:t>
            </w:r>
          </w:p>
        </w:tc>
        <w:tc>
          <w:tcPr>
            <w:tcW w:w="50" w:type="pct"/>
            <w:shd w:val="clear" w:color="auto" w:fill="CCEEFF"/>
            <w:vAlign w:val="bottom"/>
            <w:hideMark/>
          </w:tcPr>
          <w:p w14:paraId="186D80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D47DC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EB20B3" w14:textId="77777777" w:rsidR="00000000" w:rsidRDefault="00527094">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14525D34" w14:textId="77777777" w:rsidR="00000000" w:rsidRDefault="00527094">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36CE562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AF958" w14:textId="77777777" w:rsidR="00000000" w:rsidRDefault="00527094">
            <w:pPr>
              <w:pStyle w:val="a3"/>
              <w:spacing w:before="0" w:beforeAutospacing="0" w:after="0" w:afterAutospacing="0"/>
              <w:ind w:left="40"/>
              <w:jc w:val="center"/>
              <w:rPr>
                <w:sz w:val="20"/>
                <w:szCs w:val="20"/>
              </w:rPr>
            </w:pPr>
            <w:r>
              <w:rPr>
                <w:sz w:val="20"/>
                <w:szCs w:val="20"/>
              </w:rPr>
              <w:t>3/20/2017</w:t>
            </w:r>
          </w:p>
        </w:tc>
      </w:tr>
      <w:tr w:rsidR="00000000" w14:paraId="08582889" w14:textId="77777777">
        <w:trPr>
          <w:tblCellSpacing w:w="0" w:type="dxa"/>
        </w:trPr>
        <w:tc>
          <w:tcPr>
            <w:tcW w:w="0" w:type="auto"/>
            <w:shd w:val="clear" w:color="auto" w:fill="FFFFFF"/>
            <w:vAlign w:val="bottom"/>
            <w:hideMark/>
          </w:tcPr>
          <w:p w14:paraId="5429C861" w14:textId="77777777" w:rsidR="00000000" w:rsidRDefault="00527094">
            <w:pPr>
              <w:pStyle w:val="a3"/>
              <w:spacing w:before="0" w:beforeAutospacing="0" w:after="0" w:afterAutospacing="0"/>
              <w:jc w:val="center"/>
              <w:rPr>
                <w:sz w:val="20"/>
                <w:szCs w:val="20"/>
              </w:rPr>
            </w:pPr>
            <w:r>
              <w:rPr>
                <w:sz w:val="20"/>
                <w:szCs w:val="20"/>
              </w:rPr>
              <w:t>Class J</w:t>
            </w:r>
          </w:p>
        </w:tc>
        <w:tc>
          <w:tcPr>
            <w:tcW w:w="50" w:type="pct"/>
            <w:shd w:val="clear" w:color="auto" w:fill="FFFFFF"/>
            <w:vAlign w:val="bottom"/>
            <w:hideMark/>
          </w:tcPr>
          <w:p w14:paraId="61F9202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528B9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2C23EDA" w14:textId="77777777" w:rsidR="00000000" w:rsidRDefault="00527094">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14:paraId="00F21BF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27CCB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E5573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1505410" w14:textId="77777777" w:rsidR="00000000" w:rsidRDefault="00527094">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14:paraId="61B5DDA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05227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07FE0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EAA3C39" w14:textId="77777777" w:rsidR="00000000" w:rsidRDefault="00527094">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14:paraId="73D5282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724B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B4B33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94B375E" w14:textId="77777777" w:rsidR="00000000" w:rsidRDefault="00527094">
            <w:pPr>
              <w:jc w:val="right"/>
              <w:rPr>
                <w:rFonts w:eastAsia="Times New Roman"/>
                <w:sz w:val="20"/>
                <w:szCs w:val="20"/>
              </w:rPr>
            </w:pPr>
            <w:r>
              <w:rPr>
                <w:rFonts w:eastAsia="Times New Roman"/>
                <w:sz w:val="20"/>
                <w:szCs w:val="20"/>
              </w:rPr>
              <w:t>5.500</w:t>
            </w:r>
          </w:p>
        </w:tc>
        <w:tc>
          <w:tcPr>
            <w:tcW w:w="50" w:type="pct"/>
            <w:shd w:val="clear" w:color="auto" w:fill="FFFFFF"/>
            <w:vAlign w:val="bottom"/>
            <w:hideMark/>
          </w:tcPr>
          <w:p w14:paraId="6597DF7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0E64118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00235C" w14:textId="77777777" w:rsidR="00000000" w:rsidRDefault="00527094">
            <w:pPr>
              <w:rPr>
                <w:rFonts w:eastAsia="Times New Roman"/>
                <w:sz w:val="20"/>
                <w:szCs w:val="20"/>
              </w:rPr>
            </w:pPr>
            <w:r>
              <w:rPr>
                <w:rFonts w:eastAsia="Times New Roman"/>
                <w:sz w:val="20"/>
                <w:szCs w:val="20"/>
              </w:rPr>
              <w:t>$</w:t>
            </w:r>
          </w:p>
        </w:tc>
        <w:tc>
          <w:tcPr>
            <w:tcW w:w="450" w:type="pct"/>
            <w:shd w:val="clear" w:color="auto" w:fill="FFFFFF"/>
            <w:vAlign w:val="bottom"/>
            <w:hideMark/>
          </w:tcPr>
          <w:p w14:paraId="10593B52" w14:textId="77777777" w:rsidR="00000000" w:rsidRDefault="00527094">
            <w:pPr>
              <w:jc w:val="right"/>
              <w:rPr>
                <w:rFonts w:eastAsia="Times New Roman"/>
                <w:sz w:val="20"/>
                <w:szCs w:val="20"/>
              </w:rPr>
            </w:pPr>
            <w:r>
              <w:rPr>
                <w:rFonts w:eastAsia="Times New Roman"/>
                <w:sz w:val="20"/>
                <w:szCs w:val="20"/>
              </w:rPr>
              <w:t>1.37500</w:t>
            </w:r>
          </w:p>
        </w:tc>
        <w:tc>
          <w:tcPr>
            <w:tcW w:w="50" w:type="pct"/>
            <w:shd w:val="clear" w:color="auto" w:fill="FFFFFF"/>
            <w:vAlign w:val="bottom"/>
            <w:hideMark/>
          </w:tcPr>
          <w:p w14:paraId="4A4563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040DA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8BF32B" w14:textId="77777777" w:rsidR="00000000" w:rsidRDefault="00527094">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14:paraId="6CFC8100" w14:textId="77777777" w:rsidR="00000000" w:rsidRDefault="00527094">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2DEDC8A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84913" w14:textId="77777777" w:rsidR="00000000" w:rsidRDefault="00527094">
            <w:pPr>
              <w:pStyle w:val="a3"/>
              <w:spacing w:before="0" w:beforeAutospacing="0" w:after="0" w:afterAutospacing="0"/>
              <w:ind w:left="40"/>
              <w:jc w:val="center"/>
              <w:rPr>
                <w:sz w:val="20"/>
                <w:szCs w:val="20"/>
              </w:rPr>
            </w:pPr>
            <w:r>
              <w:rPr>
                <w:sz w:val="20"/>
                <w:szCs w:val="20"/>
              </w:rPr>
              <w:t>7/25/2017</w:t>
            </w:r>
          </w:p>
        </w:tc>
      </w:tr>
      <w:tr w:rsidR="00000000" w14:paraId="01AC7D4F" w14:textId="77777777">
        <w:trPr>
          <w:tblCellSpacing w:w="0" w:type="dxa"/>
        </w:trPr>
        <w:tc>
          <w:tcPr>
            <w:tcW w:w="0" w:type="auto"/>
            <w:shd w:val="clear" w:color="auto" w:fill="CCEEFF"/>
            <w:vAlign w:val="bottom"/>
            <w:hideMark/>
          </w:tcPr>
          <w:p w14:paraId="3917BFF3" w14:textId="77777777" w:rsidR="00000000" w:rsidRDefault="00527094">
            <w:pPr>
              <w:pStyle w:val="a3"/>
              <w:spacing w:before="0" w:beforeAutospacing="0" w:after="0" w:afterAutospacing="0"/>
              <w:jc w:val="center"/>
              <w:rPr>
                <w:sz w:val="20"/>
                <w:szCs w:val="20"/>
              </w:rPr>
            </w:pPr>
            <w:r>
              <w:rPr>
                <w:sz w:val="20"/>
                <w:szCs w:val="20"/>
              </w:rPr>
              <w:t>Class K</w:t>
            </w:r>
          </w:p>
        </w:tc>
        <w:tc>
          <w:tcPr>
            <w:tcW w:w="50" w:type="pct"/>
            <w:shd w:val="clear" w:color="auto" w:fill="CCEEFF"/>
            <w:vAlign w:val="bottom"/>
            <w:hideMark/>
          </w:tcPr>
          <w:p w14:paraId="5F2B9F3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89292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3FC7AE8" w14:textId="77777777" w:rsidR="00000000" w:rsidRDefault="00527094">
            <w:pPr>
              <w:jc w:val="right"/>
              <w:rPr>
                <w:rFonts w:eastAsia="Times New Roman"/>
                <w:sz w:val="20"/>
                <w:szCs w:val="20"/>
              </w:rPr>
            </w:pPr>
            <w:r>
              <w:rPr>
                <w:rFonts w:eastAsia="Times New Roman"/>
                <w:sz w:val="20"/>
                <w:szCs w:val="20"/>
              </w:rPr>
              <w:t>8,050</w:t>
            </w:r>
          </w:p>
        </w:tc>
        <w:tc>
          <w:tcPr>
            <w:tcW w:w="50" w:type="pct"/>
            <w:shd w:val="clear" w:color="auto" w:fill="CCEEFF"/>
            <w:vAlign w:val="bottom"/>
            <w:hideMark/>
          </w:tcPr>
          <w:p w14:paraId="180409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FC7A7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F2429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F1EA09" w14:textId="77777777" w:rsidR="00000000" w:rsidRDefault="00527094">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14:paraId="34AC17D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1A57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98309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38DA5DD" w14:textId="77777777" w:rsidR="00000000" w:rsidRDefault="00527094">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14:paraId="1C20FD4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A17F8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A57B9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830FC5" w14:textId="77777777" w:rsidR="00000000" w:rsidRDefault="00527094">
            <w:pPr>
              <w:jc w:val="right"/>
              <w:rPr>
                <w:rFonts w:eastAsia="Times New Roman"/>
                <w:sz w:val="20"/>
                <w:szCs w:val="20"/>
              </w:rPr>
            </w:pPr>
            <w:r>
              <w:rPr>
                <w:rFonts w:eastAsia="Times New Roman"/>
                <w:sz w:val="20"/>
                <w:szCs w:val="20"/>
              </w:rPr>
              <w:t>5.625</w:t>
            </w:r>
          </w:p>
        </w:tc>
        <w:tc>
          <w:tcPr>
            <w:tcW w:w="50" w:type="pct"/>
            <w:shd w:val="clear" w:color="auto" w:fill="CCEEFF"/>
            <w:vAlign w:val="bottom"/>
            <w:hideMark/>
          </w:tcPr>
          <w:p w14:paraId="0000D016"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A3B957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E1B5EC"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600CEF21" w14:textId="77777777" w:rsidR="00000000" w:rsidRDefault="00527094">
            <w:pPr>
              <w:jc w:val="right"/>
              <w:rPr>
                <w:rFonts w:eastAsia="Times New Roman"/>
                <w:sz w:val="20"/>
                <w:szCs w:val="20"/>
              </w:rPr>
            </w:pPr>
            <w:r>
              <w:rPr>
                <w:rFonts w:eastAsia="Times New Roman"/>
                <w:sz w:val="20"/>
                <w:szCs w:val="20"/>
              </w:rPr>
              <w:t>1.40625</w:t>
            </w:r>
          </w:p>
        </w:tc>
        <w:tc>
          <w:tcPr>
            <w:tcW w:w="50" w:type="pct"/>
            <w:shd w:val="clear" w:color="auto" w:fill="CCEEFF"/>
            <w:vAlign w:val="bottom"/>
            <w:hideMark/>
          </w:tcPr>
          <w:p w14:paraId="6B3EC15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8D211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3A74FE" w14:textId="77777777" w:rsidR="00000000" w:rsidRDefault="00527094">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23A74317" w14:textId="77777777" w:rsidR="00000000" w:rsidRDefault="00527094">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62C584E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93B15" w14:textId="77777777" w:rsidR="00000000" w:rsidRDefault="00527094">
            <w:pPr>
              <w:pStyle w:val="a3"/>
              <w:spacing w:before="0" w:beforeAutospacing="0" w:after="0" w:afterAutospacing="0"/>
              <w:ind w:left="40"/>
              <w:jc w:val="center"/>
              <w:rPr>
                <w:sz w:val="20"/>
                <w:szCs w:val="20"/>
              </w:rPr>
            </w:pPr>
            <w:r>
              <w:rPr>
                <w:sz w:val="20"/>
                <w:szCs w:val="20"/>
              </w:rPr>
              <w:t>12/7/2017</w:t>
            </w:r>
          </w:p>
        </w:tc>
      </w:tr>
      <w:tr w:rsidR="00000000" w14:paraId="04D2E84C" w14:textId="77777777">
        <w:trPr>
          <w:tblCellSpacing w:w="0" w:type="dxa"/>
        </w:trPr>
        <w:tc>
          <w:tcPr>
            <w:tcW w:w="0" w:type="auto"/>
            <w:shd w:val="clear" w:color="auto" w:fill="FFFFFF"/>
            <w:vAlign w:val="bottom"/>
            <w:hideMark/>
          </w:tcPr>
          <w:p w14:paraId="514FE9A9" w14:textId="77777777" w:rsidR="00000000" w:rsidRDefault="00527094">
            <w:pPr>
              <w:pStyle w:val="a3"/>
              <w:spacing w:before="0" w:beforeAutospacing="0" w:after="0" w:afterAutospacing="0"/>
              <w:jc w:val="center"/>
              <w:rPr>
                <w:sz w:val="20"/>
                <w:szCs w:val="20"/>
              </w:rPr>
            </w:pPr>
            <w:r>
              <w:rPr>
                <w:sz w:val="20"/>
                <w:szCs w:val="20"/>
              </w:rPr>
              <w:t>Class L</w:t>
            </w:r>
          </w:p>
        </w:tc>
        <w:tc>
          <w:tcPr>
            <w:tcW w:w="50" w:type="pct"/>
            <w:shd w:val="clear" w:color="auto" w:fill="FFFFFF"/>
            <w:vAlign w:val="bottom"/>
            <w:hideMark/>
          </w:tcPr>
          <w:p w14:paraId="01C3C77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C7431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D65D207" w14:textId="77777777" w:rsidR="00000000" w:rsidRDefault="00527094">
            <w:pPr>
              <w:jc w:val="right"/>
              <w:rPr>
                <w:rFonts w:eastAsia="Times New Roman"/>
                <w:sz w:val="20"/>
                <w:szCs w:val="20"/>
              </w:rPr>
            </w:pPr>
            <w:r>
              <w:rPr>
                <w:rFonts w:eastAsia="Times New Roman"/>
                <w:sz w:val="20"/>
                <w:szCs w:val="20"/>
              </w:rPr>
              <w:t>10,350</w:t>
            </w:r>
          </w:p>
        </w:tc>
        <w:tc>
          <w:tcPr>
            <w:tcW w:w="50" w:type="pct"/>
            <w:shd w:val="clear" w:color="auto" w:fill="FFFFFF"/>
            <w:vAlign w:val="bottom"/>
            <w:hideMark/>
          </w:tcPr>
          <w:p w14:paraId="56372D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C697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9F46B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769A465" w14:textId="77777777" w:rsidR="00000000" w:rsidRDefault="00527094">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14:paraId="7AD461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9DF4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CA9AF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5A6DDC7" w14:textId="77777777" w:rsidR="00000000" w:rsidRDefault="00527094">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14:paraId="0D96E70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2A835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FD5B2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09DAF38" w14:textId="77777777" w:rsidR="00000000" w:rsidRDefault="00527094">
            <w:pPr>
              <w:jc w:val="right"/>
              <w:rPr>
                <w:rFonts w:eastAsia="Times New Roman"/>
                <w:sz w:val="20"/>
                <w:szCs w:val="20"/>
              </w:rPr>
            </w:pPr>
            <w:r>
              <w:rPr>
                <w:rFonts w:eastAsia="Times New Roman"/>
                <w:sz w:val="20"/>
                <w:szCs w:val="20"/>
              </w:rPr>
              <w:t>5.125</w:t>
            </w:r>
          </w:p>
        </w:tc>
        <w:tc>
          <w:tcPr>
            <w:tcW w:w="50" w:type="pct"/>
            <w:shd w:val="clear" w:color="auto" w:fill="FFFFFF"/>
            <w:vAlign w:val="bottom"/>
            <w:hideMark/>
          </w:tcPr>
          <w:p w14:paraId="7C57D3F4"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06B24F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75CBCE" w14:textId="77777777" w:rsidR="00000000" w:rsidRDefault="00527094">
            <w:pPr>
              <w:rPr>
                <w:rFonts w:eastAsia="Times New Roman"/>
                <w:sz w:val="20"/>
                <w:szCs w:val="20"/>
              </w:rPr>
            </w:pPr>
            <w:r>
              <w:rPr>
                <w:rFonts w:eastAsia="Times New Roman"/>
                <w:sz w:val="20"/>
                <w:szCs w:val="20"/>
              </w:rPr>
              <w:t>$</w:t>
            </w:r>
          </w:p>
        </w:tc>
        <w:tc>
          <w:tcPr>
            <w:tcW w:w="450" w:type="pct"/>
            <w:shd w:val="clear" w:color="auto" w:fill="FFFFFF"/>
            <w:vAlign w:val="bottom"/>
            <w:hideMark/>
          </w:tcPr>
          <w:p w14:paraId="771880E3" w14:textId="77777777" w:rsidR="00000000" w:rsidRDefault="00527094">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14:paraId="0215899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4D1D5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6B22CB" w14:textId="77777777" w:rsidR="00000000" w:rsidRDefault="00527094">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14:paraId="55229937" w14:textId="77777777" w:rsidR="00000000" w:rsidRDefault="00527094">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2B5CBA2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5E6EF1" w14:textId="77777777" w:rsidR="00000000" w:rsidRDefault="00527094">
            <w:pPr>
              <w:pStyle w:val="a3"/>
              <w:spacing w:before="0" w:beforeAutospacing="0" w:after="0" w:afterAutospacing="0"/>
              <w:ind w:left="40"/>
              <w:jc w:val="center"/>
              <w:rPr>
                <w:sz w:val="20"/>
                <w:szCs w:val="20"/>
              </w:rPr>
            </w:pPr>
            <w:r>
              <w:rPr>
                <w:sz w:val="20"/>
                <w:szCs w:val="20"/>
              </w:rPr>
              <w:t>8/16/2022</w:t>
            </w:r>
          </w:p>
        </w:tc>
      </w:tr>
      <w:tr w:rsidR="00000000" w14:paraId="5E9A1C45" w14:textId="77777777">
        <w:trPr>
          <w:tblCellSpacing w:w="0" w:type="dxa"/>
        </w:trPr>
        <w:tc>
          <w:tcPr>
            <w:tcW w:w="0" w:type="auto"/>
            <w:shd w:val="clear" w:color="auto" w:fill="CCEEFF"/>
            <w:vAlign w:val="bottom"/>
            <w:hideMark/>
          </w:tcPr>
          <w:p w14:paraId="2A266FCC" w14:textId="77777777" w:rsidR="00000000" w:rsidRDefault="00527094">
            <w:pPr>
              <w:pStyle w:val="a3"/>
              <w:spacing w:before="0" w:beforeAutospacing="0" w:after="0" w:afterAutospacing="0"/>
              <w:jc w:val="center"/>
              <w:rPr>
                <w:sz w:val="20"/>
                <w:szCs w:val="20"/>
              </w:rPr>
            </w:pPr>
            <w:r>
              <w:rPr>
                <w:sz w:val="20"/>
                <w:szCs w:val="20"/>
              </w:rPr>
              <w:t>Class M</w:t>
            </w:r>
          </w:p>
        </w:tc>
        <w:tc>
          <w:tcPr>
            <w:tcW w:w="50" w:type="pct"/>
            <w:shd w:val="clear" w:color="auto" w:fill="CCEEFF"/>
            <w:vAlign w:val="bottom"/>
            <w:hideMark/>
          </w:tcPr>
          <w:p w14:paraId="1F9BA3D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E8B0C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9D2243F" w14:textId="77777777" w:rsidR="00000000" w:rsidRDefault="00527094">
            <w:pPr>
              <w:jc w:val="right"/>
              <w:rPr>
                <w:rFonts w:eastAsia="Times New Roman"/>
                <w:sz w:val="20"/>
                <w:szCs w:val="20"/>
              </w:rPr>
            </w:pPr>
            <w:r>
              <w:rPr>
                <w:rFonts w:eastAsia="Times New Roman"/>
                <w:sz w:val="20"/>
                <w:szCs w:val="20"/>
              </w:rPr>
              <w:t>10,580</w:t>
            </w:r>
          </w:p>
        </w:tc>
        <w:tc>
          <w:tcPr>
            <w:tcW w:w="50" w:type="pct"/>
            <w:shd w:val="clear" w:color="auto" w:fill="CCEEFF"/>
            <w:vAlign w:val="bottom"/>
            <w:hideMark/>
          </w:tcPr>
          <w:p w14:paraId="3DC564F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58BE6C8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5593D7"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A156611" w14:textId="77777777" w:rsidR="00000000" w:rsidRDefault="00527094">
            <w:pPr>
              <w:jc w:val="right"/>
              <w:rPr>
                <w:rFonts w:eastAsia="Times New Roman"/>
                <w:sz w:val="20"/>
                <w:szCs w:val="20"/>
              </w:rPr>
            </w:pPr>
            <w:r>
              <w:rPr>
                <w:rFonts w:eastAsia="Times New Roman"/>
                <w:sz w:val="20"/>
                <w:szCs w:val="20"/>
              </w:rPr>
              <w:t>10,580</w:t>
            </w:r>
          </w:p>
        </w:tc>
        <w:tc>
          <w:tcPr>
            <w:tcW w:w="50" w:type="pct"/>
            <w:shd w:val="clear" w:color="auto" w:fill="CCEEFF"/>
            <w:tcMar>
              <w:top w:w="0" w:type="dxa"/>
              <w:left w:w="0" w:type="dxa"/>
              <w:bottom w:w="15" w:type="dxa"/>
              <w:right w:w="0" w:type="dxa"/>
            </w:tcMar>
            <w:vAlign w:val="bottom"/>
            <w:hideMark/>
          </w:tcPr>
          <w:p w14:paraId="41F94E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1438F07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76CB53A"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0716948" w14:textId="77777777" w:rsidR="00000000" w:rsidRDefault="00527094">
            <w:pPr>
              <w:jc w:val="right"/>
              <w:rPr>
                <w:rFonts w:eastAsia="Times New Roman"/>
                <w:sz w:val="20"/>
                <w:szCs w:val="20"/>
              </w:rPr>
            </w:pPr>
            <w:r>
              <w:rPr>
                <w:rFonts w:eastAsia="Times New Roman"/>
                <w:sz w:val="20"/>
                <w:szCs w:val="20"/>
              </w:rPr>
              <w:t>264,500</w:t>
            </w:r>
          </w:p>
        </w:tc>
        <w:tc>
          <w:tcPr>
            <w:tcW w:w="50" w:type="pct"/>
            <w:shd w:val="clear" w:color="auto" w:fill="CCEEFF"/>
            <w:tcMar>
              <w:top w:w="0" w:type="dxa"/>
              <w:left w:w="0" w:type="dxa"/>
              <w:bottom w:w="15" w:type="dxa"/>
              <w:right w:w="0" w:type="dxa"/>
            </w:tcMar>
            <w:vAlign w:val="bottom"/>
            <w:hideMark/>
          </w:tcPr>
          <w:p w14:paraId="29E0C89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7D50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978EA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247CF91" w14:textId="77777777" w:rsidR="00000000" w:rsidRDefault="00527094">
            <w:pPr>
              <w:jc w:val="right"/>
              <w:rPr>
                <w:rFonts w:eastAsia="Times New Roman"/>
                <w:sz w:val="20"/>
                <w:szCs w:val="20"/>
              </w:rPr>
            </w:pPr>
            <w:r>
              <w:rPr>
                <w:rFonts w:eastAsia="Times New Roman"/>
                <w:sz w:val="20"/>
                <w:szCs w:val="20"/>
              </w:rPr>
              <w:t>5.250</w:t>
            </w:r>
          </w:p>
        </w:tc>
        <w:tc>
          <w:tcPr>
            <w:tcW w:w="50" w:type="pct"/>
            <w:shd w:val="clear" w:color="auto" w:fill="CCEEFF"/>
            <w:vAlign w:val="bottom"/>
            <w:hideMark/>
          </w:tcPr>
          <w:p w14:paraId="27F2CB1D"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866DE6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6F8245" w14:textId="77777777" w:rsidR="00000000" w:rsidRDefault="00527094">
            <w:pPr>
              <w:rPr>
                <w:rFonts w:eastAsia="Times New Roman"/>
                <w:sz w:val="20"/>
                <w:szCs w:val="20"/>
              </w:rPr>
            </w:pPr>
            <w:r>
              <w:rPr>
                <w:rFonts w:eastAsia="Times New Roman"/>
                <w:sz w:val="20"/>
                <w:szCs w:val="20"/>
              </w:rPr>
              <w:t>$</w:t>
            </w:r>
          </w:p>
        </w:tc>
        <w:tc>
          <w:tcPr>
            <w:tcW w:w="450" w:type="pct"/>
            <w:shd w:val="clear" w:color="auto" w:fill="CCEEFF"/>
            <w:vAlign w:val="bottom"/>
            <w:hideMark/>
          </w:tcPr>
          <w:p w14:paraId="09E54AEA" w14:textId="77777777" w:rsidR="00000000" w:rsidRDefault="00527094">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14:paraId="3C77AF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8825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1BCB8D" w14:textId="77777777" w:rsidR="00000000" w:rsidRDefault="00527094">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055CB38C" w14:textId="77777777" w:rsidR="00000000" w:rsidRDefault="00527094">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5060B4B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0276F3" w14:textId="77777777" w:rsidR="00000000" w:rsidRDefault="00527094">
            <w:pPr>
              <w:pStyle w:val="a3"/>
              <w:spacing w:before="0" w:beforeAutospacing="0" w:after="0" w:afterAutospacing="0"/>
              <w:ind w:left="40"/>
              <w:jc w:val="center"/>
              <w:rPr>
                <w:sz w:val="20"/>
                <w:szCs w:val="20"/>
              </w:rPr>
            </w:pPr>
            <w:r>
              <w:rPr>
                <w:sz w:val="20"/>
                <w:szCs w:val="20"/>
              </w:rPr>
              <w:t>12/20/2022</w:t>
            </w:r>
          </w:p>
        </w:tc>
      </w:tr>
      <w:tr w:rsidR="00000000" w14:paraId="4372F2DE" w14:textId="77777777">
        <w:trPr>
          <w:tblCellSpacing w:w="0" w:type="dxa"/>
        </w:trPr>
        <w:tc>
          <w:tcPr>
            <w:tcW w:w="0" w:type="auto"/>
            <w:shd w:val="clear" w:color="auto" w:fill="FFFFFF"/>
            <w:vAlign w:val="bottom"/>
            <w:hideMark/>
          </w:tcPr>
          <w:p w14:paraId="593B74A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F738F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50E65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A29C68" w14:textId="77777777" w:rsidR="00000000" w:rsidRDefault="00527094">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625730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45DC312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B558BDE"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0BE38510" w14:textId="77777777" w:rsidR="00000000" w:rsidRDefault="00527094">
            <w:pPr>
              <w:jc w:val="right"/>
              <w:rPr>
                <w:rFonts w:eastAsia="Times New Roman"/>
                <w:sz w:val="20"/>
                <w:szCs w:val="20"/>
              </w:rPr>
            </w:pPr>
            <w:r>
              <w:rPr>
                <w:rFonts w:eastAsia="Times New Roman"/>
                <w:sz w:val="20"/>
                <w:szCs w:val="20"/>
              </w:rPr>
              <w:t>42,580</w:t>
            </w:r>
          </w:p>
        </w:tc>
        <w:tc>
          <w:tcPr>
            <w:tcW w:w="50" w:type="pct"/>
            <w:shd w:val="clear" w:color="auto" w:fill="FFFFFF"/>
            <w:tcMar>
              <w:top w:w="0" w:type="dxa"/>
              <w:left w:w="0" w:type="dxa"/>
              <w:bottom w:w="45" w:type="dxa"/>
              <w:right w:w="0" w:type="dxa"/>
            </w:tcMar>
            <w:vAlign w:val="bottom"/>
            <w:hideMark/>
          </w:tcPr>
          <w:p w14:paraId="327480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3A68A4AA"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B81D4F0" w14:textId="77777777" w:rsidR="00000000" w:rsidRDefault="00527094">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ED2EA75" w14:textId="77777777" w:rsidR="00000000" w:rsidRDefault="00527094">
            <w:pPr>
              <w:ind w:left="360"/>
              <w:jc w:val="right"/>
              <w:rPr>
                <w:rFonts w:eastAsia="Times New Roman"/>
                <w:sz w:val="20"/>
                <w:szCs w:val="20"/>
              </w:rPr>
            </w:pPr>
            <w:r>
              <w:rPr>
                <w:rFonts w:eastAsia="Times New Roman"/>
                <w:sz w:val="20"/>
                <w:szCs w:val="20"/>
              </w:rPr>
              <w:t>1,064,500</w:t>
            </w:r>
          </w:p>
        </w:tc>
        <w:tc>
          <w:tcPr>
            <w:tcW w:w="50" w:type="pct"/>
            <w:shd w:val="clear" w:color="auto" w:fill="FFFFFF"/>
            <w:tcMar>
              <w:top w:w="0" w:type="dxa"/>
              <w:left w:w="0" w:type="dxa"/>
              <w:bottom w:w="45" w:type="dxa"/>
              <w:right w:w="0" w:type="dxa"/>
            </w:tcMar>
            <w:vAlign w:val="bottom"/>
            <w:hideMark/>
          </w:tcPr>
          <w:p w14:paraId="1C795A3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87471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F76B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AA618" w14:textId="77777777" w:rsidR="00000000" w:rsidRDefault="00527094">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2F02CF7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DE05E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94A06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DA0EBE" w14:textId="77777777" w:rsidR="00000000" w:rsidRDefault="00527094">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057476F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41FA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3ECED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91D60A" w14:textId="77777777" w:rsidR="00000000" w:rsidRDefault="00527094">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14:paraId="0ACCFF8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727803" w14:textId="77777777" w:rsidR="00000000" w:rsidRDefault="00527094">
            <w:pPr>
              <w:rPr>
                <w:rFonts w:eastAsia="Times New Roman"/>
                <w:sz w:val="20"/>
                <w:szCs w:val="20"/>
              </w:rPr>
            </w:pPr>
            <w:r>
              <w:rPr>
                <w:rStyle w:val="a6"/>
                <w:rFonts w:eastAsia="Times New Roman"/>
                <w:i w:val="0"/>
                <w:iCs w:val="0"/>
                <w:sz w:val="20"/>
                <w:szCs w:val="20"/>
              </w:rPr>
              <w:t> </w:t>
            </w:r>
          </w:p>
        </w:tc>
      </w:tr>
    </w:tbl>
    <w:p w14:paraId="2BDBF828" w14:textId="77777777" w:rsidR="00000000" w:rsidRDefault="00527094">
      <w:pPr>
        <w:pStyle w:val="a3"/>
        <w:spacing w:before="0" w:beforeAutospacing="0" w:after="0" w:afterAutospacing="0"/>
        <w:jc w:val="both"/>
        <w:rPr>
          <w:sz w:val="20"/>
          <w:szCs w:val="20"/>
        </w:rPr>
      </w:pPr>
      <w:r>
        <w:rPr>
          <w:sz w:val="20"/>
          <w:szCs w:val="20"/>
        </w:rPr>
        <w:t> </w:t>
      </w:r>
    </w:p>
    <w:p w14:paraId="30CBD147" w14:textId="77777777" w:rsidR="00000000" w:rsidRDefault="00527094">
      <w:pPr>
        <w:pStyle w:val="a3"/>
        <w:spacing w:before="0" w:beforeAutospacing="0" w:after="0" w:afterAutospacing="0"/>
        <w:jc w:val="both"/>
        <w:rPr>
          <w:sz w:val="20"/>
          <w:szCs w:val="20"/>
        </w:rPr>
      </w:pPr>
      <w:r>
        <w:rPr>
          <w:i/>
          <w:iCs/>
          <w:sz w:val="20"/>
          <w:szCs w:val="20"/>
        </w:rPr>
        <w:t>Common Stock -</w:t>
      </w:r>
    </w:p>
    <w:p w14:paraId="162853DB" w14:textId="77777777" w:rsidR="00000000" w:rsidRDefault="00527094">
      <w:pPr>
        <w:pStyle w:val="a3"/>
        <w:spacing w:before="0" w:beforeAutospacing="0" w:after="0" w:afterAutospacing="0"/>
        <w:jc w:val="both"/>
        <w:rPr>
          <w:sz w:val="20"/>
          <w:szCs w:val="20"/>
        </w:rPr>
      </w:pPr>
      <w:r>
        <w:rPr>
          <w:i/>
          <w:iCs/>
          <w:sz w:val="20"/>
          <w:szCs w:val="20"/>
        </w:rPr>
        <w:t> </w:t>
      </w:r>
    </w:p>
    <w:p w14:paraId="2425C1D7" w14:textId="77777777" w:rsidR="00000000" w:rsidRDefault="00527094">
      <w:pPr>
        <w:pStyle w:val="a3"/>
        <w:spacing w:before="0" w:beforeAutospacing="0" w:after="0" w:afterAutospacing="0"/>
        <w:ind w:firstLine="360"/>
        <w:jc w:val="both"/>
        <w:rPr>
          <w:sz w:val="20"/>
          <w:szCs w:val="20"/>
        </w:rPr>
      </w:pPr>
      <w:r>
        <w:rPr>
          <w:sz w:val="20"/>
          <w:szCs w:val="20"/>
        </w:rPr>
        <w:t>During</w:t>
      </w:r>
      <w:r>
        <w:rPr>
          <w:sz w:val="20"/>
          <w:szCs w:val="20"/>
        </w:rPr>
        <w:t xml:space="preserve"> </w:t>
      </w:r>
      <w:r>
        <w:rPr>
          <w:rStyle w:val="a6"/>
          <w:i w:val="0"/>
          <w:iCs w:val="0"/>
          <w:sz w:val="20"/>
          <w:szCs w:val="20"/>
        </w:rPr>
        <w:t xml:space="preserve">February 2018, </w:t>
      </w:r>
      <w:r>
        <w:rPr>
          <w:sz w:val="20"/>
          <w:szCs w:val="20"/>
        </w:rPr>
        <w:t>the Company’s Board of Directors authorized a share repurchase program, which is effective for a term of</w:t>
      </w:r>
      <w:r>
        <w:rPr>
          <w:sz w:val="20"/>
          <w:szCs w:val="20"/>
        </w:rPr>
        <w:t xml:space="preserve"> </w:t>
      </w:r>
      <w:r>
        <w:rPr>
          <w:rStyle w:val="a6"/>
          <w:i w:val="0"/>
          <w:iCs w:val="0"/>
          <w:sz w:val="20"/>
          <w:szCs w:val="20"/>
        </w:rPr>
        <w:t>two</w:t>
      </w:r>
      <w:r>
        <w:rPr>
          <w:sz w:val="20"/>
          <w:szCs w:val="20"/>
        </w:rPr>
        <w:t xml:space="preserve"> years, pursuant to which the Company</w:t>
      </w:r>
      <w:r>
        <w:rPr>
          <w:sz w:val="20"/>
          <w:szCs w:val="20"/>
        </w:rPr>
        <w:t xml:space="preserve"> </w:t>
      </w:r>
      <w:r>
        <w:rPr>
          <w:rStyle w:val="a6"/>
          <w:i w:val="0"/>
          <w:iCs w:val="0"/>
          <w:sz w:val="20"/>
          <w:szCs w:val="20"/>
        </w:rPr>
        <w:t xml:space="preserve">may </w:t>
      </w:r>
      <w:r>
        <w:rPr>
          <w:sz w:val="20"/>
          <w:szCs w:val="20"/>
        </w:rPr>
        <w:t>repurchase shares of its common stock, par value $0.01 per share, with an aggregate gross p</w:t>
      </w:r>
      <w:r>
        <w:rPr>
          <w:sz w:val="20"/>
          <w:szCs w:val="20"/>
        </w:rPr>
        <w:t>urchase price of up to $300.0 million. The Company did</w:t>
      </w:r>
      <w:r>
        <w:rPr>
          <w:sz w:val="20"/>
          <w:szCs w:val="20"/>
        </w:rPr>
        <w:t xml:space="preserve"> </w:t>
      </w:r>
      <w:r>
        <w:rPr>
          <w:rStyle w:val="a6"/>
          <w:i w:val="0"/>
          <w:iCs w:val="0"/>
          <w:sz w:val="20"/>
          <w:szCs w:val="20"/>
        </w:rPr>
        <w:t>not</w:t>
      </w:r>
      <w:r>
        <w:rPr>
          <w:sz w:val="20"/>
          <w:szCs w:val="20"/>
        </w:rPr>
        <w:t xml:space="preserve"> repurchase any shares under the share repurchase program during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As of</w:t>
      </w:r>
      <w:r>
        <w:rPr>
          <w:sz w:val="20"/>
          <w:szCs w:val="20"/>
        </w:rPr>
        <w:t xml:space="preserve"> </w:t>
      </w:r>
      <w:r>
        <w:rPr>
          <w:rStyle w:val="a6"/>
          <w:i w:val="0"/>
          <w:iCs w:val="0"/>
          <w:sz w:val="20"/>
          <w:szCs w:val="20"/>
        </w:rPr>
        <w:t xml:space="preserve">June 30, 2019, </w:t>
      </w:r>
      <w:r>
        <w:rPr>
          <w:sz w:val="20"/>
          <w:szCs w:val="20"/>
        </w:rPr>
        <w:t xml:space="preserve">the Company had $224.9 million available under this common share repurchase </w:t>
      </w:r>
      <w:r>
        <w:rPr>
          <w:sz w:val="20"/>
          <w:szCs w:val="20"/>
        </w:rPr>
        <w:t>program.</w:t>
      </w:r>
    </w:p>
    <w:p w14:paraId="578A214E" w14:textId="77777777" w:rsidR="00000000" w:rsidRDefault="00527094">
      <w:pPr>
        <w:pStyle w:val="a3"/>
        <w:spacing w:before="0" w:beforeAutospacing="0" w:after="0" w:afterAutospacing="0"/>
        <w:jc w:val="both"/>
        <w:rPr>
          <w:sz w:val="20"/>
          <w:szCs w:val="20"/>
        </w:rPr>
      </w:pPr>
      <w:r>
        <w:rPr>
          <w:i/>
          <w:iCs/>
          <w:sz w:val="20"/>
          <w:szCs w:val="20"/>
        </w:rPr>
        <w:t> </w:t>
      </w:r>
    </w:p>
    <w:p w14:paraId="692CA31F" w14:textId="77777777" w:rsidR="00000000" w:rsidRDefault="00527094">
      <w:pPr>
        <w:pStyle w:val="a3"/>
        <w:spacing w:before="0" w:beforeAutospacing="0" w:after="0" w:afterAutospacing="0"/>
        <w:jc w:val="both"/>
        <w:rPr>
          <w:sz w:val="20"/>
          <w:szCs w:val="20"/>
        </w:rPr>
      </w:pPr>
      <w:r>
        <w:rPr>
          <w:i/>
          <w:iCs/>
          <w:sz w:val="20"/>
          <w:szCs w:val="20"/>
        </w:rPr>
        <w:t>Dividends Declared -</w:t>
      </w:r>
    </w:p>
    <w:p w14:paraId="707ACAC7" w14:textId="77777777" w:rsidR="00000000" w:rsidRDefault="00527094">
      <w:pPr>
        <w:pStyle w:val="a3"/>
        <w:spacing w:before="0" w:beforeAutospacing="0" w:after="0" w:afterAutospacing="0"/>
        <w:rPr>
          <w:sz w:val="20"/>
          <w:szCs w:val="20"/>
        </w:rPr>
      </w:pPr>
      <w:r>
        <w:rPr>
          <w:sz w:val="20"/>
          <w:szCs w:val="20"/>
        </w:rPr>
        <w:t> </w:t>
      </w:r>
    </w:p>
    <w:p w14:paraId="31C2316D" w14:textId="77777777" w:rsidR="00000000" w:rsidRDefault="00527094">
      <w:pPr>
        <w:pStyle w:val="a3"/>
        <w:spacing w:before="0" w:beforeAutospacing="0" w:after="0" w:afterAutospacing="0"/>
        <w:ind w:left="360"/>
        <w:jc w:val="both"/>
        <w:rPr>
          <w:sz w:val="20"/>
          <w:szCs w:val="20"/>
        </w:rPr>
      </w:pPr>
      <w:r>
        <w:rPr>
          <w:sz w:val="20"/>
          <w:szCs w:val="20"/>
        </w:rPr>
        <w:t>The following table provides a summary of the dividends declared per share:</w:t>
      </w:r>
    </w:p>
    <w:p w14:paraId="01EEE344" w14:textId="77777777" w:rsidR="00000000" w:rsidRDefault="00527094">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14:paraId="644110F5" w14:textId="77777777">
        <w:trPr>
          <w:tblCellSpacing w:w="0" w:type="dxa"/>
        </w:trPr>
        <w:tc>
          <w:tcPr>
            <w:tcW w:w="0" w:type="auto"/>
            <w:vAlign w:val="bottom"/>
            <w:hideMark/>
          </w:tcPr>
          <w:p w14:paraId="449151D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5FC758E"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1367CAA" w14:textId="77777777" w:rsidR="00000000" w:rsidRDefault="00527094">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14:paraId="7259427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557148F"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8BCA99C" w14:textId="77777777" w:rsidR="00000000" w:rsidRDefault="0052709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58C3A295" w14:textId="77777777" w:rsidR="00000000" w:rsidRDefault="00527094">
            <w:pPr>
              <w:rPr>
                <w:rFonts w:eastAsia="Times New Roman"/>
                <w:sz w:val="20"/>
                <w:szCs w:val="20"/>
              </w:rPr>
            </w:pPr>
            <w:r>
              <w:rPr>
                <w:rFonts w:eastAsia="Times New Roman"/>
                <w:sz w:val="20"/>
                <w:szCs w:val="20"/>
              </w:rPr>
              <w:t> </w:t>
            </w:r>
          </w:p>
        </w:tc>
      </w:tr>
      <w:tr w:rsidR="00000000" w14:paraId="52CAD82C" w14:textId="77777777">
        <w:trPr>
          <w:tblCellSpacing w:w="0" w:type="dxa"/>
        </w:trPr>
        <w:tc>
          <w:tcPr>
            <w:tcW w:w="0" w:type="auto"/>
            <w:vAlign w:val="bottom"/>
            <w:hideMark/>
          </w:tcPr>
          <w:p w14:paraId="2F34773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ACF897A"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6D9BBC6"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A058C7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1E9D25F"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2386226"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81A2B4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EFA92E9"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DE2F23A"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6735F0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3118615"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25194BE"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EC410F1" w14:textId="77777777" w:rsidR="00000000" w:rsidRDefault="00527094">
            <w:pPr>
              <w:rPr>
                <w:rFonts w:eastAsia="Times New Roman"/>
                <w:sz w:val="20"/>
                <w:szCs w:val="20"/>
              </w:rPr>
            </w:pPr>
            <w:r>
              <w:rPr>
                <w:rFonts w:eastAsia="Times New Roman"/>
                <w:sz w:val="20"/>
                <w:szCs w:val="20"/>
              </w:rPr>
              <w:t> </w:t>
            </w:r>
          </w:p>
        </w:tc>
      </w:tr>
      <w:tr w:rsidR="00000000" w14:paraId="2A973538" w14:textId="77777777">
        <w:trPr>
          <w:tblCellSpacing w:w="0" w:type="dxa"/>
        </w:trPr>
        <w:tc>
          <w:tcPr>
            <w:tcW w:w="2200" w:type="pct"/>
            <w:shd w:val="clear" w:color="auto" w:fill="CCEEFF"/>
            <w:vAlign w:val="bottom"/>
            <w:hideMark/>
          </w:tcPr>
          <w:p w14:paraId="4AD3FC08" w14:textId="77777777" w:rsidR="00000000" w:rsidRDefault="00527094">
            <w:pPr>
              <w:pStyle w:val="a3"/>
              <w:spacing w:before="0" w:beforeAutospacing="0" w:after="0" w:afterAutospacing="0"/>
              <w:rPr>
                <w:sz w:val="20"/>
                <w:szCs w:val="20"/>
              </w:rPr>
            </w:pPr>
            <w:r>
              <w:rPr>
                <w:sz w:val="20"/>
                <w:szCs w:val="20"/>
              </w:rPr>
              <w:t>Common Shares</w:t>
            </w:r>
          </w:p>
        </w:tc>
        <w:tc>
          <w:tcPr>
            <w:tcW w:w="50" w:type="pct"/>
            <w:tcBorders>
              <w:bottom w:val="nil"/>
            </w:tcBorders>
            <w:shd w:val="clear" w:color="auto" w:fill="CCEEFF"/>
            <w:vAlign w:val="bottom"/>
            <w:hideMark/>
          </w:tcPr>
          <w:p w14:paraId="417895E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A1B6DF9" w14:textId="77777777" w:rsidR="00000000" w:rsidRDefault="0052709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1956C5FF" w14:textId="77777777" w:rsidR="00000000" w:rsidRDefault="00527094">
            <w:pPr>
              <w:jc w:val="right"/>
              <w:rPr>
                <w:rFonts w:eastAsia="Times New Roman"/>
                <w:sz w:val="20"/>
                <w:szCs w:val="20"/>
              </w:rPr>
            </w:pPr>
            <w:r>
              <w:rPr>
                <w:rFonts w:eastAsia="Times New Roman"/>
                <w:sz w:val="20"/>
                <w:szCs w:val="20"/>
              </w:rPr>
              <w:t>0.28000</w:t>
            </w:r>
          </w:p>
        </w:tc>
        <w:tc>
          <w:tcPr>
            <w:tcW w:w="50" w:type="pct"/>
            <w:tcBorders>
              <w:bottom w:val="nil"/>
            </w:tcBorders>
            <w:shd w:val="clear" w:color="auto" w:fill="CCEEFF"/>
            <w:vAlign w:val="bottom"/>
            <w:hideMark/>
          </w:tcPr>
          <w:p w14:paraId="30F687A0"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CBDE39B"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BD1B363" w14:textId="77777777" w:rsidR="00000000" w:rsidRDefault="0052709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56DB9D07" w14:textId="77777777" w:rsidR="00000000" w:rsidRDefault="00527094">
            <w:pPr>
              <w:jc w:val="right"/>
              <w:rPr>
                <w:rFonts w:eastAsia="Times New Roman"/>
                <w:sz w:val="20"/>
                <w:szCs w:val="20"/>
              </w:rPr>
            </w:pPr>
            <w:r>
              <w:rPr>
                <w:rFonts w:eastAsia="Times New Roman"/>
                <w:sz w:val="20"/>
                <w:szCs w:val="20"/>
              </w:rPr>
              <w:t>0.28000</w:t>
            </w:r>
          </w:p>
        </w:tc>
        <w:tc>
          <w:tcPr>
            <w:tcW w:w="50" w:type="pct"/>
            <w:tcBorders>
              <w:bottom w:val="nil"/>
            </w:tcBorders>
            <w:shd w:val="clear" w:color="auto" w:fill="CCEEFF"/>
            <w:vAlign w:val="bottom"/>
            <w:hideMark/>
          </w:tcPr>
          <w:p w14:paraId="4223FAF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960E03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486F7E0" w14:textId="77777777" w:rsidR="00000000" w:rsidRDefault="0052709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18E007F2" w14:textId="77777777" w:rsidR="00000000" w:rsidRDefault="00527094">
            <w:pPr>
              <w:jc w:val="right"/>
              <w:rPr>
                <w:rFonts w:eastAsia="Times New Roman"/>
                <w:sz w:val="20"/>
                <w:szCs w:val="20"/>
              </w:rPr>
            </w:pPr>
            <w:r>
              <w:rPr>
                <w:rFonts w:eastAsia="Times New Roman"/>
                <w:sz w:val="20"/>
                <w:szCs w:val="20"/>
              </w:rPr>
              <w:t>0.56000</w:t>
            </w:r>
          </w:p>
        </w:tc>
        <w:tc>
          <w:tcPr>
            <w:tcW w:w="50" w:type="pct"/>
            <w:tcBorders>
              <w:bottom w:val="nil"/>
            </w:tcBorders>
            <w:shd w:val="clear" w:color="auto" w:fill="CCEEFF"/>
            <w:vAlign w:val="bottom"/>
            <w:hideMark/>
          </w:tcPr>
          <w:p w14:paraId="659D91E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8F30D3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F4F60C2" w14:textId="77777777" w:rsidR="00000000" w:rsidRDefault="0052709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333FC187" w14:textId="77777777" w:rsidR="00000000" w:rsidRDefault="00527094">
            <w:pPr>
              <w:jc w:val="right"/>
              <w:rPr>
                <w:rFonts w:eastAsia="Times New Roman"/>
                <w:sz w:val="20"/>
                <w:szCs w:val="20"/>
              </w:rPr>
            </w:pPr>
            <w:r>
              <w:rPr>
                <w:rFonts w:eastAsia="Times New Roman"/>
                <w:sz w:val="20"/>
                <w:szCs w:val="20"/>
              </w:rPr>
              <w:t>0.56000</w:t>
            </w:r>
          </w:p>
        </w:tc>
        <w:tc>
          <w:tcPr>
            <w:tcW w:w="50" w:type="pct"/>
            <w:tcBorders>
              <w:bottom w:val="nil"/>
            </w:tcBorders>
            <w:shd w:val="clear" w:color="auto" w:fill="CCEEFF"/>
            <w:vAlign w:val="bottom"/>
            <w:hideMark/>
          </w:tcPr>
          <w:p w14:paraId="2FF023B9" w14:textId="77777777" w:rsidR="00000000" w:rsidRDefault="00527094">
            <w:pPr>
              <w:rPr>
                <w:rFonts w:eastAsia="Times New Roman"/>
                <w:sz w:val="20"/>
                <w:szCs w:val="20"/>
              </w:rPr>
            </w:pPr>
            <w:r>
              <w:rPr>
                <w:rFonts w:eastAsia="Times New Roman"/>
                <w:sz w:val="20"/>
                <w:szCs w:val="20"/>
              </w:rPr>
              <w:t> </w:t>
            </w:r>
          </w:p>
        </w:tc>
      </w:tr>
      <w:tr w:rsidR="00000000" w14:paraId="30B11FAE" w14:textId="77777777">
        <w:trPr>
          <w:tblCellSpacing w:w="0" w:type="dxa"/>
        </w:trPr>
        <w:tc>
          <w:tcPr>
            <w:tcW w:w="0" w:type="auto"/>
            <w:shd w:val="clear" w:color="auto" w:fill="FFFFFF"/>
            <w:vAlign w:val="bottom"/>
            <w:hideMark/>
          </w:tcPr>
          <w:p w14:paraId="05E163FD" w14:textId="77777777" w:rsidR="00000000" w:rsidRDefault="00527094">
            <w:pPr>
              <w:pStyle w:val="a3"/>
              <w:spacing w:before="0" w:beforeAutospacing="0" w:after="0" w:afterAutospacing="0"/>
              <w:rPr>
                <w:sz w:val="20"/>
                <w:szCs w:val="20"/>
              </w:rPr>
            </w:pPr>
            <w:r>
              <w:rPr>
                <w:sz w:val="20"/>
                <w:szCs w:val="20"/>
              </w:rPr>
              <w:t>Class I Depositary Shares</w:t>
            </w:r>
          </w:p>
        </w:tc>
        <w:tc>
          <w:tcPr>
            <w:tcW w:w="50" w:type="pct"/>
            <w:shd w:val="clear" w:color="auto" w:fill="FFFFFF"/>
            <w:vAlign w:val="bottom"/>
            <w:hideMark/>
          </w:tcPr>
          <w:p w14:paraId="32C58EB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FFF577"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7978B5E9" w14:textId="77777777" w:rsidR="00000000" w:rsidRDefault="00527094">
            <w:pPr>
              <w:jc w:val="right"/>
              <w:rPr>
                <w:rFonts w:eastAsia="Times New Roman"/>
                <w:sz w:val="20"/>
                <w:szCs w:val="20"/>
              </w:rPr>
            </w:pPr>
            <w:r>
              <w:rPr>
                <w:rFonts w:eastAsia="Times New Roman"/>
                <w:sz w:val="20"/>
                <w:szCs w:val="20"/>
              </w:rPr>
              <w:t>0.37500</w:t>
            </w:r>
          </w:p>
        </w:tc>
        <w:tc>
          <w:tcPr>
            <w:tcW w:w="50" w:type="pct"/>
            <w:shd w:val="clear" w:color="auto" w:fill="FFFFFF"/>
            <w:vAlign w:val="bottom"/>
            <w:hideMark/>
          </w:tcPr>
          <w:p w14:paraId="26E7AA2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7658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2D2BC4"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1AF4EA2D" w14:textId="77777777" w:rsidR="00000000" w:rsidRDefault="00527094">
            <w:pPr>
              <w:jc w:val="right"/>
              <w:rPr>
                <w:rFonts w:eastAsia="Times New Roman"/>
                <w:sz w:val="20"/>
                <w:szCs w:val="20"/>
              </w:rPr>
            </w:pPr>
            <w:r>
              <w:rPr>
                <w:rFonts w:eastAsia="Times New Roman"/>
                <w:sz w:val="20"/>
                <w:szCs w:val="20"/>
              </w:rPr>
              <w:t>0.37500</w:t>
            </w:r>
          </w:p>
        </w:tc>
        <w:tc>
          <w:tcPr>
            <w:tcW w:w="50" w:type="pct"/>
            <w:shd w:val="clear" w:color="auto" w:fill="FFFFFF"/>
            <w:vAlign w:val="bottom"/>
            <w:hideMark/>
          </w:tcPr>
          <w:p w14:paraId="40C8907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5A45E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3946C6"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7B5D042D" w14:textId="77777777" w:rsidR="00000000" w:rsidRDefault="00527094">
            <w:pPr>
              <w:jc w:val="right"/>
              <w:rPr>
                <w:rFonts w:eastAsia="Times New Roman"/>
                <w:sz w:val="20"/>
                <w:szCs w:val="20"/>
              </w:rPr>
            </w:pPr>
            <w:r>
              <w:rPr>
                <w:rFonts w:eastAsia="Times New Roman"/>
                <w:sz w:val="20"/>
                <w:szCs w:val="20"/>
              </w:rPr>
              <w:t>0.75000</w:t>
            </w:r>
          </w:p>
        </w:tc>
        <w:tc>
          <w:tcPr>
            <w:tcW w:w="50" w:type="pct"/>
            <w:shd w:val="clear" w:color="auto" w:fill="FFFFFF"/>
            <w:vAlign w:val="bottom"/>
            <w:hideMark/>
          </w:tcPr>
          <w:p w14:paraId="3A7621E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FFF9A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1A62B9"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A4A3D3B" w14:textId="77777777" w:rsidR="00000000" w:rsidRDefault="00527094">
            <w:pPr>
              <w:jc w:val="right"/>
              <w:rPr>
                <w:rFonts w:eastAsia="Times New Roman"/>
                <w:sz w:val="20"/>
                <w:szCs w:val="20"/>
              </w:rPr>
            </w:pPr>
            <w:r>
              <w:rPr>
                <w:rFonts w:eastAsia="Times New Roman"/>
                <w:sz w:val="20"/>
                <w:szCs w:val="20"/>
              </w:rPr>
              <w:t>0.75000</w:t>
            </w:r>
          </w:p>
        </w:tc>
        <w:tc>
          <w:tcPr>
            <w:tcW w:w="50" w:type="pct"/>
            <w:shd w:val="clear" w:color="auto" w:fill="FFFFFF"/>
            <w:vAlign w:val="bottom"/>
            <w:hideMark/>
          </w:tcPr>
          <w:p w14:paraId="7D1BDB18" w14:textId="77777777" w:rsidR="00000000" w:rsidRDefault="00527094">
            <w:pPr>
              <w:rPr>
                <w:rFonts w:eastAsia="Times New Roman"/>
                <w:sz w:val="20"/>
                <w:szCs w:val="20"/>
              </w:rPr>
            </w:pPr>
            <w:r>
              <w:rPr>
                <w:rFonts w:eastAsia="Times New Roman"/>
                <w:sz w:val="20"/>
                <w:szCs w:val="20"/>
              </w:rPr>
              <w:t> </w:t>
            </w:r>
          </w:p>
        </w:tc>
      </w:tr>
      <w:tr w:rsidR="00000000" w14:paraId="396AFBBA" w14:textId="77777777">
        <w:trPr>
          <w:tblCellSpacing w:w="0" w:type="dxa"/>
        </w:trPr>
        <w:tc>
          <w:tcPr>
            <w:tcW w:w="0" w:type="auto"/>
            <w:shd w:val="clear" w:color="auto" w:fill="CCEEFF"/>
            <w:vAlign w:val="bottom"/>
            <w:hideMark/>
          </w:tcPr>
          <w:p w14:paraId="161928B6" w14:textId="77777777" w:rsidR="00000000" w:rsidRDefault="00527094">
            <w:pPr>
              <w:pStyle w:val="a3"/>
              <w:spacing w:before="0" w:beforeAutospacing="0" w:after="0" w:afterAutospacing="0"/>
              <w:rPr>
                <w:sz w:val="20"/>
                <w:szCs w:val="20"/>
              </w:rPr>
            </w:pPr>
            <w:r>
              <w:rPr>
                <w:sz w:val="20"/>
                <w:szCs w:val="20"/>
              </w:rPr>
              <w:t>Class J Depositary Shares Clasitary Shares</w:t>
            </w:r>
          </w:p>
        </w:tc>
        <w:tc>
          <w:tcPr>
            <w:tcW w:w="50" w:type="pct"/>
            <w:shd w:val="clear" w:color="auto" w:fill="CCEEFF"/>
            <w:vAlign w:val="bottom"/>
            <w:hideMark/>
          </w:tcPr>
          <w:p w14:paraId="5E3B811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D356CC"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5B59FFB" w14:textId="77777777" w:rsidR="00000000" w:rsidRDefault="00527094">
            <w:pPr>
              <w:jc w:val="right"/>
              <w:rPr>
                <w:rFonts w:eastAsia="Times New Roman"/>
                <w:sz w:val="20"/>
                <w:szCs w:val="20"/>
              </w:rPr>
            </w:pPr>
            <w:r>
              <w:rPr>
                <w:rFonts w:eastAsia="Times New Roman"/>
                <w:sz w:val="20"/>
                <w:szCs w:val="20"/>
              </w:rPr>
              <w:t>0.34375</w:t>
            </w:r>
          </w:p>
        </w:tc>
        <w:tc>
          <w:tcPr>
            <w:tcW w:w="50" w:type="pct"/>
            <w:shd w:val="clear" w:color="auto" w:fill="CCEEFF"/>
            <w:vAlign w:val="bottom"/>
            <w:hideMark/>
          </w:tcPr>
          <w:p w14:paraId="03C7522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A7603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22BA62"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4F54EF02" w14:textId="77777777" w:rsidR="00000000" w:rsidRDefault="00527094">
            <w:pPr>
              <w:jc w:val="right"/>
              <w:rPr>
                <w:rFonts w:eastAsia="Times New Roman"/>
                <w:sz w:val="20"/>
                <w:szCs w:val="20"/>
              </w:rPr>
            </w:pPr>
            <w:r>
              <w:rPr>
                <w:rFonts w:eastAsia="Times New Roman"/>
                <w:sz w:val="20"/>
                <w:szCs w:val="20"/>
              </w:rPr>
              <w:t>0.34375</w:t>
            </w:r>
          </w:p>
        </w:tc>
        <w:tc>
          <w:tcPr>
            <w:tcW w:w="50" w:type="pct"/>
            <w:shd w:val="clear" w:color="auto" w:fill="CCEEFF"/>
            <w:vAlign w:val="bottom"/>
            <w:hideMark/>
          </w:tcPr>
          <w:p w14:paraId="0861FC6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1D4AD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CC2BBD"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3BB6B625" w14:textId="77777777" w:rsidR="00000000" w:rsidRDefault="00527094">
            <w:pPr>
              <w:jc w:val="right"/>
              <w:rPr>
                <w:rFonts w:eastAsia="Times New Roman"/>
                <w:sz w:val="20"/>
                <w:szCs w:val="20"/>
              </w:rPr>
            </w:pPr>
            <w:r>
              <w:rPr>
                <w:rFonts w:eastAsia="Times New Roman"/>
                <w:sz w:val="20"/>
                <w:szCs w:val="20"/>
              </w:rPr>
              <w:t>0.68750</w:t>
            </w:r>
          </w:p>
        </w:tc>
        <w:tc>
          <w:tcPr>
            <w:tcW w:w="50" w:type="pct"/>
            <w:shd w:val="clear" w:color="auto" w:fill="CCEEFF"/>
            <w:vAlign w:val="bottom"/>
            <w:hideMark/>
          </w:tcPr>
          <w:p w14:paraId="6B76840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B3F18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45EB4F"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3B612E09" w14:textId="77777777" w:rsidR="00000000" w:rsidRDefault="00527094">
            <w:pPr>
              <w:jc w:val="right"/>
              <w:rPr>
                <w:rFonts w:eastAsia="Times New Roman"/>
                <w:sz w:val="20"/>
                <w:szCs w:val="20"/>
              </w:rPr>
            </w:pPr>
            <w:r>
              <w:rPr>
                <w:rFonts w:eastAsia="Times New Roman"/>
                <w:sz w:val="20"/>
                <w:szCs w:val="20"/>
              </w:rPr>
              <w:t>0.68750</w:t>
            </w:r>
          </w:p>
        </w:tc>
        <w:tc>
          <w:tcPr>
            <w:tcW w:w="50" w:type="pct"/>
            <w:shd w:val="clear" w:color="auto" w:fill="CCEEFF"/>
            <w:vAlign w:val="bottom"/>
            <w:hideMark/>
          </w:tcPr>
          <w:p w14:paraId="1A2FDE2C" w14:textId="77777777" w:rsidR="00000000" w:rsidRDefault="00527094">
            <w:pPr>
              <w:rPr>
                <w:rFonts w:eastAsia="Times New Roman"/>
                <w:sz w:val="20"/>
                <w:szCs w:val="20"/>
              </w:rPr>
            </w:pPr>
            <w:r>
              <w:rPr>
                <w:rFonts w:eastAsia="Times New Roman"/>
                <w:sz w:val="20"/>
                <w:szCs w:val="20"/>
              </w:rPr>
              <w:t> </w:t>
            </w:r>
          </w:p>
        </w:tc>
      </w:tr>
      <w:tr w:rsidR="00000000" w14:paraId="7C265732" w14:textId="77777777">
        <w:trPr>
          <w:tblCellSpacing w:w="0" w:type="dxa"/>
        </w:trPr>
        <w:tc>
          <w:tcPr>
            <w:tcW w:w="0" w:type="auto"/>
            <w:shd w:val="clear" w:color="auto" w:fill="FFFFFF"/>
            <w:vAlign w:val="bottom"/>
            <w:hideMark/>
          </w:tcPr>
          <w:p w14:paraId="5847DBD2" w14:textId="77777777" w:rsidR="00000000" w:rsidRDefault="00527094">
            <w:pPr>
              <w:pStyle w:val="a3"/>
              <w:spacing w:before="0" w:beforeAutospacing="0" w:after="0" w:afterAutospacing="0"/>
              <w:rPr>
                <w:sz w:val="20"/>
                <w:szCs w:val="20"/>
              </w:rPr>
            </w:pPr>
            <w:r>
              <w:rPr>
                <w:sz w:val="20"/>
                <w:szCs w:val="20"/>
              </w:rPr>
              <w:t>Class K Depositary Shares</w:t>
            </w:r>
          </w:p>
        </w:tc>
        <w:tc>
          <w:tcPr>
            <w:tcW w:w="50" w:type="pct"/>
            <w:shd w:val="clear" w:color="auto" w:fill="FFFFFF"/>
            <w:vAlign w:val="bottom"/>
            <w:hideMark/>
          </w:tcPr>
          <w:p w14:paraId="57C8EB8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010EAF"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0D9D2B97" w14:textId="77777777" w:rsidR="00000000" w:rsidRDefault="00527094">
            <w:pPr>
              <w:jc w:val="right"/>
              <w:rPr>
                <w:rFonts w:eastAsia="Times New Roman"/>
                <w:sz w:val="20"/>
                <w:szCs w:val="20"/>
              </w:rPr>
            </w:pPr>
            <w:r>
              <w:rPr>
                <w:rFonts w:eastAsia="Times New Roman"/>
                <w:sz w:val="20"/>
                <w:szCs w:val="20"/>
              </w:rPr>
              <w:t>0.35156</w:t>
            </w:r>
          </w:p>
        </w:tc>
        <w:tc>
          <w:tcPr>
            <w:tcW w:w="50" w:type="pct"/>
            <w:shd w:val="clear" w:color="auto" w:fill="FFFFFF"/>
            <w:vAlign w:val="bottom"/>
            <w:hideMark/>
          </w:tcPr>
          <w:p w14:paraId="619DF56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DD51E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9CF08D"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0BC529F1" w14:textId="77777777" w:rsidR="00000000" w:rsidRDefault="00527094">
            <w:pPr>
              <w:jc w:val="right"/>
              <w:rPr>
                <w:rFonts w:eastAsia="Times New Roman"/>
                <w:sz w:val="20"/>
                <w:szCs w:val="20"/>
              </w:rPr>
            </w:pPr>
            <w:r>
              <w:rPr>
                <w:rFonts w:eastAsia="Times New Roman"/>
                <w:sz w:val="20"/>
                <w:szCs w:val="20"/>
              </w:rPr>
              <w:t>0.35156</w:t>
            </w:r>
          </w:p>
        </w:tc>
        <w:tc>
          <w:tcPr>
            <w:tcW w:w="50" w:type="pct"/>
            <w:shd w:val="clear" w:color="auto" w:fill="FFFFFF"/>
            <w:vAlign w:val="bottom"/>
            <w:hideMark/>
          </w:tcPr>
          <w:p w14:paraId="25E6B86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3DF81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62DFDF"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1733483A" w14:textId="77777777" w:rsidR="00000000" w:rsidRDefault="00527094">
            <w:pPr>
              <w:jc w:val="right"/>
              <w:rPr>
                <w:rFonts w:eastAsia="Times New Roman"/>
                <w:sz w:val="20"/>
                <w:szCs w:val="20"/>
              </w:rPr>
            </w:pPr>
            <w:r>
              <w:rPr>
                <w:rFonts w:eastAsia="Times New Roman"/>
                <w:sz w:val="20"/>
                <w:szCs w:val="20"/>
              </w:rPr>
              <w:t>0.70312</w:t>
            </w:r>
          </w:p>
        </w:tc>
        <w:tc>
          <w:tcPr>
            <w:tcW w:w="50" w:type="pct"/>
            <w:shd w:val="clear" w:color="auto" w:fill="FFFFFF"/>
            <w:vAlign w:val="bottom"/>
            <w:hideMark/>
          </w:tcPr>
          <w:p w14:paraId="2566A73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29FA7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7B83DF"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C7EE299" w14:textId="77777777" w:rsidR="00000000" w:rsidRDefault="00527094">
            <w:pPr>
              <w:jc w:val="right"/>
              <w:rPr>
                <w:rFonts w:eastAsia="Times New Roman"/>
                <w:sz w:val="20"/>
                <w:szCs w:val="20"/>
              </w:rPr>
            </w:pPr>
            <w:r>
              <w:rPr>
                <w:rFonts w:eastAsia="Times New Roman"/>
                <w:sz w:val="20"/>
                <w:szCs w:val="20"/>
              </w:rPr>
              <w:t>0.70312</w:t>
            </w:r>
          </w:p>
        </w:tc>
        <w:tc>
          <w:tcPr>
            <w:tcW w:w="50" w:type="pct"/>
            <w:shd w:val="clear" w:color="auto" w:fill="FFFFFF"/>
            <w:vAlign w:val="bottom"/>
            <w:hideMark/>
          </w:tcPr>
          <w:p w14:paraId="1AC7C03B" w14:textId="77777777" w:rsidR="00000000" w:rsidRDefault="00527094">
            <w:pPr>
              <w:rPr>
                <w:rFonts w:eastAsia="Times New Roman"/>
                <w:sz w:val="20"/>
                <w:szCs w:val="20"/>
              </w:rPr>
            </w:pPr>
            <w:r>
              <w:rPr>
                <w:rFonts w:eastAsia="Times New Roman"/>
                <w:sz w:val="20"/>
                <w:szCs w:val="20"/>
              </w:rPr>
              <w:t> </w:t>
            </w:r>
          </w:p>
        </w:tc>
      </w:tr>
      <w:tr w:rsidR="00000000" w14:paraId="4CAE57DF" w14:textId="77777777">
        <w:trPr>
          <w:tblCellSpacing w:w="0" w:type="dxa"/>
        </w:trPr>
        <w:tc>
          <w:tcPr>
            <w:tcW w:w="0" w:type="auto"/>
            <w:shd w:val="clear" w:color="auto" w:fill="CCEEFF"/>
            <w:vAlign w:val="bottom"/>
            <w:hideMark/>
          </w:tcPr>
          <w:p w14:paraId="65EC091B" w14:textId="77777777" w:rsidR="00000000" w:rsidRDefault="00527094">
            <w:pPr>
              <w:pStyle w:val="a3"/>
              <w:spacing w:before="0" w:beforeAutospacing="0" w:after="0" w:afterAutospacing="0"/>
              <w:rPr>
                <w:sz w:val="20"/>
                <w:szCs w:val="20"/>
              </w:rPr>
            </w:pPr>
            <w:r>
              <w:rPr>
                <w:sz w:val="20"/>
                <w:szCs w:val="20"/>
              </w:rPr>
              <w:t>Class L Depositary Shares</w:t>
            </w:r>
          </w:p>
        </w:tc>
        <w:tc>
          <w:tcPr>
            <w:tcW w:w="50" w:type="pct"/>
            <w:shd w:val="clear" w:color="auto" w:fill="CCEEFF"/>
            <w:vAlign w:val="bottom"/>
            <w:hideMark/>
          </w:tcPr>
          <w:p w14:paraId="2B26390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66DB25"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28F20238" w14:textId="77777777" w:rsidR="00000000" w:rsidRDefault="00527094">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14:paraId="674BE7D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0A50F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CFF09D"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284E8051" w14:textId="77777777" w:rsidR="00000000" w:rsidRDefault="00527094">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14:paraId="669D6FA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D042E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A3D32B"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77E8C906" w14:textId="77777777" w:rsidR="00000000" w:rsidRDefault="00527094">
            <w:pPr>
              <w:jc w:val="right"/>
              <w:rPr>
                <w:rFonts w:eastAsia="Times New Roman"/>
                <w:sz w:val="20"/>
                <w:szCs w:val="20"/>
              </w:rPr>
            </w:pPr>
            <w:r>
              <w:rPr>
                <w:rFonts w:eastAsia="Times New Roman"/>
                <w:sz w:val="20"/>
                <w:szCs w:val="20"/>
              </w:rPr>
              <w:t>0.64062</w:t>
            </w:r>
          </w:p>
        </w:tc>
        <w:tc>
          <w:tcPr>
            <w:tcW w:w="50" w:type="pct"/>
            <w:shd w:val="clear" w:color="auto" w:fill="CCEEFF"/>
            <w:vAlign w:val="bottom"/>
            <w:hideMark/>
          </w:tcPr>
          <w:p w14:paraId="3874D20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AB4C0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91C7A5" w14:textId="77777777" w:rsidR="00000000" w:rsidRDefault="00527094">
            <w:pPr>
              <w:rPr>
                <w:rFonts w:eastAsia="Times New Roman"/>
                <w:sz w:val="20"/>
                <w:szCs w:val="20"/>
              </w:rPr>
            </w:pPr>
            <w:r>
              <w:rPr>
                <w:rFonts w:eastAsia="Times New Roman"/>
                <w:sz w:val="20"/>
                <w:szCs w:val="20"/>
              </w:rPr>
              <w:t>$</w:t>
            </w:r>
          </w:p>
        </w:tc>
        <w:tc>
          <w:tcPr>
            <w:tcW w:w="550" w:type="pct"/>
            <w:shd w:val="clear" w:color="auto" w:fill="CCEEFF"/>
            <w:vAlign w:val="bottom"/>
            <w:hideMark/>
          </w:tcPr>
          <w:p w14:paraId="75A4E9DE" w14:textId="77777777" w:rsidR="00000000" w:rsidRDefault="00527094">
            <w:pPr>
              <w:jc w:val="right"/>
              <w:rPr>
                <w:rFonts w:eastAsia="Times New Roman"/>
                <w:sz w:val="20"/>
                <w:szCs w:val="20"/>
              </w:rPr>
            </w:pPr>
            <w:r>
              <w:rPr>
                <w:rFonts w:eastAsia="Times New Roman"/>
                <w:sz w:val="20"/>
                <w:szCs w:val="20"/>
              </w:rPr>
              <w:t>0.64062</w:t>
            </w:r>
          </w:p>
        </w:tc>
        <w:tc>
          <w:tcPr>
            <w:tcW w:w="50" w:type="pct"/>
            <w:shd w:val="clear" w:color="auto" w:fill="CCEEFF"/>
            <w:vAlign w:val="bottom"/>
            <w:hideMark/>
          </w:tcPr>
          <w:p w14:paraId="52ACDD30" w14:textId="77777777" w:rsidR="00000000" w:rsidRDefault="00527094">
            <w:pPr>
              <w:rPr>
                <w:rFonts w:eastAsia="Times New Roman"/>
                <w:sz w:val="20"/>
                <w:szCs w:val="20"/>
              </w:rPr>
            </w:pPr>
            <w:r>
              <w:rPr>
                <w:rFonts w:eastAsia="Times New Roman"/>
                <w:sz w:val="20"/>
                <w:szCs w:val="20"/>
              </w:rPr>
              <w:t> </w:t>
            </w:r>
          </w:p>
        </w:tc>
      </w:tr>
      <w:tr w:rsidR="00000000" w14:paraId="0F309B46" w14:textId="77777777">
        <w:trPr>
          <w:tblCellSpacing w:w="0" w:type="dxa"/>
        </w:trPr>
        <w:tc>
          <w:tcPr>
            <w:tcW w:w="0" w:type="auto"/>
            <w:shd w:val="clear" w:color="auto" w:fill="FFFFFF"/>
            <w:vAlign w:val="bottom"/>
            <w:hideMark/>
          </w:tcPr>
          <w:p w14:paraId="576DF342" w14:textId="77777777" w:rsidR="00000000" w:rsidRDefault="00527094">
            <w:pPr>
              <w:pStyle w:val="a3"/>
              <w:spacing w:before="0" w:beforeAutospacing="0" w:after="0" w:afterAutospacing="0"/>
              <w:rPr>
                <w:sz w:val="20"/>
                <w:szCs w:val="20"/>
              </w:rPr>
            </w:pPr>
            <w:r>
              <w:rPr>
                <w:sz w:val="20"/>
                <w:szCs w:val="20"/>
              </w:rPr>
              <w:t>Class M Depositary Shares</w:t>
            </w:r>
          </w:p>
        </w:tc>
        <w:tc>
          <w:tcPr>
            <w:tcW w:w="50" w:type="pct"/>
            <w:shd w:val="clear" w:color="auto" w:fill="FFFFFF"/>
            <w:vAlign w:val="bottom"/>
            <w:hideMark/>
          </w:tcPr>
          <w:p w14:paraId="3019FE6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4062B8"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71180F5F" w14:textId="77777777" w:rsidR="00000000" w:rsidRDefault="00527094">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14:paraId="4312AA5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1CDA8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F8B64C"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7767D78" w14:textId="77777777" w:rsidR="00000000" w:rsidRDefault="00527094">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14:paraId="07B821D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F5EB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5482CC"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B2A7E50" w14:textId="77777777" w:rsidR="00000000" w:rsidRDefault="00527094">
            <w:pPr>
              <w:jc w:val="right"/>
              <w:rPr>
                <w:rFonts w:eastAsia="Times New Roman"/>
                <w:sz w:val="20"/>
                <w:szCs w:val="20"/>
              </w:rPr>
            </w:pPr>
            <w:r>
              <w:rPr>
                <w:rFonts w:eastAsia="Times New Roman"/>
                <w:sz w:val="20"/>
                <w:szCs w:val="20"/>
              </w:rPr>
              <w:t>0.65626</w:t>
            </w:r>
          </w:p>
        </w:tc>
        <w:tc>
          <w:tcPr>
            <w:tcW w:w="50" w:type="pct"/>
            <w:shd w:val="clear" w:color="auto" w:fill="FFFFFF"/>
            <w:vAlign w:val="bottom"/>
            <w:hideMark/>
          </w:tcPr>
          <w:p w14:paraId="183C915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A16F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3F9615" w14:textId="77777777" w:rsidR="00000000" w:rsidRDefault="00527094">
            <w:pPr>
              <w:rPr>
                <w:rFonts w:eastAsia="Times New Roman"/>
                <w:sz w:val="20"/>
                <w:szCs w:val="20"/>
              </w:rPr>
            </w:pPr>
            <w:r>
              <w:rPr>
                <w:rFonts w:eastAsia="Times New Roman"/>
                <w:sz w:val="20"/>
                <w:szCs w:val="20"/>
              </w:rPr>
              <w:t>$</w:t>
            </w:r>
          </w:p>
        </w:tc>
        <w:tc>
          <w:tcPr>
            <w:tcW w:w="550" w:type="pct"/>
            <w:shd w:val="clear" w:color="auto" w:fill="FFFFFF"/>
            <w:vAlign w:val="bottom"/>
            <w:hideMark/>
          </w:tcPr>
          <w:p w14:paraId="546D84E3" w14:textId="77777777" w:rsidR="00000000" w:rsidRDefault="00527094">
            <w:pPr>
              <w:jc w:val="right"/>
              <w:rPr>
                <w:rFonts w:eastAsia="Times New Roman"/>
                <w:sz w:val="20"/>
                <w:szCs w:val="20"/>
              </w:rPr>
            </w:pPr>
            <w:r>
              <w:rPr>
                <w:rFonts w:eastAsia="Times New Roman"/>
                <w:sz w:val="20"/>
                <w:szCs w:val="20"/>
              </w:rPr>
              <w:t>0.65626</w:t>
            </w:r>
          </w:p>
        </w:tc>
        <w:tc>
          <w:tcPr>
            <w:tcW w:w="50" w:type="pct"/>
            <w:shd w:val="clear" w:color="auto" w:fill="FFFFFF"/>
            <w:vAlign w:val="bottom"/>
            <w:hideMark/>
          </w:tcPr>
          <w:p w14:paraId="088FC977" w14:textId="77777777" w:rsidR="00000000" w:rsidRDefault="00527094">
            <w:pPr>
              <w:rPr>
                <w:rFonts w:eastAsia="Times New Roman"/>
                <w:sz w:val="20"/>
                <w:szCs w:val="20"/>
              </w:rPr>
            </w:pPr>
            <w:r>
              <w:rPr>
                <w:rFonts w:eastAsia="Times New Roman"/>
                <w:sz w:val="20"/>
                <w:szCs w:val="20"/>
              </w:rPr>
              <w:t> </w:t>
            </w:r>
          </w:p>
        </w:tc>
      </w:tr>
    </w:tbl>
    <w:p w14:paraId="56C17304" w14:textId="77777777" w:rsidR="00000000" w:rsidRDefault="00527094">
      <w:pPr>
        <w:pStyle w:val="a3"/>
        <w:spacing w:before="0" w:beforeAutospacing="0" w:after="0" w:afterAutospacing="0"/>
        <w:ind w:left="360"/>
        <w:jc w:val="both"/>
        <w:rPr>
          <w:sz w:val="20"/>
          <w:szCs w:val="20"/>
        </w:rPr>
      </w:pPr>
      <w:r>
        <w:rPr>
          <w:sz w:val="20"/>
          <w:szCs w:val="20"/>
        </w:rPr>
        <w:t> </w:t>
      </w:r>
    </w:p>
    <w:p w14:paraId="56664F32" w14:textId="77777777" w:rsidR="00000000" w:rsidRDefault="00527094">
      <w:pPr>
        <w:jc w:val="center"/>
        <w:rPr>
          <w:rFonts w:eastAsia="Times New Roman"/>
          <w:sz w:val="20"/>
          <w:szCs w:val="20"/>
        </w:rPr>
      </w:pPr>
      <w:r>
        <w:rPr>
          <w:rFonts w:eastAsia="Times New Roman"/>
          <w:sz w:val="20"/>
          <w:szCs w:val="20"/>
        </w:rPr>
        <w:t xml:space="preserve">21 </w:t>
      </w:r>
    </w:p>
    <w:p w14:paraId="2DF91CD6" w14:textId="77777777" w:rsidR="00000000" w:rsidRDefault="00527094">
      <w:pPr>
        <w:rPr>
          <w:rFonts w:eastAsia="Times New Roman"/>
          <w:sz w:val="20"/>
          <w:szCs w:val="20"/>
        </w:rPr>
      </w:pPr>
      <w:r>
        <w:rPr>
          <w:rFonts w:eastAsia="Times New Roman"/>
          <w:sz w:val="20"/>
          <w:szCs w:val="20"/>
        </w:rPr>
        <w:pict w14:anchorId="54130A1D">
          <v:rect id="_x0000_i1049" style="width:0;height:1.5pt" o:hralign="center" o:hrstd="t" o:hr="t" fillcolor="#a0a0a0" stroked="f"/>
        </w:pict>
      </w:r>
    </w:p>
    <w:p w14:paraId="48D41841"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BB35FA4" w14:textId="77777777" w:rsidR="00000000" w:rsidRDefault="00527094">
      <w:pPr>
        <w:pStyle w:val="a3"/>
        <w:spacing w:before="0" w:beforeAutospacing="0" w:after="0" w:afterAutospacing="0"/>
        <w:rPr>
          <w:sz w:val="20"/>
          <w:szCs w:val="20"/>
        </w:rPr>
      </w:pPr>
      <w:r>
        <w:rPr>
          <w:sz w:val="20"/>
          <w:szCs w:val="20"/>
        </w:rPr>
        <w:t> </w:t>
      </w:r>
    </w:p>
    <w:p w14:paraId="7B68CAE0" w14:textId="77777777" w:rsidR="00000000" w:rsidRDefault="00527094">
      <w:pPr>
        <w:divId w:val="47384075"/>
        <w:rPr>
          <w:rFonts w:eastAsia="Times New Roman"/>
          <w:sz w:val="20"/>
          <w:szCs w:val="20"/>
        </w:rPr>
      </w:pPr>
      <w:r>
        <w:rPr>
          <w:rFonts w:eastAsia="Times New Roman"/>
          <w:sz w:val="20"/>
          <w:szCs w:val="20"/>
        </w:rPr>
        <w:t xml:space="preserve">  </w:t>
      </w:r>
    </w:p>
    <w:p w14:paraId="7E3BEB55" w14:textId="77777777" w:rsidR="00000000" w:rsidRDefault="00527094">
      <w:pPr>
        <w:pStyle w:val="a3"/>
        <w:spacing w:before="0" w:beforeAutospacing="0" w:after="0" w:afterAutospacing="0"/>
        <w:rPr>
          <w:sz w:val="20"/>
          <w:szCs w:val="20"/>
        </w:rPr>
      </w:pPr>
      <w:r>
        <w:rPr>
          <w:rStyle w:val="a6"/>
          <w:i w:val="0"/>
          <w:iCs w:val="0"/>
          <w:sz w:val="20"/>
          <w:szCs w:val="20"/>
        </w:rPr>
        <w:t>16.</w:t>
      </w:r>
      <w:r>
        <w:rPr>
          <w:sz w:val="20"/>
          <w:szCs w:val="20"/>
        </w:rPr>
        <w:t xml:space="preserve"> </w:t>
      </w:r>
      <w:r>
        <w:rPr>
          <w:sz w:val="20"/>
          <w:szCs w:val="20"/>
          <w:u w:val="single"/>
        </w:rPr>
        <w:t>Supplemental Schedule of Non-Cash Investing / Financing Activities</w:t>
      </w:r>
    </w:p>
    <w:p w14:paraId="5BC014BD" w14:textId="77777777" w:rsidR="00000000" w:rsidRDefault="00527094">
      <w:pPr>
        <w:pStyle w:val="a3"/>
        <w:spacing w:before="0" w:beforeAutospacing="0" w:after="0" w:afterAutospacing="0"/>
        <w:jc w:val="both"/>
        <w:rPr>
          <w:sz w:val="20"/>
          <w:szCs w:val="20"/>
        </w:rPr>
      </w:pPr>
      <w:r>
        <w:rPr>
          <w:sz w:val="20"/>
          <w:szCs w:val="20"/>
        </w:rPr>
        <w:t> </w:t>
      </w:r>
    </w:p>
    <w:p w14:paraId="72E8700C" w14:textId="77777777" w:rsidR="00000000" w:rsidRDefault="00527094">
      <w:pPr>
        <w:pStyle w:val="a3"/>
        <w:spacing w:before="0" w:beforeAutospacing="0" w:after="0" w:afterAutospacing="0"/>
        <w:ind w:firstLine="360"/>
        <w:jc w:val="both"/>
        <w:rPr>
          <w:sz w:val="20"/>
          <w:szCs w:val="20"/>
        </w:rPr>
      </w:pPr>
      <w:r>
        <w:rPr>
          <w:sz w:val="20"/>
          <w:szCs w:val="20"/>
        </w:rPr>
        <w:t>The following schedule summarizes the non-cash investing and financing activities of the Company for the</w:t>
      </w:r>
      <w:r>
        <w:rPr>
          <w:sz w:val="20"/>
          <w:szCs w:val="20"/>
        </w:rPr>
        <w:t xml:space="preserve"> </w:t>
      </w:r>
      <w:r>
        <w:rPr>
          <w:rStyle w:val="a6"/>
          <w:i w:val="0"/>
          <w:iCs w:val="0"/>
          <w:sz w:val="20"/>
          <w:szCs w:val="20"/>
        </w:rPr>
        <w:t>six</w:t>
      </w:r>
      <w:r>
        <w:rPr>
          <w:sz w:val="20"/>
          <w:szCs w:val="20"/>
        </w:rPr>
        <w:t xml:space="preserve"> months ended</w:t>
      </w:r>
      <w:r>
        <w:rPr>
          <w:sz w:val="20"/>
          <w:szCs w:val="20"/>
        </w:rPr>
        <w:t xml:space="preserve"> </w:t>
      </w:r>
      <w:r>
        <w:rPr>
          <w:rStyle w:val="a6"/>
          <w:i w:val="0"/>
          <w:iCs w:val="0"/>
          <w:sz w:val="20"/>
          <w:szCs w:val="20"/>
        </w:rPr>
        <w:t xml:space="preserve">June 30, 2019 </w:t>
      </w:r>
      <w:r>
        <w:rPr>
          <w:sz w:val="20"/>
          <w:szCs w:val="20"/>
        </w:rPr>
        <w:t>and</w:t>
      </w:r>
      <w:r>
        <w:rPr>
          <w:sz w:val="20"/>
          <w:szCs w:val="20"/>
        </w:rPr>
        <w:t xml:space="preserve"> </w:t>
      </w:r>
      <w:r>
        <w:rPr>
          <w:rStyle w:val="a6"/>
          <w:i w:val="0"/>
          <w:iCs w:val="0"/>
          <w:sz w:val="20"/>
          <w:szCs w:val="20"/>
        </w:rPr>
        <w:t>2018</w:t>
      </w:r>
      <w:r>
        <w:rPr>
          <w:sz w:val="20"/>
          <w:szCs w:val="20"/>
        </w:rPr>
        <w:t xml:space="preserve"> (in thousands):</w:t>
      </w:r>
    </w:p>
    <w:p w14:paraId="5A1F70F2"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1DA4BE9C" w14:textId="77777777">
        <w:trPr>
          <w:tblCellSpacing w:w="0" w:type="dxa"/>
        </w:trPr>
        <w:tc>
          <w:tcPr>
            <w:tcW w:w="0" w:type="auto"/>
            <w:vAlign w:val="bottom"/>
            <w:hideMark/>
          </w:tcPr>
          <w:p w14:paraId="033CE60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2518CE2"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D969AFD"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5C4A11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363FC1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CBD6CD"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FFC5063" w14:textId="77777777" w:rsidR="00000000" w:rsidRDefault="00527094">
            <w:pPr>
              <w:rPr>
                <w:rFonts w:eastAsia="Times New Roman"/>
                <w:sz w:val="20"/>
                <w:szCs w:val="20"/>
              </w:rPr>
            </w:pPr>
            <w:r>
              <w:rPr>
                <w:rFonts w:eastAsia="Times New Roman"/>
                <w:sz w:val="20"/>
                <w:szCs w:val="20"/>
              </w:rPr>
              <w:t> </w:t>
            </w:r>
          </w:p>
        </w:tc>
      </w:tr>
      <w:tr w:rsidR="00000000" w14:paraId="1BAD4070" w14:textId="77777777">
        <w:trPr>
          <w:tblCellSpacing w:w="0" w:type="dxa"/>
        </w:trPr>
        <w:tc>
          <w:tcPr>
            <w:tcW w:w="3400" w:type="pct"/>
            <w:shd w:val="clear" w:color="auto" w:fill="CCEEFF"/>
            <w:vAlign w:val="bottom"/>
            <w:hideMark/>
          </w:tcPr>
          <w:p w14:paraId="54311593" w14:textId="77777777" w:rsidR="00000000" w:rsidRDefault="00527094">
            <w:pPr>
              <w:pStyle w:val="a3"/>
              <w:spacing w:before="0" w:beforeAutospacing="0" w:after="0" w:afterAutospacing="0"/>
              <w:rPr>
                <w:sz w:val="20"/>
                <w:szCs w:val="20"/>
              </w:rPr>
            </w:pPr>
            <w:r>
              <w:rPr>
                <w:sz w:val="20"/>
                <w:szCs w:val="20"/>
              </w:rPr>
              <w:t>Acquisition of real estate interests through proceeds held in escrow</w:t>
            </w:r>
          </w:p>
        </w:tc>
        <w:tc>
          <w:tcPr>
            <w:tcW w:w="50" w:type="pct"/>
            <w:tcBorders>
              <w:bottom w:val="nil"/>
            </w:tcBorders>
            <w:shd w:val="clear" w:color="auto" w:fill="CCEEFF"/>
            <w:vAlign w:val="bottom"/>
            <w:hideMark/>
          </w:tcPr>
          <w:p w14:paraId="7A159D5D"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A42E762" w14:textId="77777777" w:rsidR="00000000" w:rsidRDefault="00527094">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63B351F9" w14:textId="77777777" w:rsidR="00000000" w:rsidRDefault="00527094">
            <w:pPr>
              <w:jc w:val="right"/>
              <w:rPr>
                <w:rFonts w:eastAsia="Times New Roman"/>
                <w:sz w:val="20"/>
                <w:szCs w:val="20"/>
              </w:rPr>
            </w:pPr>
            <w:r>
              <w:rPr>
                <w:rFonts w:eastAsia="Times New Roman"/>
                <w:sz w:val="20"/>
                <w:szCs w:val="20"/>
              </w:rPr>
              <w:t>30,970</w:t>
            </w:r>
          </w:p>
        </w:tc>
        <w:tc>
          <w:tcPr>
            <w:tcW w:w="50" w:type="pct"/>
            <w:tcBorders>
              <w:bottom w:val="nil"/>
            </w:tcBorders>
            <w:shd w:val="clear" w:color="auto" w:fill="CCEEFF"/>
            <w:vAlign w:val="bottom"/>
            <w:hideMark/>
          </w:tcPr>
          <w:p w14:paraId="715CA03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97B20E5"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3A9AC9C" w14:textId="77777777" w:rsidR="00000000" w:rsidRDefault="00527094">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2F4FB816" w14:textId="77777777" w:rsidR="00000000" w:rsidRDefault="00527094">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2055EE8C" w14:textId="77777777" w:rsidR="00000000" w:rsidRDefault="00527094">
            <w:pPr>
              <w:rPr>
                <w:rFonts w:eastAsia="Times New Roman"/>
                <w:sz w:val="20"/>
                <w:szCs w:val="20"/>
              </w:rPr>
            </w:pPr>
            <w:r>
              <w:rPr>
                <w:rFonts w:eastAsia="Times New Roman"/>
                <w:sz w:val="20"/>
                <w:szCs w:val="20"/>
              </w:rPr>
              <w:t> </w:t>
            </w:r>
          </w:p>
        </w:tc>
      </w:tr>
      <w:tr w:rsidR="00000000" w14:paraId="1A38BB3B" w14:textId="77777777">
        <w:trPr>
          <w:tblCellSpacing w:w="0" w:type="dxa"/>
        </w:trPr>
        <w:tc>
          <w:tcPr>
            <w:tcW w:w="0" w:type="auto"/>
            <w:shd w:val="clear" w:color="auto" w:fill="FFFFFF"/>
            <w:vAlign w:val="bottom"/>
            <w:hideMark/>
          </w:tcPr>
          <w:p w14:paraId="608DB86A" w14:textId="77777777" w:rsidR="00000000" w:rsidRDefault="00527094">
            <w:pPr>
              <w:pStyle w:val="a3"/>
              <w:spacing w:before="0" w:beforeAutospacing="0" w:after="0" w:afterAutospacing="0"/>
              <w:rPr>
                <w:sz w:val="20"/>
                <w:szCs w:val="20"/>
              </w:rPr>
            </w:pPr>
            <w:r>
              <w:rPr>
                <w:sz w:val="20"/>
                <w:szCs w:val="20"/>
              </w:rPr>
              <w:t>Disposition of real estate interests through the issuance of mortgage receivables</w:t>
            </w:r>
          </w:p>
        </w:tc>
        <w:tc>
          <w:tcPr>
            <w:tcW w:w="50" w:type="pct"/>
            <w:shd w:val="clear" w:color="auto" w:fill="FFFFFF"/>
            <w:vAlign w:val="bottom"/>
            <w:hideMark/>
          </w:tcPr>
          <w:p w14:paraId="37E8AF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9D9D50"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5DA90E48"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995C2B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5AAE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DDD468"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2F2A6D1A" w14:textId="77777777" w:rsidR="00000000" w:rsidRDefault="00527094">
            <w:pPr>
              <w:jc w:val="right"/>
              <w:rPr>
                <w:rFonts w:eastAsia="Times New Roman"/>
                <w:sz w:val="20"/>
                <w:szCs w:val="20"/>
              </w:rPr>
            </w:pPr>
            <w:r>
              <w:rPr>
                <w:rFonts w:eastAsia="Times New Roman"/>
                <w:sz w:val="20"/>
                <w:szCs w:val="20"/>
              </w:rPr>
              <w:t>14,700</w:t>
            </w:r>
          </w:p>
        </w:tc>
        <w:tc>
          <w:tcPr>
            <w:tcW w:w="50" w:type="pct"/>
            <w:shd w:val="clear" w:color="auto" w:fill="FFFFFF"/>
            <w:vAlign w:val="bottom"/>
            <w:hideMark/>
          </w:tcPr>
          <w:p w14:paraId="09A857B0" w14:textId="77777777" w:rsidR="00000000" w:rsidRDefault="00527094">
            <w:pPr>
              <w:rPr>
                <w:rFonts w:eastAsia="Times New Roman"/>
                <w:sz w:val="20"/>
                <w:szCs w:val="20"/>
              </w:rPr>
            </w:pPr>
            <w:r>
              <w:rPr>
                <w:rFonts w:eastAsia="Times New Roman"/>
                <w:sz w:val="20"/>
                <w:szCs w:val="20"/>
              </w:rPr>
              <w:t> </w:t>
            </w:r>
          </w:p>
        </w:tc>
      </w:tr>
      <w:tr w:rsidR="00000000" w14:paraId="6FADE670" w14:textId="77777777">
        <w:trPr>
          <w:tblCellSpacing w:w="0" w:type="dxa"/>
        </w:trPr>
        <w:tc>
          <w:tcPr>
            <w:tcW w:w="0" w:type="auto"/>
            <w:shd w:val="clear" w:color="auto" w:fill="CCEEFF"/>
            <w:vAlign w:val="bottom"/>
            <w:hideMark/>
          </w:tcPr>
          <w:p w14:paraId="0D737411" w14:textId="77777777" w:rsidR="00000000" w:rsidRDefault="00527094">
            <w:pPr>
              <w:pStyle w:val="a3"/>
              <w:spacing w:before="0" w:beforeAutospacing="0" w:after="0" w:afterAutospacing="0"/>
              <w:rPr>
                <w:sz w:val="20"/>
                <w:szCs w:val="20"/>
              </w:rPr>
            </w:pPr>
            <w:r>
              <w:rPr>
                <w:sz w:val="20"/>
                <w:szCs w:val="20"/>
              </w:rPr>
              <w:t>Disposition of real estate interests by foreclosure of debt</w:t>
            </w:r>
          </w:p>
        </w:tc>
        <w:tc>
          <w:tcPr>
            <w:tcW w:w="50" w:type="pct"/>
            <w:shd w:val="clear" w:color="auto" w:fill="CCEEFF"/>
            <w:vAlign w:val="bottom"/>
            <w:hideMark/>
          </w:tcPr>
          <w:p w14:paraId="21387B6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E30659"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3677355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645F62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008B0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E1B3F3"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7DC16483" w14:textId="77777777" w:rsidR="00000000" w:rsidRDefault="00527094">
            <w:pPr>
              <w:jc w:val="right"/>
              <w:rPr>
                <w:rFonts w:eastAsia="Times New Roman"/>
                <w:sz w:val="20"/>
                <w:szCs w:val="20"/>
              </w:rPr>
            </w:pPr>
            <w:r>
              <w:rPr>
                <w:rFonts w:eastAsia="Times New Roman"/>
                <w:sz w:val="20"/>
                <w:szCs w:val="20"/>
              </w:rPr>
              <w:t>7,444</w:t>
            </w:r>
          </w:p>
        </w:tc>
        <w:tc>
          <w:tcPr>
            <w:tcW w:w="50" w:type="pct"/>
            <w:shd w:val="clear" w:color="auto" w:fill="CCEEFF"/>
            <w:vAlign w:val="bottom"/>
            <w:hideMark/>
          </w:tcPr>
          <w:p w14:paraId="7F3A03BA" w14:textId="77777777" w:rsidR="00000000" w:rsidRDefault="00527094">
            <w:pPr>
              <w:rPr>
                <w:rFonts w:eastAsia="Times New Roman"/>
                <w:sz w:val="20"/>
                <w:szCs w:val="20"/>
              </w:rPr>
            </w:pPr>
            <w:r>
              <w:rPr>
                <w:rFonts w:eastAsia="Times New Roman"/>
                <w:sz w:val="20"/>
                <w:szCs w:val="20"/>
              </w:rPr>
              <w:t> </w:t>
            </w:r>
          </w:p>
        </w:tc>
      </w:tr>
      <w:tr w:rsidR="00000000" w14:paraId="6FA071CB" w14:textId="77777777">
        <w:trPr>
          <w:tblCellSpacing w:w="0" w:type="dxa"/>
        </w:trPr>
        <w:tc>
          <w:tcPr>
            <w:tcW w:w="0" w:type="auto"/>
            <w:shd w:val="clear" w:color="auto" w:fill="FFFFFF"/>
            <w:vAlign w:val="bottom"/>
            <w:hideMark/>
          </w:tcPr>
          <w:p w14:paraId="7D6E37DE" w14:textId="77777777" w:rsidR="00000000" w:rsidRDefault="00527094">
            <w:pPr>
              <w:pStyle w:val="a3"/>
              <w:spacing w:before="0" w:beforeAutospacing="0" w:after="0" w:afterAutospacing="0"/>
              <w:rPr>
                <w:sz w:val="20"/>
                <w:szCs w:val="20"/>
              </w:rPr>
            </w:pPr>
            <w:r>
              <w:rPr>
                <w:sz w:val="20"/>
                <w:szCs w:val="20"/>
              </w:rPr>
              <w:t>Forgiveness of debt due to foreclosure</w:t>
            </w:r>
          </w:p>
        </w:tc>
        <w:tc>
          <w:tcPr>
            <w:tcW w:w="50" w:type="pct"/>
            <w:shd w:val="clear" w:color="auto" w:fill="FFFFFF"/>
            <w:vAlign w:val="bottom"/>
            <w:hideMark/>
          </w:tcPr>
          <w:p w14:paraId="086230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DCBB1A"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6402A3DE"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4556A2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D6CA6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1F1ED8"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06EF0715" w14:textId="77777777" w:rsidR="00000000" w:rsidRDefault="00527094">
            <w:pPr>
              <w:jc w:val="right"/>
              <w:rPr>
                <w:rFonts w:eastAsia="Times New Roman"/>
                <w:sz w:val="20"/>
                <w:szCs w:val="20"/>
              </w:rPr>
            </w:pPr>
            <w:r>
              <w:rPr>
                <w:rFonts w:eastAsia="Times New Roman"/>
                <w:sz w:val="20"/>
                <w:szCs w:val="20"/>
              </w:rPr>
              <w:t>12,415</w:t>
            </w:r>
          </w:p>
        </w:tc>
        <w:tc>
          <w:tcPr>
            <w:tcW w:w="50" w:type="pct"/>
            <w:shd w:val="clear" w:color="auto" w:fill="FFFFFF"/>
            <w:vAlign w:val="bottom"/>
            <w:hideMark/>
          </w:tcPr>
          <w:p w14:paraId="1AEF7677" w14:textId="77777777" w:rsidR="00000000" w:rsidRDefault="00527094">
            <w:pPr>
              <w:rPr>
                <w:rFonts w:eastAsia="Times New Roman"/>
                <w:sz w:val="20"/>
                <w:szCs w:val="20"/>
              </w:rPr>
            </w:pPr>
            <w:r>
              <w:rPr>
                <w:rFonts w:eastAsia="Times New Roman"/>
                <w:sz w:val="20"/>
                <w:szCs w:val="20"/>
              </w:rPr>
              <w:t> </w:t>
            </w:r>
          </w:p>
        </w:tc>
      </w:tr>
      <w:tr w:rsidR="00000000" w14:paraId="6ADC2793" w14:textId="77777777">
        <w:trPr>
          <w:tblCellSpacing w:w="0" w:type="dxa"/>
        </w:trPr>
        <w:tc>
          <w:tcPr>
            <w:tcW w:w="0" w:type="auto"/>
            <w:shd w:val="clear" w:color="auto" w:fill="CCEEFF"/>
            <w:vAlign w:val="bottom"/>
            <w:hideMark/>
          </w:tcPr>
          <w:p w14:paraId="793A6C48" w14:textId="77777777" w:rsidR="00000000" w:rsidRDefault="00527094">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14:paraId="515909F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DFC2F6"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264731BC" w14:textId="77777777" w:rsidR="00000000" w:rsidRDefault="00527094">
            <w:pPr>
              <w:jc w:val="right"/>
              <w:rPr>
                <w:rFonts w:eastAsia="Times New Roman"/>
                <w:sz w:val="20"/>
                <w:szCs w:val="20"/>
              </w:rPr>
            </w:pPr>
            <w:r>
              <w:rPr>
                <w:rFonts w:eastAsia="Times New Roman"/>
                <w:sz w:val="20"/>
                <w:szCs w:val="20"/>
              </w:rPr>
              <w:t>3,689</w:t>
            </w:r>
          </w:p>
        </w:tc>
        <w:tc>
          <w:tcPr>
            <w:tcW w:w="50" w:type="pct"/>
            <w:shd w:val="clear" w:color="auto" w:fill="CCEEFF"/>
            <w:vAlign w:val="bottom"/>
            <w:hideMark/>
          </w:tcPr>
          <w:p w14:paraId="144BAF0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8635B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C7CB0E"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6CC5B18C" w14:textId="77777777" w:rsidR="00000000" w:rsidRDefault="00527094">
            <w:pPr>
              <w:jc w:val="right"/>
              <w:rPr>
                <w:rFonts w:eastAsia="Times New Roman"/>
                <w:sz w:val="20"/>
                <w:szCs w:val="20"/>
              </w:rPr>
            </w:pPr>
            <w:r>
              <w:rPr>
                <w:rFonts w:eastAsia="Times New Roman"/>
                <w:sz w:val="20"/>
                <w:szCs w:val="20"/>
              </w:rPr>
              <w:t>3,492</w:t>
            </w:r>
          </w:p>
        </w:tc>
        <w:tc>
          <w:tcPr>
            <w:tcW w:w="50" w:type="pct"/>
            <w:shd w:val="clear" w:color="auto" w:fill="CCEEFF"/>
            <w:vAlign w:val="bottom"/>
            <w:hideMark/>
          </w:tcPr>
          <w:p w14:paraId="7739436A" w14:textId="77777777" w:rsidR="00000000" w:rsidRDefault="00527094">
            <w:pPr>
              <w:rPr>
                <w:rFonts w:eastAsia="Times New Roman"/>
                <w:sz w:val="20"/>
                <w:szCs w:val="20"/>
              </w:rPr>
            </w:pPr>
            <w:r>
              <w:rPr>
                <w:rFonts w:eastAsia="Times New Roman"/>
                <w:sz w:val="20"/>
                <w:szCs w:val="20"/>
              </w:rPr>
              <w:t> </w:t>
            </w:r>
          </w:p>
        </w:tc>
      </w:tr>
      <w:tr w:rsidR="00000000" w14:paraId="4AEFBF92" w14:textId="77777777">
        <w:trPr>
          <w:tblCellSpacing w:w="0" w:type="dxa"/>
        </w:trPr>
        <w:tc>
          <w:tcPr>
            <w:tcW w:w="0" w:type="auto"/>
            <w:shd w:val="clear" w:color="auto" w:fill="FFFFFF"/>
            <w:vAlign w:val="bottom"/>
            <w:hideMark/>
          </w:tcPr>
          <w:p w14:paraId="1AE72C2A" w14:textId="77777777" w:rsidR="00000000" w:rsidRDefault="00527094">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14:paraId="319601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B804D8"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489EC914" w14:textId="77777777" w:rsidR="00000000" w:rsidRDefault="00527094">
            <w:pPr>
              <w:jc w:val="right"/>
              <w:rPr>
                <w:rFonts w:eastAsia="Times New Roman"/>
                <w:sz w:val="20"/>
                <w:szCs w:val="20"/>
              </w:rPr>
            </w:pPr>
            <w:r>
              <w:rPr>
                <w:rFonts w:eastAsia="Times New Roman"/>
                <w:sz w:val="20"/>
                <w:szCs w:val="20"/>
              </w:rPr>
              <w:t>130,460</w:t>
            </w:r>
          </w:p>
        </w:tc>
        <w:tc>
          <w:tcPr>
            <w:tcW w:w="50" w:type="pct"/>
            <w:shd w:val="clear" w:color="auto" w:fill="FFFFFF"/>
            <w:vAlign w:val="bottom"/>
            <w:hideMark/>
          </w:tcPr>
          <w:p w14:paraId="0E94F2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2FFFE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799F01"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4BD5D1E4" w14:textId="77777777" w:rsidR="00000000" w:rsidRDefault="00527094">
            <w:pPr>
              <w:jc w:val="right"/>
              <w:rPr>
                <w:rFonts w:eastAsia="Times New Roman"/>
                <w:sz w:val="20"/>
                <w:szCs w:val="20"/>
              </w:rPr>
            </w:pPr>
            <w:r>
              <w:rPr>
                <w:rFonts w:eastAsia="Times New Roman"/>
                <w:sz w:val="20"/>
                <w:szCs w:val="20"/>
              </w:rPr>
              <w:t>130,262</w:t>
            </w:r>
          </w:p>
        </w:tc>
        <w:tc>
          <w:tcPr>
            <w:tcW w:w="50" w:type="pct"/>
            <w:shd w:val="clear" w:color="auto" w:fill="FFFFFF"/>
            <w:vAlign w:val="bottom"/>
            <w:hideMark/>
          </w:tcPr>
          <w:p w14:paraId="64E1F137" w14:textId="77777777" w:rsidR="00000000" w:rsidRDefault="00527094">
            <w:pPr>
              <w:rPr>
                <w:rFonts w:eastAsia="Times New Roman"/>
                <w:sz w:val="20"/>
                <w:szCs w:val="20"/>
              </w:rPr>
            </w:pPr>
            <w:r>
              <w:rPr>
                <w:rFonts w:eastAsia="Times New Roman"/>
                <w:sz w:val="20"/>
                <w:szCs w:val="20"/>
              </w:rPr>
              <w:t> </w:t>
            </w:r>
          </w:p>
        </w:tc>
      </w:tr>
      <w:tr w:rsidR="00000000" w14:paraId="32C11A51" w14:textId="77777777">
        <w:trPr>
          <w:tblCellSpacing w:w="0" w:type="dxa"/>
        </w:trPr>
        <w:tc>
          <w:tcPr>
            <w:tcW w:w="0" w:type="auto"/>
            <w:shd w:val="clear" w:color="auto" w:fill="CCEEFF"/>
            <w:vAlign w:val="bottom"/>
            <w:hideMark/>
          </w:tcPr>
          <w:p w14:paraId="6A950FCA" w14:textId="77777777" w:rsidR="00000000" w:rsidRDefault="00527094">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14:paraId="738BAAB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215C17"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2AD6B2F3" w14:textId="77777777" w:rsidR="00000000" w:rsidRDefault="00527094">
            <w:pPr>
              <w:jc w:val="right"/>
              <w:rPr>
                <w:rFonts w:eastAsia="Times New Roman"/>
                <w:sz w:val="20"/>
                <w:szCs w:val="20"/>
              </w:rPr>
            </w:pPr>
            <w:r>
              <w:rPr>
                <w:rFonts w:eastAsia="Times New Roman"/>
                <w:sz w:val="20"/>
                <w:szCs w:val="20"/>
              </w:rPr>
              <w:t>61,473</w:t>
            </w:r>
          </w:p>
        </w:tc>
        <w:tc>
          <w:tcPr>
            <w:tcW w:w="50" w:type="pct"/>
            <w:shd w:val="clear" w:color="auto" w:fill="CCEEFF"/>
            <w:vAlign w:val="bottom"/>
            <w:hideMark/>
          </w:tcPr>
          <w:p w14:paraId="099BF0E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7521C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9DF662"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7D01E9AF" w14:textId="77777777" w:rsidR="00000000" w:rsidRDefault="00527094">
            <w:pPr>
              <w:jc w:val="right"/>
              <w:rPr>
                <w:rFonts w:eastAsia="Times New Roman"/>
                <w:sz w:val="20"/>
                <w:szCs w:val="20"/>
              </w:rPr>
            </w:pPr>
            <w:r>
              <w:rPr>
                <w:rFonts w:eastAsia="Times New Roman"/>
                <w:sz w:val="20"/>
                <w:szCs w:val="20"/>
              </w:rPr>
              <w:t>75,760</w:t>
            </w:r>
          </w:p>
        </w:tc>
        <w:tc>
          <w:tcPr>
            <w:tcW w:w="50" w:type="pct"/>
            <w:shd w:val="clear" w:color="auto" w:fill="CCEEFF"/>
            <w:vAlign w:val="bottom"/>
            <w:hideMark/>
          </w:tcPr>
          <w:p w14:paraId="4D6EE7D8" w14:textId="77777777" w:rsidR="00000000" w:rsidRDefault="00527094">
            <w:pPr>
              <w:rPr>
                <w:rFonts w:eastAsia="Times New Roman"/>
                <w:sz w:val="20"/>
                <w:szCs w:val="20"/>
              </w:rPr>
            </w:pPr>
            <w:r>
              <w:rPr>
                <w:rFonts w:eastAsia="Times New Roman"/>
                <w:sz w:val="20"/>
                <w:szCs w:val="20"/>
              </w:rPr>
              <w:t> </w:t>
            </w:r>
          </w:p>
        </w:tc>
      </w:tr>
      <w:tr w:rsidR="00000000" w14:paraId="5A9B4D68" w14:textId="77777777">
        <w:trPr>
          <w:tblCellSpacing w:w="0" w:type="dxa"/>
        </w:trPr>
        <w:tc>
          <w:tcPr>
            <w:tcW w:w="0" w:type="auto"/>
            <w:shd w:val="clear" w:color="auto" w:fill="FFFFFF"/>
            <w:vAlign w:val="bottom"/>
            <w:hideMark/>
          </w:tcPr>
          <w:p w14:paraId="351B6EE4" w14:textId="77777777" w:rsidR="00000000" w:rsidRDefault="00527094">
            <w:pPr>
              <w:pStyle w:val="a3"/>
              <w:spacing w:before="0" w:beforeAutospacing="0" w:after="0" w:afterAutospacing="0"/>
              <w:rPr>
                <w:sz w:val="20"/>
                <w:szCs w:val="20"/>
              </w:rPr>
            </w:pPr>
            <w:r>
              <w:rPr>
                <w:sz w:val="20"/>
                <w:szCs w:val="20"/>
              </w:rPr>
              <w:t>Deconsolidation of Joint Ventures:</w:t>
            </w:r>
          </w:p>
        </w:tc>
        <w:tc>
          <w:tcPr>
            <w:tcW w:w="0" w:type="auto"/>
            <w:shd w:val="clear" w:color="auto" w:fill="FFFFFF"/>
            <w:vAlign w:val="bottom"/>
            <w:hideMark/>
          </w:tcPr>
          <w:p w14:paraId="7879F60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00BC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31F6E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DA4C7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B3784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ACF0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84399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A17891" w14:textId="77777777" w:rsidR="00000000" w:rsidRDefault="00527094">
            <w:pPr>
              <w:rPr>
                <w:rFonts w:eastAsia="Times New Roman"/>
                <w:sz w:val="20"/>
                <w:szCs w:val="20"/>
              </w:rPr>
            </w:pPr>
            <w:r>
              <w:rPr>
                <w:rFonts w:eastAsia="Times New Roman"/>
                <w:sz w:val="20"/>
                <w:szCs w:val="20"/>
              </w:rPr>
              <w:t> </w:t>
            </w:r>
          </w:p>
        </w:tc>
      </w:tr>
      <w:tr w:rsidR="00000000" w14:paraId="7450A78F" w14:textId="77777777">
        <w:trPr>
          <w:tblCellSpacing w:w="0" w:type="dxa"/>
        </w:trPr>
        <w:tc>
          <w:tcPr>
            <w:tcW w:w="0" w:type="auto"/>
            <w:shd w:val="clear" w:color="auto" w:fill="CCEEFF"/>
            <w:vAlign w:val="bottom"/>
            <w:hideMark/>
          </w:tcPr>
          <w:p w14:paraId="12F57D01" w14:textId="77777777" w:rsidR="00000000" w:rsidRDefault="00527094">
            <w:pPr>
              <w:pStyle w:val="a3"/>
              <w:spacing w:before="0" w:beforeAutospacing="0" w:after="0" w:afterAutospacing="0"/>
              <w:ind w:left="360" w:hanging="180"/>
              <w:rPr>
                <w:sz w:val="20"/>
                <w:szCs w:val="20"/>
              </w:rPr>
            </w:pPr>
            <w:r>
              <w:rPr>
                <w:sz w:val="20"/>
                <w:szCs w:val="20"/>
              </w:rPr>
              <w:t>Decrease in real estate and other assets</w:t>
            </w:r>
          </w:p>
        </w:tc>
        <w:tc>
          <w:tcPr>
            <w:tcW w:w="50" w:type="pct"/>
            <w:shd w:val="clear" w:color="auto" w:fill="CCEEFF"/>
            <w:vAlign w:val="bottom"/>
            <w:hideMark/>
          </w:tcPr>
          <w:p w14:paraId="6EC94A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3296FA"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1ED6B5EF"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E0E65B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6214A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BEE9FD"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3123660E" w14:textId="77777777" w:rsidR="00000000" w:rsidRDefault="00527094">
            <w:pPr>
              <w:jc w:val="right"/>
              <w:rPr>
                <w:rFonts w:eastAsia="Times New Roman"/>
                <w:sz w:val="20"/>
                <w:szCs w:val="20"/>
              </w:rPr>
            </w:pPr>
            <w:r>
              <w:rPr>
                <w:rFonts w:eastAsia="Times New Roman"/>
                <w:sz w:val="20"/>
                <w:szCs w:val="20"/>
              </w:rPr>
              <w:t>300,299</w:t>
            </w:r>
          </w:p>
        </w:tc>
        <w:tc>
          <w:tcPr>
            <w:tcW w:w="50" w:type="pct"/>
            <w:shd w:val="clear" w:color="auto" w:fill="CCEEFF"/>
            <w:vAlign w:val="bottom"/>
            <w:hideMark/>
          </w:tcPr>
          <w:p w14:paraId="360EE414" w14:textId="77777777" w:rsidR="00000000" w:rsidRDefault="00527094">
            <w:pPr>
              <w:rPr>
                <w:rFonts w:eastAsia="Times New Roman"/>
                <w:sz w:val="20"/>
                <w:szCs w:val="20"/>
              </w:rPr>
            </w:pPr>
            <w:r>
              <w:rPr>
                <w:rFonts w:eastAsia="Times New Roman"/>
                <w:sz w:val="20"/>
                <w:szCs w:val="20"/>
              </w:rPr>
              <w:t> </w:t>
            </w:r>
          </w:p>
        </w:tc>
      </w:tr>
      <w:tr w:rsidR="00000000" w14:paraId="42CAE51C" w14:textId="77777777">
        <w:trPr>
          <w:tblCellSpacing w:w="0" w:type="dxa"/>
        </w:trPr>
        <w:tc>
          <w:tcPr>
            <w:tcW w:w="0" w:type="auto"/>
            <w:shd w:val="clear" w:color="auto" w:fill="FFFFFF"/>
            <w:vAlign w:val="bottom"/>
            <w:hideMark/>
          </w:tcPr>
          <w:p w14:paraId="5539000D" w14:textId="77777777" w:rsidR="00000000" w:rsidRDefault="00527094">
            <w:pPr>
              <w:pStyle w:val="a3"/>
              <w:spacing w:before="0" w:beforeAutospacing="0" w:after="0" w:afterAutospacing="0"/>
              <w:ind w:left="360" w:hanging="180"/>
              <w:rPr>
                <w:sz w:val="20"/>
                <w:szCs w:val="20"/>
              </w:rPr>
            </w:pPr>
            <w:r>
              <w:rPr>
                <w:sz w:val="20"/>
                <w:szCs w:val="20"/>
              </w:rPr>
              <w:t>Increase in investments in and advances to real estate joint ventures</w:t>
            </w:r>
          </w:p>
        </w:tc>
        <w:tc>
          <w:tcPr>
            <w:tcW w:w="50" w:type="pct"/>
            <w:shd w:val="clear" w:color="auto" w:fill="FFFFFF"/>
            <w:vAlign w:val="bottom"/>
            <w:hideMark/>
          </w:tcPr>
          <w:p w14:paraId="06C3CA2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2F8620"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5A393D6F"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0F6B3E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61547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F1B94F" w14:textId="77777777" w:rsidR="00000000" w:rsidRDefault="00527094">
            <w:pPr>
              <w:rPr>
                <w:rFonts w:eastAsia="Times New Roman"/>
                <w:sz w:val="20"/>
                <w:szCs w:val="20"/>
              </w:rPr>
            </w:pPr>
            <w:r>
              <w:rPr>
                <w:rFonts w:eastAsia="Times New Roman"/>
                <w:sz w:val="20"/>
                <w:szCs w:val="20"/>
              </w:rPr>
              <w:t>$</w:t>
            </w:r>
          </w:p>
        </w:tc>
        <w:tc>
          <w:tcPr>
            <w:tcW w:w="650" w:type="pct"/>
            <w:shd w:val="clear" w:color="auto" w:fill="FFFFFF"/>
            <w:vAlign w:val="bottom"/>
            <w:hideMark/>
          </w:tcPr>
          <w:p w14:paraId="0F5EFD85" w14:textId="77777777" w:rsidR="00000000" w:rsidRDefault="00527094">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14:paraId="4A30877F" w14:textId="77777777" w:rsidR="00000000" w:rsidRDefault="00527094">
            <w:pPr>
              <w:rPr>
                <w:rFonts w:eastAsia="Times New Roman"/>
                <w:sz w:val="20"/>
                <w:szCs w:val="20"/>
              </w:rPr>
            </w:pPr>
            <w:r>
              <w:rPr>
                <w:rFonts w:eastAsia="Times New Roman"/>
                <w:sz w:val="20"/>
                <w:szCs w:val="20"/>
              </w:rPr>
              <w:t> </w:t>
            </w:r>
          </w:p>
        </w:tc>
      </w:tr>
      <w:tr w:rsidR="00000000" w14:paraId="2576B3A0" w14:textId="77777777">
        <w:trPr>
          <w:tblCellSpacing w:w="0" w:type="dxa"/>
        </w:trPr>
        <w:tc>
          <w:tcPr>
            <w:tcW w:w="0" w:type="auto"/>
            <w:shd w:val="clear" w:color="auto" w:fill="CCEEFF"/>
            <w:vAlign w:val="bottom"/>
            <w:hideMark/>
          </w:tcPr>
          <w:p w14:paraId="7CC43211" w14:textId="77777777" w:rsidR="00000000" w:rsidRDefault="00527094">
            <w:pPr>
              <w:pStyle w:val="a3"/>
              <w:spacing w:before="0" w:beforeAutospacing="0" w:after="0" w:afterAutospacing="0"/>
              <w:ind w:left="360" w:hanging="180"/>
              <w:rPr>
                <w:sz w:val="20"/>
                <w:szCs w:val="20"/>
              </w:rPr>
            </w:pPr>
            <w:r>
              <w:rPr>
                <w:sz w:val="20"/>
                <w:szCs w:val="20"/>
              </w:rPr>
              <w:t>Decrease in mortgages and construction loan payable, other liabilities and noncontrolling interests</w:t>
            </w:r>
          </w:p>
        </w:tc>
        <w:tc>
          <w:tcPr>
            <w:tcW w:w="50" w:type="pct"/>
            <w:shd w:val="clear" w:color="auto" w:fill="CCEEFF"/>
            <w:vAlign w:val="bottom"/>
            <w:hideMark/>
          </w:tcPr>
          <w:p w14:paraId="0DC1C0A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084731"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21A0070F"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33B7F4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8E7C7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48D6FD" w14:textId="77777777" w:rsidR="00000000" w:rsidRDefault="00527094">
            <w:pPr>
              <w:rPr>
                <w:rFonts w:eastAsia="Times New Roman"/>
                <w:sz w:val="20"/>
                <w:szCs w:val="20"/>
              </w:rPr>
            </w:pPr>
            <w:r>
              <w:rPr>
                <w:rFonts w:eastAsia="Times New Roman"/>
                <w:sz w:val="20"/>
                <w:szCs w:val="20"/>
              </w:rPr>
              <w:t>$</w:t>
            </w:r>
          </w:p>
        </w:tc>
        <w:tc>
          <w:tcPr>
            <w:tcW w:w="650" w:type="pct"/>
            <w:shd w:val="clear" w:color="auto" w:fill="CCEEFF"/>
            <w:vAlign w:val="bottom"/>
            <w:hideMark/>
          </w:tcPr>
          <w:p w14:paraId="526C7CF4" w14:textId="77777777" w:rsidR="00000000" w:rsidRDefault="00527094">
            <w:pPr>
              <w:jc w:val="right"/>
              <w:rPr>
                <w:rFonts w:eastAsia="Times New Roman"/>
                <w:sz w:val="20"/>
                <w:szCs w:val="20"/>
              </w:rPr>
            </w:pPr>
            <w:r>
              <w:rPr>
                <w:rFonts w:eastAsia="Times New Roman"/>
                <w:sz w:val="20"/>
                <w:szCs w:val="20"/>
              </w:rPr>
              <w:t>248,274</w:t>
            </w:r>
          </w:p>
        </w:tc>
        <w:tc>
          <w:tcPr>
            <w:tcW w:w="50" w:type="pct"/>
            <w:shd w:val="clear" w:color="auto" w:fill="CCEEFF"/>
            <w:vAlign w:val="bottom"/>
            <w:hideMark/>
          </w:tcPr>
          <w:p w14:paraId="27027CB3" w14:textId="77777777" w:rsidR="00000000" w:rsidRDefault="00527094">
            <w:pPr>
              <w:rPr>
                <w:rFonts w:eastAsia="Times New Roman"/>
                <w:sz w:val="20"/>
                <w:szCs w:val="20"/>
              </w:rPr>
            </w:pPr>
            <w:r>
              <w:rPr>
                <w:rFonts w:eastAsia="Times New Roman"/>
                <w:sz w:val="20"/>
                <w:szCs w:val="20"/>
              </w:rPr>
              <w:t> </w:t>
            </w:r>
          </w:p>
        </w:tc>
      </w:tr>
    </w:tbl>
    <w:p w14:paraId="55D5B75F" w14:textId="77777777" w:rsidR="00000000" w:rsidRDefault="00527094">
      <w:pPr>
        <w:pStyle w:val="a3"/>
        <w:spacing w:before="0" w:beforeAutospacing="0" w:after="0" w:afterAutospacing="0"/>
        <w:jc w:val="both"/>
        <w:rPr>
          <w:sz w:val="20"/>
          <w:szCs w:val="20"/>
        </w:rPr>
      </w:pPr>
      <w:r>
        <w:rPr>
          <w:sz w:val="20"/>
          <w:szCs w:val="20"/>
        </w:rPr>
        <w:t> </w:t>
      </w:r>
    </w:p>
    <w:p w14:paraId="02E8A4D6" w14:textId="77777777" w:rsidR="00000000" w:rsidRDefault="00527094">
      <w:pPr>
        <w:jc w:val="center"/>
        <w:rPr>
          <w:rFonts w:eastAsia="Times New Roman"/>
          <w:sz w:val="20"/>
          <w:szCs w:val="20"/>
        </w:rPr>
      </w:pPr>
      <w:r>
        <w:rPr>
          <w:rFonts w:eastAsia="Times New Roman"/>
          <w:sz w:val="20"/>
          <w:szCs w:val="20"/>
        </w:rPr>
        <w:t xml:space="preserve">22 </w:t>
      </w:r>
    </w:p>
    <w:p w14:paraId="320859BE" w14:textId="77777777" w:rsidR="00000000" w:rsidRDefault="00527094">
      <w:pPr>
        <w:rPr>
          <w:rFonts w:eastAsia="Times New Roman"/>
          <w:sz w:val="20"/>
          <w:szCs w:val="20"/>
        </w:rPr>
      </w:pPr>
      <w:r>
        <w:rPr>
          <w:rFonts w:eastAsia="Times New Roman"/>
          <w:sz w:val="20"/>
          <w:szCs w:val="20"/>
        </w:rPr>
        <w:pict w14:anchorId="7977CC0E">
          <v:rect id="_x0000_i1050" style="width:0;height:1.5pt" o:hralign="center" o:hrstd="t" o:hr="t" fillcolor="#a0a0a0" stroked="f"/>
        </w:pict>
      </w:r>
    </w:p>
    <w:p w14:paraId="0567AA1E" w14:textId="77777777" w:rsidR="00000000" w:rsidRDefault="00527094">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4F5EE14" w14:textId="77777777" w:rsidR="00000000" w:rsidRDefault="00527094">
      <w:pPr>
        <w:pStyle w:val="a3"/>
        <w:spacing w:before="0" w:beforeAutospacing="0" w:after="0" w:afterAutospacing="0"/>
        <w:rPr>
          <w:sz w:val="20"/>
          <w:szCs w:val="20"/>
        </w:rPr>
      </w:pPr>
      <w:r>
        <w:rPr>
          <w:sz w:val="20"/>
          <w:szCs w:val="20"/>
        </w:rPr>
        <w:t> </w:t>
      </w:r>
    </w:p>
    <w:p w14:paraId="19BB636A" w14:textId="77777777" w:rsidR="00000000" w:rsidRDefault="00527094">
      <w:pPr>
        <w:divId w:val="868838182"/>
        <w:rPr>
          <w:rFonts w:eastAsia="Times New Roman"/>
          <w:sz w:val="20"/>
          <w:szCs w:val="20"/>
        </w:rPr>
      </w:pPr>
      <w:r>
        <w:rPr>
          <w:rFonts w:eastAsia="Times New Roman"/>
          <w:sz w:val="20"/>
          <w:szCs w:val="20"/>
        </w:rPr>
        <w:t xml:space="preserve">  </w:t>
      </w:r>
    </w:p>
    <w:p w14:paraId="44E18D95" w14:textId="77777777" w:rsidR="00000000" w:rsidRDefault="00527094">
      <w:pPr>
        <w:pStyle w:val="a3"/>
        <w:spacing w:before="0" w:beforeAutospacing="0" w:after="0" w:afterAutospacing="0"/>
        <w:rPr>
          <w:sz w:val="20"/>
          <w:szCs w:val="20"/>
        </w:rPr>
      </w:pPr>
      <w:r>
        <w:rPr>
          <w:b/>
          <w:bCs/>
          <w:sz w:val="20"/>
          <w:szCs w:val="20"/>
        </w:rPr>
        <w:t>Item 2. Management's Discussion and Analysis of Financial Condition and Results of Operations</w:t>
      </w:r>
    </w:p>
    <w:p w14:paraId="1C017030" w14:textId="77777777" w:rsidR="00000000" w:rsidRDefault="00527094">
      <w:pPr>
        <w:pStyle w:val="a3"/>
        <w:spacing w:before="0" w:beforeAutospacing="0" w:after="0" w:afterAutospacing="0"/>
        <w:jc w:val="both"/>
        <w:rPr>
          <w:sz w:val="20"/>
          <w:szCs w:val="20"/>
        </w:rPr>
      </w:pPr>
      <w:r>
        <w:rPr>
          <w:sz w:val="20"/>
          <w:szCs w:val="20"/>
        </w:rPr>
        <w:t> </w:t>
      </w:r>
    </w:p>
    <w:p w14:paraId="7E3999DB" w14:textId="77777777" w:rsidR="00000000" w:rsidRDefault="00527094">
      <w:pPr>
        <w:pStyle w:val="a3"/>
        <w:spacing w:before="0" w:beforeAutospacing="0" w:after="0" w:afterAutospacing="0"/>
        <w:rPr>
          <w:sz w:val="20"/>
          <w:szCs w:val="20"/>
        </w:rPr>
      </w:pPr>
      <w:r>
        <w:rPr>
          <w:sz w:val="20"/>
          <w:szCs w:val="20"/>
          <w:u w:val="single"/>
        </w:rPr>
        <w:t>Forward-Looking Statements</w:t>
      </w:r>
    </w:p>
    <w:p w14:paraId="02D05E26" w14:textId="77777777" w:rsidR="00000000" w:rsidRDefault="00527094">
      <w:pPr>
        <w:pStyle w:val="a3"/>
        <w:spacing w:before="0" w:beforeAutospacing="0" w:after="0" w:afterAutospacing="0"/>
        <w:jc w:val="both"/>
        <w:rPr>
          <w:sz w:val="20"/>
          <w:szCs w:val="20"/>
        </w:rPr>
      </w:pPr>
      <w:r>
        <w:rPr>
          <w:sz w:val="20"/>
          <w:szCs w:val="20"/>
        </w:rPr>
        <w:t> </w:t>
      </w:r>
    </w:p>
    <w:p w14:paraId="0EB88763" w14:textId="77777777" w:rsidR="00000000" w:rsidRDefault="00527094">
      <w:pPr>
        <w:pStyle w:val="a3"/>
        <w:spacing w:before="0" w:beforeAutospacing="0" w:after="0" w:afterAutospacing="0"/>
        <w:ind w:firstLine="360"/>
        <w:jc w:val="both"/>
        <w:rPr>
          <w:sz w:val="20"/>
          <w:szCs w:val="20"/>
        </w:rPr>
      </w:pPr>
      <w:r>
        <w:rPr>
          <w:sz w:val="20"/>
          <w:szCs w:val="20"/>
        </w:rPr>
        <w:t>This Quarterly Report</w:t>
      </w:r>
      <w:r>
        <w:rPr>
          <w:sz w:val="20"/>
          <w:szCs w:val="20"/>
        </w:rPr>
        <w:t xml:space="preserve"> on Form 10-Q, together with other statements and information publicly disseminated by Kimco Realty Corporation (the “Company”) contains certain forward-looking statements within the meaning of Section 27A of the Securities Act of 1933, as amended, and Sec</w:t>
      </w:r>
      <w:r>
        <w:rPr>
          <w:sz w:val="20"/>
          <w:szCs w:val="20"/>
        </w:rPr>
        <w:t>tion 21E of the Securities Exchange Act of 1934, as amended. The Company intends such forward-looking statements to be covered by the safe harbor provisions for forward-looking statements contained in the Private Securities Litigation Reform Act of 1995 an</w:t>
      </w:r>
      <w:r>
        <w:rPr>
          <w:sz w:val="20"/>
          <w:szCs w:val="20"/>
        </w:rPr>
        <w:t xml:space="preserve">d includes this statement for purposes of complying with the safe harbor provisions. Forward-looking statements, which are based on certain assumptions and describe the Company’s future plans, strategies and expectations, are generally identifiable by use </w:t>
      </w:r>
      <w:r>
        <w:rPr>
          <w:sz w:val="20"/>
          <w:szCs w:val="20"/>
        </w:rPr>
        <w:t>of the words “believe,” “expect,” “intend,” “anticipate,” “estimate,” “project,” “will,” “target,” “forecast” or similar expressions. You should not rely on forward-looking statements since they involve known and unknown risks, uncertainties and other fact</w:t>
      </w:r>
      <w:r>
        <w:rPr>
          <w:sz w:val="20"/>
          <w:szCs w:val="20"/>
        </w:rPr>
        <w:t>ors which are, in some cases, beyond the Company’s control and could materially affect actual results, performances or achievements. Factors which may cause actual results to differ materially from current expectations include, but are not limited to (i) g</w:t>
      </w:r>
      <w:r>
        <w:rPr>
          <w:sz w:val="20"/>
          <w:szCs w:val="20"/>
        </w:rPr>
        <w:t>eneral adverse economic and local real estate conditions, (ii) the inability of major tenants to continue paying their rent obligations due to bankruptcy, insolvency or a general downturn in their business, (iii) financing risks, such as the inability to o</w:t>
      </w:r>
      <w:r>
        <w:rPr>
          <w:sz w:val="20"/>
          <w:szCs w:val="20"/>
        </w:rPr>
        <w:t xml:space="preserve">btain equity, debt or other sources of financing or refinancing on favorable terms to the Company, (iv) the Company’s ability to raise capital by selling its assets, (v) changes in governmental laws and regulations and management’s ability to estimate the </w:t>
      </w:r>
      <w:r>
        <w:rPr>
          <w:sz w:val="20"/>
          <w:szCs w:val="20"/>
        </w:rPr>
        <w:t>impact of such changes, (vi) the level and volatility of interest rates and managements’ ability to estimate the impact thereof, (vii) risks related to the Company’s international operations, (viii) the availability of suitable acquisition, disposition, de</w:t>
      </w:r>
      <w:r>
        <w:rPr>
          <w:sz w:val="20"/>
          <w:szCs w:val="20"/>
        </w:rPr>
        <w:t>velopment and redevelopment opportunities, and risks related to acquisitions not performing in accordance with our expectations, (ix) valuation and risks related to the Company’s joint venture and preferred equity investments, (x) valuation of marketable s</w:t>
      </w:r>
      <w:r>
        <w:rPr>
          <w:sz w:val="20"/>
          <w:szCs w:val="20"/>
        </w:rPr>
        <w:t>ecurities and other investments, (xi) increases in operating costs, (xii) changes in the dividend policy for the Company’s common and preferred stock and the Company’s ability to pay dividends at current levels, (xiii) the reduction in the Company’s income</w:t>
      </w:r>
      <w:r>
        <w:rPr>
          <w:sz w:val="20"/>
          <w:szCs w:val="20"/>
        </w:rPr>
        <w:t xml:space="preserve"> in the event of multiple lease terminations by tenants or a failure by multiple tenants to occupy their premises in a shopping center, (xiv) impairment charges, (xv) unanticipated changes in the Company’s intention or ability to prepay certain debt prior </w:t>
      </w:r>
      <w:r>
        <w:rPr>
          <w:sz w:val="20"/>
          <w:szCs w:val="20"/>
        </w:rPr>
        <w:t>to maturity and/or hold certain securities until maturity and (xvi) the risks and uncertainties identified under Item 1A, “Risk Factors” in our Annual Report on Form 10-K for the year-ended December 31, 2018. Accordingly, there is no assurance that the Com</w:t>
      </w:r>
      <w:r>
        <w:rPr>
          <w:sz w:val="20"/>
          <w:szCs w:val="20"/>
        </w:rPr>
        <w:t>pany’s expectations will be realized. The Company disclaims any intention or obligation to update the forward-looking statements, whether as a result of new information, future events or otherwise. You are advised to refer to any further disclosures the Co</w:t>
      </w:r>
      <w:r>
        <w:rPr>
          <w:sz w:val="20"/>
          <w:szCs w:val="20"/>
        </w:rPr>
        <w:t>mpany makes or related subjects in the Company’s Current Reports on Form 8-K that the Company files with the Securities and Exchange Commission (“SEC”).</w:t>
      </w:r>
    </w:p>
    <w:p w14:paraId="582EA18E" w14:textId="77777777" w:rsidR="00000000" w:rsidRDefault="00527094">
      <w:pPr>
        <w:pStyle w:val="a3"/>
        <w:spacing w:before="0" w:beforeAutospacing="0" w:after="0" w:afterAutospacing="0"/>
        <w:jc w:val="both"/>
        <w:rPr>
          <w:sz w:val="20"/>
          <w:szCs w:val="20"/>
        </w:rPr>
      </w:pPr>
      <w:r>
        <w:rPr>
          <w:sz w:val="20"/>
          <w:szCs w:val="20"/>
        </w:rPr>
        <w:t> </w:t>
      </w:r>
    </w:p>
    <w:p w14:paraId="0FF8A519" w14:textId="77777777" w:rsidR="00000000" w:rsidRDefault="00527094">
      <w:pPr>
        <w:pStyle w:val="a3"/>
        <w:spacing w:before="0" w:beforeAutospacing="0" w:after="0" w:afterAutospacing="0"/>
        <w:ind w:firstLine="360"/>
        <w:jc w:val="both"/>
        <w:rPr>
          <w:sz w:val="20"/>
          <w:szCs w:val="20"/>
        </w:rPr>
      </w:pPr>
      <w:r>
        <w:rPr>
          <w:sz w:val="20"/>
          <w:szCs w:val="20"/>
        </w:rPr>
        <w:t>The following discussion should be read in conjunction with the accompanying Condensed Consolidated F</w:t>
      </w:r>
      <w:r>
        <w:rPr>
          <w:sz w:val="20"/>
          <w:szCs w:val="20"/>
        </w:rPr>
        <w:t>inancial Statements and Notes thereto.  These unaudited financial statements include all adjustments which are, in the opinion of management, necessary to reflect a fair statement of the results for the interim periods presented, and all such adjustments a</w:t>
      </w:r>
      <w:r>
        <w:rPr>
          <w:sz w:val="20"/>
          <w:szCs w:val="20"/>
        </w:rPr>
        <w:t>re of a normal recurring nature.</w:t>
      </w:r>
    </w:p>
    <w:p w14:paraId="50E261C2" w14:textId="77777777" w:rsidR="00000000" w:rsidRDefault="00527094">
      <w:pPr>
        <w:pStyle w:val="a3"/>
        <w:spacing w:before="0" w:beforeAutospacing="0" w:after="0" w:afterAutospacing="0"/>
        <w:jc w:val="both"/>
        <w:rPr>
          <w:sz w:val="20"/>
          <w:szCs w:val="20"/>
        </w:rPr>
      </w:pPr>
      <w:r>
        <w:rPr>
          <w:sz w:val="20"/>
          <w:szCs w:val="20"/>
        </w:rPr>
        <w:t> </w:t>
      </w:r>
    </w:p>
    <w:p w14:paraId="17CD39BA" w14:textId="77777777" w:rsidR="00000000" w:rsidRDefault="00527094">
      <w:pPr>
        <w:pStyle w:val="a3"/>
        <w:spacing w:before="0" w:beforeAutospacing="0" w:after="0" w:afterAutospacing="0"/>
        <w:jc w:val="both"/>
        <w:rPr>
          <w:sz w:val="20"/>
          <w:szCs w:val="20"/>
        </w:rPr>
      </w:pPr>
      <w:r>
        <w:rPr>
          <w:sz w:val="20"/>
          <w:szCs w:val="20"/>
          <w:u w:val="single"/>
        </w:rPr>
        <w:t>Executive Overview</w:t>
      </w:r>
    </w:p>
    <w:p w14:paraId="372C5DC7" w14:textId="77777777" w:rsidR="00000000" w:rsidRDefault="00527094">
      <w:pPr>
        <w:pStyle w:val="a3"/>
        <w:spacing w:before="0" w:beforeAutospacing="0" w:after="0" w:afterAutospacing="0"/>
        <w:jc w:val="both"/>
        <w:rPr>
          <w:sz w:val="20"/>
          <w:szCs w:val="20"/>
        </w:rPr>
      </w:pPr>
      <w:r>
        <w:rPr>
          <w:sz w:val="20"/>
          <w:szCs w:val="20"/>
        </w:rPr>
        <w:t> </w:t>
      </w:r>
    </w:p>
    <w:p w14:paraId="3C166087" w14:textId="77777777" w:rsidR="00000000" w:rsidRDefault="00527094">
      <w:pPr>
        <w:pStyle w:val="a3"/>
        <w:spacing w:before="0" w:beforeAutospacing="0" w:after="0" w:afterAutospacing="0"/>
        <w:ind w:firstLine="360"/>
        <w:jc w:val="both"/>
        <w:rPr>
          <w:sz w:val="20"/>
          <w:szCs w:val="20"/>
        </w:rPr>
      </w:pPr>
      <w:r>
        <w:rPr>
          <w:sz w:val="20"/>
          <w:szCs w:val="20"/>
        </w:rPr>
        <w:t>Kimco Realty Corporation, a Maryland corporation, is one of North America’s largest publicly traded owners and operators of open-air shopping centers.   The terms “Kimco,” the “Company,” “we,” “our” a</w:t>
      </w:r>
      <w:r>
        <w:rPr>
          <w:sz w:val="20"/>
          <w:szCs w:val="20"/>
        </w:rPr>
        <w:t>nd “us” each refer to Kimco Realty Corporation and our subsidiaries, unless the context indicates otherwise.  The Company’s mission is to create destinations for everyday living that inspire a sense of community and deliver value to our many stakeholders.</w:t>
      </w:r>
    </w:p>
    <w:p w14:paraId="4181EE97" w14:textId="77777777" w:rsidR="00000000" w:rsidRDefault="00527094">
      <w:pPr>
        <w:pStyle w:val="a3"/>
        <w:spacing w:before="0" w:beforeAutospacing="0" w:after="0" w:afterAutospacing="0"/>
        <w:ind w:firstLine="360"/>
        <w:jc w:val="both"/>
        <w:rPr>
          <w:sz w:val="20"/>
          <w:szCs w:val="20"/>
        </w:rPr>
      </w:pPr>
      <w:r>
        <w:rPr>
          <w:sz w:val="20"/>
          <w:szCs w:val="20"/>
        </w:rPr>
        <w:t> </w:t>
      </w:r>
    </w:p>
    <w:p w14:paraId="30AADEA3" w14:textId="77777777" w:rsidR="00000000" w:rsidRDefault="00527094">
      <w:pPr>
        <w:pStyle w:val="a3"/>
        <w:spacing w:before="0" w:beforeAutospacing="0" w:after="0" w:afterAutospacing="0"/>
        <w:ind w:firstLine="360"/>
        <w:jc w:val="both"/>
        <w:rPr>
          <w:sz w:val="20"/>
          <w:szCs w:val="20"/>
        </w:rPr>
      </w:pPr>
      <w:r>
        <w:rPr>
          <w:sz w:val="20"/>
          <w:szCs w:val="20"/>
        </w:rPr>
        <w:t>The Company is a self-administered real estate investment trust (“REIT”) and has owned and operated open-air shopping centers for over 60 years.  The Company has not engaged, nor does it expect to retain, any REIT advisors in connection with the operatio</w:t>
      </w:r>
      <w:r>
        <w:rPr>
          <w:sz w:val="20"/>
          <w:szCs w:val="20"/>
        </w:rPr>
        <w:t xml:space="preserve">n of its properties. As of June 30, 2019, the Company had interests in 428 shopping center properties (the “Combined Shopping Center Portfolio”), aggregating 74.6 million square feet of gross leasable area (“GLA”), located in 27 states and Puerto Rico. In </w:t>
      </w:r>
      <w:r>
        <w:rPr>
          <w:sz w:val="20"/>
          <w:szCs w:val="20"/>
        </w:rPr>
        <w:t>addition, the Company had 251 other property interests, primarily through the Company’s preferred equity investments and other real estate investments, totaling 4.3 million square feet of GLA. The Company’s ownership interests in real estate consist of its</w:t>
      </w:r>
      <w:r>
        <w:rPr>
          <w:sz w:val="20"/>
          <w:szCs w:val="20"/>
        </w:rPr>
        <w:t xml:space="preserve"> consolidated portfolio and portfolios where the Company owns an economic interest, such as properties in the Company’s investment real estate management programs, where the Company partners with institutional investors and also retains management.  </w:t>
      </w:r>
    </w:p>
    <w:p w14:paraId="262BED81" w14:textId="77777777" w:rsidR="00000000" w:rsidRDefault="00527094">
      <w:pPr>
        <w:pStyle w:val="a3"/>
        <w:spacing w:before="0" w:beforeAutospacing="0" w:after="0" w:afterAutospacing="0"/>
        <w:ind w:firstLine="360"/>
        <w:rPr>
          <w:sz w:val="20"/>
          <w:szCs w:val="20"/>
        </w:rPr>
      </w:pPr>
      <w:r>
        <w:rPr>
          <w:sz w:val="20"/>
          <w:szCs w:val="20"/>
        </w:rPr>
        <w:t> </w:t>
      </w:r>
    </w:p>
    <w:p w14:paraId="7E4342FA" w14:textId="77777777" w:rsidR="00000000" w:rsidRDefault="00527094">
      <w:pPr>
        <w:pStyle w:val="a3"/>
        <w:spacing w:before="0" w:beforeAutospacing="0" w:after="0" w:afterAutospacing="0"/>
        <w:ind w:firstLine="360"/>
        <w:jc w:val="both"/>
        <w:rPr>
          <w:sz w:val="20"/>
          <w:szCs w:val="20"/>
        </w:rPr>
      </w:pPr>
      <w:r>
        <w:rPr>
          <w:sz w:val="20"/>
          <w:szCs w:val="20"/>
        </w:rPr>
        <w:t>The</w:t>
      </w:r>
      <w:r>
        <w:rPr>
          <w:sz w:val="20"/>
          <w:szCs w:val="20"/>
        </w:rPr>
        <w:t xml:space="preserve"> Company’s operating strategies are to (i) own and operate its shopping center properties at their highest potential through maximizing and maintaining rental income and occupancy levels, (ii) attract local area customers to its shopping centers, which off</w:t>
      </w:r>
      <w:r>
        <w:rPr>
          <w:sz w:val="20"/>
          <w:szCs w:val="20"/>
        </w:rPr>
        <w:t>er off-price merchandise and day-to-day necessities rather than high-priced luxury items, and (iii) maintain a strong balance sheet.</w:t>
      </w:r>
    </w:p>
    <w:p w14:paraId="756D7E35" w14:textId="77777777" w:rsidR="00000000" w:rsidRDefault="00527094">
      <w:pPr>
        <w:pStyle w:val="a3"/>
        <w:spacing w:before="0" w:beforeAutospacing="0" w:after="0" w:afterAutospacing="0"/>
        <w:ind w:firstLine="360"/>
        <w:jc w:val="both"/>
        <w:rPr>
          <w:sz w:val="20"/>
          <w:szCs w:val="20"/>
        </w:rPr>
      </w:pPr>
      <w:r>
        <w:rPr>
          <w:sz w:val="20"/>
          <w:szCs w:val="20"/>
        </w:rPr>
        <w:t> </w:t>
      </w:r>
    </w:p>
    <w:p w14:paraId="048FAE2B" w14:textId="77777777" w:rsidR="00000000" w:rsidRDefault="00527094">
      <w:pPr>
        <w:pStyle w:val="a3"/>
        <w:spacing w:before="0" w:beforeAutospacing="0" w:after="0" w:afterAutospacing="0"/>
        <w:ind w:firstLine="360"/>
        <w:jc w:val="both"/>
        <w:rPr>
          <w:sz w:val="20"/>
          <w:szCs w:val="20"/>
        </w:rPr>
      </w:pPr>
      <w:r>
        <w:rPr>
          <w:sz w:val="20"/>
          <w:szCs w:val="20"/>
        </w:rPr>
        <w:t xml:space="preserve">The Company’s investment strategy is to invest capital into high quality assets focusing on major metropolitan-area U.S. </w:t>
      </w:r>
      <w:r>
        <w:rPr>
          <w:sz w:val="20"/>
          <w:szCs w:val="20"/>
        </w:rPr>
        <w:t>markets, predominantly on the East and West coasts and in the Sunbelt region, which are supported by strong demographics, significant projected population growth, and where the Company perceives significant barriers to entry while disposing of lesser quali</w:t>
      </w:r>
      <w:r>
        <w:rPr>
          <w:sz w:val="20"/>
          <w:szCs w:val="20"/>
        </w:rPr>
        <w:t>ty assets in less desirable locations. Through this strategy, the Company has steadily progressed in its transformation of its portfolio and will continue these efforts as deemed necessary to maximize the quality and growth of its portfolio. The properties</w:t>
      </w:r>
      <w:r>
        <w:rPr>
          <w:sz w:val="20"/>
          <w:szCs w:val="20"/>
        </w:rPr>
        <w:t xml:space="preserve"> acquired are primarily located in major metropolitan areas allowing tenants to generate higher foot traffic resulting in higher sales volume. The Company believes that this will enable it to maintain higher occupancy levels, rental rates and rental growth</w:t>
      </w:r>
      <w:r>
        <w:rPr>
          <w:sz w:val="20"/>
          <w:szCs w:val="20"/>
        </w:rPr>
        <w:t>. In addition, the Company, on a selective basis, has embarked on several ground-up development and re-development projects which include residential and mixed-use components.</w:t>
      </w:r>
    </w:p>
    <w:p w14:paraId="1719654A" w14:textId="77777777" w:rsidR="00000000" w:rsidRDefault="00527094">
      <w:pPr>
        <w:pStyle w:val="a3"/>
        <w:spacing w:before="0" w:beforeAutospacing="0" w:after="0" w:afterAutospacing="0"/>
        <w:ind w:firstLine="360"/>
        <w:jc w:val="both"/>
        <w:rPr>
          <w:sz w:val="20"/>
          <w:szCs w:val="20"/>
        </w:rPr>
      </w:pPr>
      <w:r>
        <w:rPr>
          <w:sz w:val="20"/>
          <w:szCs w:val="20"/>
        </w:rPr>
        <w:t> </w:t>
      </w:r>
    </w:p>
    <w:p w14:paraId="444F8E2A" w14:textId="77777777" w:rsidR="00000000" w:rsidRDefault="00527094">
      <w:pPr>
        <w:jc w:val="center"/>
        <w:divId w:val="885481794"/>
        <w:rPr>
          <w:rFonts w:eastAsia="Times New Roman"/>
          <w:sz w:val="20"/>
          <w:szCs w:val="20"/>
        </w:rPr>
      </w:pPr>
      <w:r>
        <w:rPr>
          <w:rFonts w:eastAsia="Times New Roman"/>
          <w:sz w:val="20"/>
          <w:szCs w:val="20"/>
        </w:rPr>
        <w:t xml:space="preserve">23 </w:t>
      </w:r>
    </w:p>
    <w:p w14:paraId="3B0DC9A2" w14:textId="77777777" w:rsidR="00000000" w:rsidRDefault="00527094">
      <w:pPr>
        <w:divId w:val="885481794"/>
        <w:rPr>
          <w:rFonts w:eastAsia="Times New Roman"/>
          <w:sz w:val="20"/>
          <w:szCs w:val="20"/>
        </w:rPr>
      </w:pPr>
      <w:r>
        <w:rPr>
          <w:rFonts w:eastAsia="Times New Roman"/>
          <w:sz w:val="20"/>
          <w:szCs w:val="20"/>
        </w:rPr>
        <w:pict w14:anchorId="03DC26E8">
          <v:rect id="_x0000_i1051" style="width:0;height:1.5pt" o:hralign="center" o:hrstd="t" o:hr="t" fillcolor="#a0a0a0" stroked="f"/>
        </w:pict>
      </w:r>
    </w:p>
    <w:p w14:paraId="1AFD26AB" w14:textId="77777777" w:rsidR="00000000" w:rsidRDefault="00527094">
      <w:pPr>
        <w:divId w:val="8854817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CC1274A" w14:textId="77777777" w:rsidR="00000000" w:rsidRDefault="00527094">
      <w:pPr>
        <w:pStyle w:val="a3"/>
        <w:spacing w:before="0" w:beforeAutospacing="0" w:after="0" w:afterAutospacing="0"/>
        <w:rPr>
          <w:sz w:val="20"/>
          <w:szCs w:val="20"/>
        </w:rPr>
      </w:pPr>
      <w:r>
        <w:rPr>
          <w:sz w:val="20"/>
          <w:szCs w:val="20"/>
        </w:rPr>
        <w:t> </w:t>
      </w:r>
    </w:p>
    <w:p w14:paraId="190D326E" w14:textId="77777777" w:rsidR="00000000" w:rsidRDefault="00527094">
      <w:pPr>
        <w:pStyle w:val="a3"/>
        <w:spacing w:before="0" w:beforeAutospacing="0" w:after="0" w:afterAutospacing="0"/>
        <w:ind w:firstLine="360"/>
        <w:jc w:val="both"/>
        <w:rPr>
          <w:sz w:val="20"/>
          <w:szCs w:val="20"/>
        </w:rPr>
      </w:pPr>
      <w:r>
        <w:rPr>
          <w:sz w:val="20"/>
          <w:szCs w:val="20"/>
        </w:rPr>
        <w:t>The Company’s investment strategy also includes the retail re-tenanting, renovation and expansion of its existing centers and acquired centers, while also pursuing redevelop</w:t>
      </w:r>
      <w:r>
        <w:rPr>
          <w:sz w:val="20"/>
          <w:szCs w:val="20"/>
        </w:rPr>
        <w:t xml:space="preserve">ment opportunities to increase overall value within its portfolio. The Company may selectively acquire established income-producing real estate properties and properties requiring significant re-tenanting and redevelopment, primarily in geographic regions </w:t>
      </w:r>
      <w:r>
        <w:rPr>
          <w:sz w:val="20"/>
          <w:szCs w:val="20"/>
        </w:rPr>
        <w:t xml:space="preserve">in which the Company presently operates. Additionally, the Company may selectively acquire land parcels in its key markets for real estate development projects for long-term investment. The Company may consider investments in other real estate sectors and </w:t>
      </w:r>
      <w:r>
        <w:rPr>
          <w:sz w:val="20"/>
          <w:szCs w:val="20"/>
        </w:rPr>
        <w:t>in geographic markets where it does not presently operate should suitable opportunities arise. The Company also continues to simplify its business by reducing the number of joint venture investments.</w:t>
      </w:r>
    </w:p>
    <w:p w14:paraId="2A5452D8" w14:textId="77777777" w:rsidR="00000000" w:rsidRDefault="00527094">
      <w:pPr>
        <w:pStyle w:val="a3"/>
        <w:spacing w:before="0" w:beforeAutospacing="0" w:after="0" w:afterAutospacing="0"/>
        <w:ind w:firstLine="360"/>
        <w:jc w:val="both"/>
        <w:rPr>
          <w:sz w:val="20"/>
          <w:szCs w:val="20"/>
        </w:rPr>
      </w:pPr>
      <w:r>
        <w:rPr>
          <w:sz w:val="20"/>
          <w:szCs w:val="20"/>
        </w:rPr>
        <w:t> </w:t>
      </w:r>
    </w:p>
    <w:p w14:paraId="7FFAFABD" w14:textId="77777777" w:rsidR="00000000" w:rsidRDefault="00527094">
      <w:pPr>
        <w:pStyle w:val="a3"/>
        <w:spacing w:before="0" w:beforeAutospacing="0" w:after="0" w:afterAutospacing="0"/>
        <w:ind w:firstLine="360"/>
        <w:jc w:val="both"/>
        <w:rPr>
          <w:sz w:val="20"/>
          <w:szCs w:val="20"/>
        </w:rPr>
      </w:pPr>
      <w:r>
        <w:rPr>
          <w:sz w:val="20"/>
          <w:szCs w:val="20"/>
        </w:rPr>
        <w:t>As part of the Company’s investment strategy each prop</w:t>
      </w:r>
      <w:r>
        <w:rPr>
          <w:sz w:val="20"/>
          <w:szCs w:val="20"/>
        </w:rPr>
        <w:t xml:space="preserve">erty is evaluated for its highest and best use, which may include residential and mixed-use components. In addition, the Company may consider other opportunistic investments related to retailer controlled real estate such as, repositioning underperforming </w:t>
      </w:r>
      <w:r>
        <w:rPr>
          <w:sz w:val="20"/>
          <w:szCs w:val="20"/>
        </w:rPr>
        <w:t>retail locations, retail real estate financing and bankruptcy transaction support. The Company has an active capital recycling program which provides for the disposition of certain properties. If the estimated fair value for any of these assets is less tha</w:t>
      </w:r>
      <w:r>
        <w:rPr>
          <w:sz w:val="20"/>
          <w:szCs w:val="20"/>
        </w:rPr>
        <w:t>n their net carrying values, the Company would be required to take impairment charges and such amounts could be material.</w:t>
      </w:r>
    </w:p>
    <w:p w14:paraId="5A720F6F" w14:textId="77777777" w:rsidR="00000000" w:rsidRDefault="00527094">
      <w:pPr>
        <w:pStyle w:val="a3"/>
        <w:spacing w:before="0" w:beforeAutospacing="0" w:after="0" w:afterAutospacing="0"/>
        <w:ind w:firstLine="360"/>
        <w:rPr>
          <w:sz w:val="20"/>
          <w:szCs w:val="20"/>
        </w:rPr>
      </w:pPr>
      <w:r>
        <w:rPr>
          <w:sz w:val="20"/>
          <w:szCs w:val="20"/>
        </w:rPr>
        <w:t> </w:t>
      </w:r>
    </w:p>
    <w:p w14:paraId="64C6E904" w14:textId="77777777" w:rsidR="00000000" w:rsidRDefault="00527094">
      <w:pPr>
        <w:pStyle w:val="a3"/>
        <w:spacing w:before="0" w:beforeAutospacing="0" w:after="0" w:afterAutospacing="0"/>
        <w:rPr>
          <w:sz w:val="20"/>
          <w:szCs w:val="20"/>
        </w:rPr>
      </w:pPr>
      <w:r>
        <w:rPr>
          <w:sz w:val="20"/>
          <w:szCs w:val="20"/>
          <w:u w:val="single"/>
        </w:rPr>
        <w:t>Results of Operations</w:t>
      </w:r>
    </w:p>
    <w:p w14:paraId="3DE63A89" w14:textId="77777777" w:rsidR="00000000" w:rsidRDefault="00527094">
      <w:pPr>
        <w:pStyle w:val="a3"/>
        <w:spacing w:before="0" w:beforeAutospacing="0" w:after="0" w:afterAutospacing="0"/>
        <w:jc w:val="both"/>
        <w:rPr>
          <w:sz w:val="20"/>
          <w:szCs w:val="20"/>
        </w:rPr>
      </w:pPr>
      <w:r>
        <w:rPr>
          <w:sz w:val="20"/>
          <w:szCs w:val="20"/>
        </w:rPr>
        <w:t> </w:t>
      </w:r>
    </w:p>
    <w:p w14:paraId="44606BD1" w14:textId="77777777" w:rsidR="00000000" w:rsidRDefault="00527094">
      <w:pPr>
        <w:pStyle w:val="a3"/>
        <w:spacing w:before="0" w:beforeAutospacing="0" w:after="0" w:afterAutospacing="0"/>
        <w:jc w:val="both"/>
        <w:rPr>
          <w:sz w:val="20"/>
          <w:szCs w:val="20"/>
        </w:rPr>
      </w:pPr>
      <w:r>
        <w:rPr>
          <w:i/>
          <w:iCs/>
          <w:sz w:val="20"/>
          <w:szCs w:val="20"/>
        </w:rPr>
        <w:t>Comparison of the three and six months ended June 30, 2019 and 2018</w:t>
      </w:r>
    </w:p>
    <w:p w14:paraId="421506CB" w14:textId="77777777" w:rsidR="00000000" w:rsidRDefault="00527094">
      <w:pPr>
        <w:pStyle w:val="a3"/>
        <w:spacing w:before="0" w:beforeAutospacing="0" w:after="0" w:afterAutospacing="0"/>
        <w:jc w:val="both"/>
        <w:rPr>
          <w:sz w:val="20"/>
          <w:szCs w:val="20"/>
        </w:rPr>
      </w:pPr>
      <w:r>
        <w:rPr>
          <w:sz w:val="20"/>
          <w:szCs w:val="20"/>
        </w:rPr>
        <w:t> </w:t>
      </w:r>
    </w:p>
    <w:p w14:paraId="3BB279BB" w14:textId="77777777" w:rsidR="00000000" w:rsidRDefault="00527094">
      <w:pPr>
        <w:pStyle w:val="a3"/>
        <w:spacing w:before="0" w:beforeAutospacing="0" w:after="0" w:afterAutospacing="0"/>
        <w:ind w:firstLine="360"/>
        <w:jc w:val="both"/>
        <w:rPr>
          <w:sz w:val="20"/>
          <w:szCs w:val="20"/>
        </w:rPr>
      </w:pPr>
      <w:r>
        <w:rPr>
          <w:sz w:val="20"/>
          <w:szCs w:val="20"/>
        </w:rPr>
        <w:t>The following table presents the compa</w:t>
      </w:r>
      <w:r>
        <w:rPr>
          <w:sz w:val="20"/>
          <w:szCs w:val="20"/>
        </w:rPr>
        <w:t>rative results from the Company’s Condensed Consolidated Statements of Income for the three and six months ended June 30, 2019, as compared to the corresponding periods in 2018 (in thousands, except per share data):</w:t>
      </w:r>
    </w:p>
    <w:p w14:paraId="48F4C88F" w14:textId="77777777" w:rsidR="00000000" w:rsidRDefault="00527094">
      <w:pPr>
        <w:pStyle w:val="a3"/>
        <w:spacing w:before="0" w:beforeAutospacing="0" w:after="0" w:afterAutospacing="0"/>
        <w:ind w:firstLine="36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421"/>
        <w:gridCol w:w="50"/>
        <w:gridCol w:w="100"/>
        <w:gridCol w:w="650"/>
        <w:gridCol w:w="67"/>
        <w:gridCol w:w="50"/>
        <w:gridCol w:w="100"/>
        <w:gridCol w:w="650"/>
        <w:gridCol w:w="67"/>
        <w:gridCol w:w="50"/>
        <w:gridCol w:w="101"/>
        <w:gridCol w:w="716"/>
        <w:gridCol w:w="67"/>
        <w:gridCol w:w="50"/>
        <w:gridCol w:w="100"/>
        <w:gridCol w:w="717"/>
        <w:gridCol w:w="67"/>
        <w:gridCol w:w="50"/>
        <w:gridCol w:w="100"/>
        <w:gridCol w:w="717"/>
        <w:gridCol w:w="67"/>
        <w:gridCol w:w="50"/>
        <w:gridCol w:w="100"/>
        <w:gridCol w:w="717"/>
        <w:gridCol w:w="67"/>
      </w:tblGrid>
      <w:tr w:rsidR="00000000" w14:paraId="6407D9B6" w14:textId="77777777">
        <w:trPr>
          <w:tblCellSpacing w:w="0" w:type="dxa"/>
        </w:trPr>
        <w:tc>
          <w:tcPr>
            <w:tcW w:w="1650" w:type="pct"/>
            <w:vAlign w:val="bottom"/>
            <w:hideMark/>
          </w:tcPr>
          <w:p w14:paraId="71BEF6AE"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460A5E28" w14:textId="77777777" w:rsidR="00000000" w:rsidRDefault="00527094">
            <w:pPr>
              <w:rPr>
                <w:rFonts w:eastAsia="Times New Roman"/>
                <w:sz w:val="20"/>
                <w:szCs w:val="20"/>
              </w:rPr>
            </w:pPr>
            <w:r>
              <w:rPr>
                <w:rFonts w:eastAsia="Times New Roman"/>
                <w:sz w:val="20"/>
                <w:szCs w:val="20"/>
              </w:rPr>
              <w:t> </w:t>
            </w:r>
          </w:p>
        </w:tc>
        <w:tc>
          <w:tcPr>
            <w:tcW w:w="1150" w:type="pct"/>
            <w:gridSpan w:val="10"/>
            <w:tcBorders>
              <w:bottom w:val="single" w:sz="6" w:space="0" w:color="000000"/>
            </w:tcBorders>
            <w:vAlign w:val="bottom"/>
            <w:hideMark/>
          </w:tcPr>
          <w:p w14:paraId="16CB0292" w14:textId="77777777" w:rsidR="00000000" w:rsidRDefault="00527094">
            <w:pPr>
              <w:pStyle w:val="a3"/>
              <w:spacing w:before="0" w:beforeAutospacing="0" w:after="0" w:afterAutospacing="0"/>
              <w:jc w:val="center"/>
              <w:rPr>
                <w:sz w:val="20"/>
                <w:szCs w:val="20"/>
              </w:rPr>
            </w:pPr>
            <w:r>
              <w:rPr>
                <w:b/>
                <w:bCs/>
                <w:sz w:val="20"/>
                <w:szCs w:val="20"/>
              </w:rPr>
              <w:t xml:space="preserve">Three Months Ended June 30, </w:t>
            </w:r>
          </w:p>
        </w:tc>
        <w:tc>
          <w:tcPr>
            <w:tcW w:w="50" w:type="pct"/>
            <w:tcMar>
              <w:top w:w="0" w:type="dxa"/>
              <w:left w:w="0" w:type="dxa"/>
              <w:bottom w:w="15" w:type="dxa"/>
              <w:right w:w="0" w:type="dxa"/>
            </w:tcMar>
            <w:vAlign w:val="bottom"/>
            <w:hideMark/>
          </w:tcPr>
          <w:p w14:paraId="052E4CF2"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5C4A9257" w14:textId="77777777" w:rsidR="00000000" w:rsidRDefault="00527094">
            <w:pPr>
              <w:rPr>
                <w:rFonts w:eastAsia="Times New Roman"/>
                <w:sz w:val="20"/>
                <w:szCs w:val="20"/>
              </w:rPr>
            </w:pPr>
            <w:r>
              <w:rPr>
                <w:rFonts w:eastAsia="Times New Roman"/>
                <w:sz w:val="20"/>
                <w:szCs w:val="20"/>
              </w:rPr>
              <w:t> </w:t>
            </w:r>
          </w:p>
        </w:tc>
        <w:tc>
          <w:tcPr>
            <w:tcW w:w="1150" w:type="pct"/>
            <w:gridSpan w:val="10"/>
            <w:tcBorders>
              <w:bottom w:val="single" w:sz="6" w:space="0" w:color="000000"/>
            </w:tcBorders>
            <w:vAlign w:val="bottom"/>
            <w:hideMark/>
          </w:tcPr>
          <w:p w14:paraId="33DCF6D0" w14:textId="77777777" w:rsidR="00000000" w:rsidRDefault="00527094">
            <w:pPr>
              <w:pStyle w:val="a3"/>
              <w:spacing w:before="0" w:beforeAutospacing="0" w:after="0" w:afterAutospacing="0"/>
              <w:jc w:val="center"/>
              <w:rPr>
                <w:sz w:val="20"/>
                <w:szCs w:val="20"/>
              </w:rPr>
            </w:pPr>
            <w:r>
              <w:rPr>
                <w:b/>
                <w:bCs/>
                <w:sz w:val="20"/>
                <w:szCs w:val="20"/>
              </w:rPr>
              <w:t xml:space="preserve">Six Months Ended June 30, </w:t>
            </w:r>
          </w:p>
        </w:tc>
        <w:tc>
          <w:tcPr>
            <w:tcW w:w="50" w:type="pct"/>
            <w:tcMar>
              <w:top w:w="0" w:type="dxa"/>
              <w:left w:w="0" w:type="dxa"/>
              <w:bottom w:w="15" w:type="dxa"/>
              <w:right w:w="0" w:type="dxa"/>
            </w:tcMar>
            <w:vAlign w:val="bottom"/>
            <w:hideMark/>
          </w:tcPr>
          <w:p w14:paraId="3EF54FEC" w14:textId="77777777" w:rsidR="00000000" w:rsidRDefault="00527094">
            <w:pPr>
              <w:rPr>
                <w:rFonts w:eastAsia="Times New Roman"/>
                <w:sz w:val="20"/>
                <w:szCs w:val="20"/>
              </w:rPr>
            </w:pPr>
            <w:r>
              <w:rPr>
                <w:rFonts w:eastAsia="Times New Roman"/>
                <w:sz w:val="20"/>
                <w:szCs w:val="20"/>
              </w:rPr>
              <w:t> </w:t>
            </w:r>
          </w:p>
        </w:tc>
      </w:tr>
      <w:tr w:rsidR="00000000" w14:paraId="3DF1C18F" w14:textId="77777777">
        <w:trPr>
          <w:tblCellSpacing w:w="0" w:type="dxa"/>
        </w:trPr>
        <w:tc>
          <w:tcPr>
            <w:tcW w:w="1650" w:type="pct"/>
            <w:vAlign w:val="bottom"/>
            <w:hideMark/>
          </w:tcPr>
          <w:p w14:paraId="1C38182D"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2F042FE5"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EAE2AD9" w14:textId="77777777" w:rsidR="00000000" w:rsidRDefault="00527094">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0AAEABB0"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69FD4525"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4527DD9" w14:textId="77777777" w:rsidR="00000000" w:rsidRDefault="00527094">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5BB2CCC4"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75665A5C"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2A56F7C" w14:textId="77777777" w:rsidR="00000000" w:rsidRDefault="00527094">
            <w:pPr>
              <w:pStyle w:val="a3"/>
              <w:spacing w:before="0" w:beforeAutospacing="0" w:after="0" w:afterAutospacing="0"/>
              <w:jc w:val="center"/>
              <w:rPr>
                <w:sz w:val="20"/>
                <w:szCs w:val="20"/>
              </w:rPr>
            </w:pPr>
            <w:r>
              <w:rPr>
                <w:b/>
                <w:bCs/>
                <w:sz w:val="20"/>
                <w:szCs w:val="20"/>
              </w:rPr>
              <w:t>$ Change</w:t>
            </w:r>
          </w:p>
        </w:tc>
        <w:tc>
          <w:tcPr>
            <w:tcW w:w="50" w:type="pct"/>
            <w:tcMar>
              <w:top w:w="0" w:type="dxa"/>
              <w:left w:w="0" w:type="dxa"/>
              <w:bottom w:w="15" w:type="dxa"/>
              <w:right w:w="0" w:type="dxa"/>
            </w:tcMar>
            <w:vAlign w:val="bottom"/>
            <w:hideMark/>
          </w:tcPr>
          <w:p w14:paraId="4FB2CFD2"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19DB9B29"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8DC2EA4" w14:textId="77777777" w:rsidR="00000000" w:rsidRDefault="00527094">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51F60CA3"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674FB8DB"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8739C1F" w14:textId="77777777" w:rsidR="00000000" w:rsidRDefault="00527094">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14:paraId="0639470E"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5E6785E1"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487DF81" w14:textId="77777777" w:rsidR="00000000" w:rsidRDefault="00527094">
            <w:pPr>
              <w:pStyle w:val="a3"/>
              <w:spacing w:before="0" w:beforeAutospacing="0" w:after="0" w:afterAutospacing="0"/>
              <w:jc w:val="center"/>
              <w:rPr>
                <w:sz w:val="20"/>
                <w:szCs w:val="20"/>
              </w:rPr>
            </w:pPr>
            <w:r>
              <w:rPr>
                <w:b/>
                <w:bCs/>
                <w:sz w:val="20"/>
                <w:szCs w:val="20"/>
              </w:rPr>
              <w:t>$ Change</w:t>
            </w:r>
          </w:p>
        </w:tc>
        <w:tc>
          <w:tcPr>
            <w:tcW w:w="50" w:type="pct"/>
            <w:tcMar>
              <w:top w:w="0" w:type="dxa"/>
              <w:left w:w="0" w:type="dxa"/>
              <w:bottom w:w="15" w:type="dxa"/>
              <w:right w:w="0" w:type="dxa"/>
            </w:tcMar>
            <w:vAlign w:val="bottom"/>
            <w:hideMark/>
          </w:tcPr>
          <w:p w14:paraId="2B963EBE" w14:textId="77777777" w:rsidR="00000000" w:rsidRDefault="00527094">
            <w:pPr>
              <w:rPr>
                <w:rFonts w:eastAsia="Times New Roman"/>
                <w:sz w:val="20"/>
                <w:szCs w:val="20"/>
              </w:rPr>
            </w:pPr>
            <w:r>
              <w:rPr>
                <w:rFonts w:eastAsia="Times New Roman"/>
                <w:sz w:val="20"/>
                <w:szCs w:val="20"/>
              </w:rPr>
              <w:t> </w:t>
            </w:r>
          </w:p>
        </w:tc>
      </w:tr>
      <w:tr w:rsidR="00000000" w14:paraId="634541EC" w14:textId="77777777">
        <w:trPr>
          <w:tblCellSpacing w:w="0" w:type="dxa"/>
        </w:trPr>
        <w:tc>
          <w:tcPr>
            <w:tcW w:w="1650" w:type="pct"/>
            <w:vAlign w:val="bottom"/>
            <w:hideMark/>
          </w:tcPr>
          <w:p w14:paraId="7E9B702D"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2C2B5766"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15C4B102" w14:textId="77777777" w:rsidR="00000000" w:rsidRDefault="00527094">
            <w:pPr>
              <w:rPr>
                <w:rFonts w:eastAsia="Times New Roman"/>
                <w:sz w:val="20"/>
                <w:szCs w:val="20"/>
              </w:rPr>
            </w:pPr>
            <w:r>
              <w:rPr>
                <w:rFonts w:eastAsia="Times New Roman"/>
                <w:sz w:val="20"/>
                <w:szCs w:val="20"/>
              </w:rPr>
              <w:t> </w:t>
            </w:r>
          </w:p>
        </w:tc>
        <w:tc>
          <w:tcPr>
            <w:tcW w:w="400" w:type="pct"/>
            <w:vAlign w:val="bottom"/>
            <w:hideMark/>
          </w:tcPr>
          <w:p w14:paraId="35C7621C"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3D0B917B"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7FD8F632"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4169C630" w14:textId="77777777" w:rsidR="00000000" w:rsidRDefault="00527094">
            <w:pPr>
              <w:rPr>
                <w:rFonts w:eastAsia="Times New Roman"/>
                <w:sz w:val="20"/>
                <w:szCs w:val="20"/>
              </w:rPr>
            </w:pPr>
            <w:r>
              <w:rPr>
                <w:rFonts w:eastAsia="Times New Roman"/>
                <w:sz w:val="20"/>
                <w:szCs w:val="20"/>
              </w:rPr>
              <w:t> </w:t>
            </w:r>
          </w:p>
        </w:tc>
        <w:tc>
          <w:tcPr>
            <w:tcW w:w="400" w:type="pct"/>
            <w:vAlign w:val="bottom"/>
            <w:hideMark/>
          </w:tcPr>
          <w:p w14:paraId="11E4FA2E"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185E68EA"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78EBA74E"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037E546D" w14:textId="77777777" w:rsidR="00000000" w:rsidRDefault="00527094">
            <w:pPr>
              <w:rPr>
                <w:rFonts w:eastAsia="Times New Roman"/>
                <w:sz w:val="20"/>
                <w:szCs w:val="20"/>
              </w:rPr>
            </w:pPr>
            <w:r>
              <w:rPr>
                <w:rFonts w:eastAsia="Times New Roman"/>
                <w:sz w:val="20"/>
                <w:szCs w:val="20"/>
              </w:rPr>
              <w:t> </w:t>
            </w:r>
          </w:p>
        </w:tc>
        <w:tc>
          <w:tcPr>
            <w:tcW w:w="400" w:type="pct"/>
            <w:vAlign w:val="bottom"/>
            <w:hideMark/>
          </w:tcPr>
          <w:p w14:paraId="20797B18"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6F74029C"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50951208"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01E1A463" w14:textId="77777777" w:rsidR="00000000" w:rsidRDefault="00527094">
            <w:pPr>
              <w:rPr>
                <w:rFonts w:eastAsia="Times New Roman"/>
                <w:sz w:val="20"/>
                <w:szCs w:val="20"/>
              </w:rPr>
            </w:pPr>
            <w:r>
              <w:rPr>
                <w:rFonts w:eastAsia="Times New Roman"/>
                <w:sz w:val="20"/>
                <w:szCs w:val="20"/>
              </w:rPr>
              <w:t> </w:t>
            </w:r>
          </w:p>
        </w:tc>
        <w:tc>
          <w:tcPr>
            <w:tcW w:w="400" w:type="pct"/>
            <w:vAlign w:val="bottom"/>
            <w:hideMark/>
          </w:tcPr>
          <w:p w14:paraId="486C1785"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75CF33F0"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2908813D"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4652CF29" w14:textId="77777777" w:rsidR="00000000" w:rsidRDefault="00527094">
            <w:pPr>
              <w:rPr>
                <w:rFonts w:eastAsia="Times New Roman"/>
                <w:sz w:val="20"/>
                <w:szCs w:val="20"/>
              </w:rPr>
            </w:pPr>
            <w:r>
              <w:rPr>
                <w:rFonts w:eastAsia="Times New Roman"/>
                <w:sz w:val="20"/>
                <w:szCs w:val="20"/>
              </w:rPr>
              <w:t> </w:t>
            </w:r>
          </w:p>
        </w:tc>
        <w:tc>
          <w:tcPr>
            <w:tcW w:w="400" w:type="pct"/>
            <w:vAlign w:val="bottom"/>
            <w:hideMark/>
          </w:tcPr>
          <w:p w14:paraId="71E2351A"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0E1C2527"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68CA02A3"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28D40D45" w14:textId="77777777" w:rsidR="00000000" w:rsidRDefault="00527094">
            <w:pPr>
              <w:rPr>
                <w:rFonts w:eastAsia="Times New Roman"/>
                <w:sz w:val="20"/>
                <w:szCs w:val="20"/>
              </w:rPr>
            </w:pPr>
            <w:r>
              <w:rPr>
                <w:rFonts w:eastAsia="Times New Roman"/>
                <w:sz w:val="20"/>
                <w:szCs w:val="20"/>
              </w:rPr>
              <w:t> </w:t>
            </w:r>
          </w:p>
        </w:tc>
        <w:tc>
          <w:tcPr>
            <w:tcW w:w="450" w:type="pct"/>
            <w:vAlign w:val="bottom"/>
            <w:hideMark/>
          </w:tcPr>
          <w:p w14:paraId="6A0DD2AD"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2F58230C" w14:textId="77777777" w:rsidR="00000000" w:rsidRDefault="00527094">
            <w:pPr>
              <w:rPr>
                <w:rFonts w:eastAsia="Times New Roman"/>
                <w:sz w:val="20"/>
                <w:szCs w:val="20"/>
              </w:rPr>
            </w:pPr>
            <w:r>
              <w:rPr>
                <w:rFonts w:eastAsia="Times New Roman"/>
                <w:sz w:val="20"/>
                <w:szCs w:val="20"/>
              </w:rPr>
              <w:t> </w:t>
            </w:r>
          </w:p>
        </w:tc>
      </w:tr>
      <w:tr w:rsidR="00000000" w14:paraId="2080A949" w14:textId="77777777">
        <w:trPr>
          <w:tblCellSpacing w:w="0" w:type="dxa"/>
        </w:trPr>
        <w:tc>
          <w:tcPr>
            <w:tcW w:w="1650" w:type="pct"/>
            <w:shd w:val="clear" w:color="auto" w:fill="CCEEFF"/>
            <w:vAlign w:val="bottom"/>
            <w:hideMark/>
          </w:tcPr>
          <w:p w14:paraId="72FEEE45" w14:textId="77777777" w:rsidR="00000000" w:rsidRDefault="00527094">
            <w:pPr>
              <w:pStyle w:val="a3"/>
              <w:spacing w:before="0" w:beforeAutospacing="0" w:after="0" w:afterAutospacing="0"/>
              <w:rPr>
                <w:sz w:val="20"/>
                <w:szCs w:val="20"/>
              </w:rPr>
            </w:pPr>
            <w:r>
              <w:rPr>
                <w:sz w:val="20"/>
                <w:szCs w:val="20"/>
              </w:rPr>
              <w:t>Revenues</w:t>
            </w:r>
          </w:p>
        </w:tc>
        <w:tc>
          <w:tcPr>
            <w:tcW w:w="50" w:type="pct"/>
            <w:shd w:val="clear" w:color="auto" w:fill="CCEEFF"/>
            <w:vAlign w:val="bottom"/>
            <w:hideMark/>
          </w:tcPr>
          <w:p w14:paraId="3907D0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DEDBD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2FA58FE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8DF92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9CAA3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3A8718"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B5DADB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DEF59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816C9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2FADB4"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2327AB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F8C5C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C744B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A51FBD"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5BF730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AC6D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E2093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8922A2"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0F02609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4156F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B29C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39E28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4B2EBC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0C936D" w14:textId="77777777" w:rsidR="00000000" w:rsidRDefault="00527094">
            <w:pPr>
              <w:rPr>
                <w:rFonts w:eastAsia="Times New Roman"/>
                <w:sz w:val="20"/>
                <w:szCs w:val="20"/>
              </w:rPr>
            </w:pPr>
            <w:r>
              <w:rPr>
                <w:rFonts w:eastAsia="Times New Roman"/>
                <w:sz w:val="20"/>
                <w:szCs w:val="20"/>
              </w:rPr>
              <w:t> </w:t>
            </w:r>
          </w:p>
        </w:tc>
      </w:tr>
      <w:tr w:rsidR="00000000" w14:paraId="0B0632BE" w14:textId="77777777">
        <w:trPr>
          <w:tblCellSpacing w:w="0" w:type="dxa"/>
        </w:trPr>
        <w:tc>
          <w:tcPr>
            <w:tcW w:w="1650" w:type="pct"/>
            <w:shd w:val="clear" w:color="auto" w:fill="FFFFFF"/>
            <w:vAlign w:val="bottom"/>
            <w:hideMark/>
          </w:tcPr>
          <w:p w14:paraId="02EB07F3" w14:textId="77777777" w:rsidR="00000000" w:rsidRDefault="00527094">
            <w:pPr>
              <w:pStyle w:val="a3"/>
              <w:spacing w:before="0" w:beforeAutospacing="0" w:after="0" w:afterAutospacing="0"/>
              <w:ind w:left="360"/>
              <w:rPr>
                <w:sz w:val="20"/>
                <w:szCs w:val="20"/>
              </w:rPr>
            </w:pPr>
            <w:r>
              <w:rPr>
                <w:sz w:val="20"/>
                <w:szCs w:val="20"/>
              </w:rPr>
              <w:t>Revenues from rental properties, net (1)</w:t>
            </w:r>
          </w:p>
        </w:tc>
        <w:tc>
          <w:tcPr>
            <w:tcW w:w="50" w:type="pct"/>
            <w:shd w:val="clear" w:color="auto" w:fill="FFFFFF"/>
            <w:vAlign w:val="bottom"/>
            <w:hideMark/>
          </w:tcPr>
          <w:p w14:paraId="0D9CB2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6A159F" w14:textId="77777777" w:rsidR="00000000" w:rsidRDefault="00527094">
            <w:pPr>
              <w:rPr>
                <w:rFonts w:eastAsia="Times New Roman"/>
                <w:sz w:val="20"/>
                <w:szCs w:val="20"/>
              </w:rPr>
            </w:pPr>
            <w:r>
              <w:rPr>
                <w:rFonts w:eastAsia="Times New Roman"/>
                <w:sz w:val="20"/>
                <w:szCs w:val="20"/>
              </w:rPr>
              <w:t>$</w:t>
            </w:r>
          </w:p>
        </w:tc>
        <w:tc>
          <w:tcPr>
            <w:tcW w:w="400" w:type="pct"/>
            <w:shd w:val="clear" w:color="auto" w:fill="FFFFFF"/>
            <w:vAlign w:val="bottom"/>
            <w:hideMark/>
          </w:tcPr>
          <w:p w14:paraId="33CC54BF" w14:textId="77777777" w:rsidR="00000000" w:rsidRDefault="00527094">
            <w:pPr>
              <w:jc w:val="right"/>
              <w:rPr>
                <w:rFonts w:eastAsia="Times New Roman"/>
                <w:sz w:val="20"/>
                <w:szCs w:val="20"/>
              </w:rPr>
            </w:pPr>
            <w:r>
              <w:rPr>
                <w:rFonts w:eastAsia="Times New Roman"/>
                <w:sz w:val="20"/>
                <w:szCs w:val="20"/>
              </w:rPr>
              <w:t>280,710</w:t>
            </w:r>
          </w:p>
        </w:tc>
        <w:tc>
          <w:tcPr>
            <w:tcW w:w="50" w:type="pct"/>
            <w:shd w:val="clear" w:color="auto" w:fill="FFFFFF"/>
            <w:vAlign w:val="bottom"/>
            <w:hideMark/>
          </w:tcPr>
          <w:p w14:paraId="40DBF10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B9E0D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F2C53D" w14:textId="77777777" w:rsidR="00000000" w:rsidRDefault="00527094">
            <w:pPr>
              <w:rPr>
                <w:rFonts w:eastAsia="Times New Roman"/>
                <w:sz w:val="20"/>
                <w:szCs w:val="20"/>
              </w:rPr>
            </w:pPr>
            <w:r>
              <w:rPr>
                <w:rFonts w:eastAsia="Times New Roman"/>
                <w:sz w:val="20"/>
                <w:szCs w:val="20"/>
              </w:rPr>
              <w:t>$</w:t>
            </w:r>
          </w:p>
        </w:tc>
        <w:tc>
          <w:tcPr>
            <w:tcW w:w="400" w:type="pct"/>
            <w:shd w:val="clear" w:color="auto" w:fill="FFFFFF"/>
            <w:vAlign w:val="bottom"/>
            <w:hideMark/>
          </w:tcPr>
          <w:p w14:paraId="4D856CAE" w14:textId="77777777" w:rsidR="00000000" w:rsidRDefault="00527094">
            <w:pPr>
              <w:jc w:val="right"/>
              <w:rPr>
                <w:rFonts w:eastAsia="Times New Roman"/>
                <w:sz w:val="20"/>
                <w:szCs w:val="20"/>
              </w:rPr>
            </w:pPr>
            <w:r>
              <w:rPr>
                <w:rFonts w:eastAsia="Times New Roman"/>
                <w:sz w:val="20"/>
                <w:szCs w:val="20"/>
              </w:rPr>
              <w:t>289,383</w:t>
            </w:r>
          </w:p>
        </w:tc>
        <w:tc>
          <w:tcPr>
            <w:tcW w:w="50" w:type="pct"/>
            <w:shd w:val="clear" w:color="auto" w:fill="FFFFFF"/>
            <w:vAlign w:val="bottom"/>
            <w:hideMark/>
          </w:tcPr>
          <w:p w14:paraId="12A73FE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4B61F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F989BC" w14:textId="77777777" w:rsidR="00000000" w:rsidRDefault="00527094">
            <w:pPr>
              <w:rPr>
                <w:rFonts w:eastAsia="Times New Roman"/>
                <w:sz w:val="20"/>
                <w:szCs w:val="20"/>
              </w:rPr>
            </w:pPr>
            <w:r>
              <w:rPr>
                <w:rFonts w:eastAsia="Times New Roman"/>
                <w:sz w:val="20"/>
                <w:szCs w:val="20"/>
              </w:rPr>
              <w:t>$</w:t>
            </w:r>
          </w:p>
        </w:tc>
        <w:tc>
          <w:tcPr>
            <w:tcW w:w="400" w:type="pct"/>
            <w:shd w:val="clear" w:color="auto" w:fill="FFFFFF"/>
            <w:vAlign w:val="bottom"/>
            <w:hideMark/>
          </w:tcPr>
          <w:p w14:paraId="2B25BEB3" w14:textId="77777777" w:rsidR="00000000" w:rsidRDefault="00527094">
            <w:pPr>
              <w:jc w:val="right"/>
              <w:rPr>
                <w:rFonts w:eastAsia="Times New Roman"/>
                <w:sz w:val="20"/>
                <w:szCs w:val="20"/>
              </w:rPr>
            </w:pPr>
            <w:r>
              <w:rPr>
                <w:rFonts w:eastAsia="Times New Roman"/>
                <w:sz w:val="20"/>
                <w:szCs w:val="20"/>
              </w:rPr>
              <w:t>(8,673</w:t>
            </w:r>
          </w:p>
        </w:tc>
        <w:tc>
          <w:tcPr>
            <w:tcW w:w="50" w:type="pct"/>
            <w:shd w:val="clear" w:color="auto" w:fill="FFFFFF"/>
            <w:vAlign w:val="bottom"/>
            <w:hideMark/>
          </w:tcPr>
          <w:p w14:paraId="6211A4DA"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9EE38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FA89A0" w14:textId="77777777" w:rsidR="00000000" w:rsidRDefault="00527094">
            <w:pPr>
              <w:rPr>
                <w:rFonts w:eastAsia="Times New Roman"/>
                <w:sz w:val="20"/>
                <w:szCs w:val="20"/>
              </w:rPr>
            </w:pPr>
            <w:r>
              <w:rPr>
                <w:rFonts w:eastAsia="Times New Roman"/>
                <w:sz w:val="20"/>
                <w:szCs w:val="20"/>
              </w:rPr>
              <w:t>$</w:t>
            </w:r>
          </w:p>
        </w:tc>
        <w:tc>
          <w:tcPr>
            <w:tcW w:w="400" w:type="pct"/>
            <w:shd w:val="clear" w:color="auto" w:fill="FFFFFF"/>
            <w:vAlign w:val="bottom"/>
            <w:hideMark/>
          </w:tcPr>
          <w:p w14:paraId="007E9406" w14:textId="77777777" w:rsidR="00000000" w:rsidRDefault="00527094">
            <w:pPr>
              <w:jc w:val="right"/>
              <w:rPr>
                <w:rFonts w:eastAsia="Times New Roman"/>
                <w:sz w:val="20"/>
                <w:szCs w:val="20"/>
              </w:rPr>
            </w:pPr>
            <w:r>
              <w:rPr>
                <w:rFonts w:eastAsia="Times New Roman"/>
                <w:sz w:val="20"/>
                <w:szCs w:val="20"/>
              </w:rPr>
              <w:t>571,344</w:t>
            </w:r>
          </w:p>
        </w:tc>
        <w:tc>
          <w:tcPr>
            <w:tcW w:w="50" w:type="pct"/>
            <w:shd w:val="clear" w:color="auto" w:fill="FFFFFF"/>
            <w:vAlign w:val="bottom"/>
            <w:hideMark/>
          </w:tcPr>
          <w:p w14:paraId="130155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4AB50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0F8E8C" w14:textId="77777777" w:rsidR="00000000" w:rsidRDefault="00527094">
            <w:pPr>
              <w:rPr>
                <w:rFonts w:eastAsia="Times New Roman"/>
                <w:sz w:val="20"/>
                <w:szCs w:val="20"/>
              </w:rPr>
            </w:pPr>
            <w:r>
              <w:rPr>
                <w:rFonts w:eastAsia="Times New Roman"/>
                <w:sz w:val="20"/>
                <w:szCs w:val="20"/>
              </w:rPr>
              <w:t>$</w:t>
            </w:r>
          </w:p>
        </w:tc>
        <w:tc>
          <w:tcPr>
            <w:tcW w:w="400" w:type="pct"/>
            <w:shd w:val="clear" w:color="auto" w:fill="FFFFFF"/>
            <w:vAlign w:val="bottom"/>
            <w:hideMark/>
          </w:tcPr>
          <w:p w14:paraId="05DC4726" w14:textId="77777777" w:rsidR="00000000" w:rsidRDefault="00527094">
            <w:pPr>
              <w:jc w:val="right"/>
              <w:rPr>
                <w:rFonts w:eastAsia="Times New Roman"/>
                <w:sz w:val="20"/>
                <w:szCs w:val="20"/>
              </w:rPr>
            </w:pPr>
            <w:r>
              <w:rPr>
                <w:rFonts w:eastAsia="Times New Roman"/>
                <w:sz w:val="20"/>
                <w:szCs w:val="20"/>
              </w:rPr>
              <w:t>589,100</w:t>
            </w:r>
          </w:p>
        </w:tc>
        <w:tc>
          <w:tcPr>
            <w:tcW w:w="50" w:type="pct"/>
            <w:shd w:val="clear" w:color="auto" w:fill="FFFFFF"/>
            <w:vAlign w:val="bottom"/>
            <w:hideMark/>
          </w:tcPr>
          <w:p w14:paraId="6EA2341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B435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6D8100" w14:textId="77777777" w:rsidR="00000000" w:rsidRDefault="00527094">
            <w:pPr>
              <w:rPr>
                <w:rFonts w:eastAsia="Times New Roman"/>
                <w:sz w:val="20"/>
                <w:szCs w:val="20"/>
              </w:rPr>
            </w:pPr>
            <w:r>
              <w:rPr>
                <w:rFonts w:eastAsia="Times New Roman"/>
                <w:sz w:val="20"/>
                <w:szCs w:val="20"/>
              </w:rPr>
              <w:t>$</w:t>
            </w:r>
          </w:p>
        </w:tc>
        <w:tc>
          <w:tcPr>
            <w:tcW w:w="450" w:type="pct"/>
            <w:shd w:val="clear" w:color="auto" w:fill="FFFFFF"/>
            <w:vAlign w:val="bottom"/>
            <w:hideMark/>
          </w:tcPr>
          <w:p w14:paraId="46FA8F0D" w14:textId="77777777" w:rsidR="00000000" w:rsidRDefault="00527094">
            <w:pPr>
              <w:jc w:val="right"/>
              <w:rPr>
                <w:rFonts w:eastAsia="Times New Roman"/>
                <w:sz w:val="20"/>
                <w:szCs w:val="20"/>
              </w:rPr>
            </w:pPr>
            <w:r>
              <w:rPr>
                <w:rFonts w:eastAsia="Times New Roman"/>
                <w:sz w:val="20"/>
                <w:szCs w:val="20"/>
              </w:rPr>
              <w:t>(17,756</w:t>
            </w:r>
          </w:p>
        </w:tc>
        <w:tc>
          <w:tcPr>
            <w:tcW w:w="50" w:type="pct"/>
            <w:shd w:val="clear" w:color="auto" w:fill="FFFFFF"/>
            <w:vAlign w:val="bottom"/>
            <w:hideMark/>
          </w:tcPr>
          <w:p w14:paraId="154ECC74" w14:textId="77777777" w:rsidR="00000000" w:rsidRDefault="00527094">
            <w:pPr>
              <w:rPr>
                <w:rFonts w:eastAsia="Times New Roman"/>
                <w:sz w:val="20"/>
                <w:szCs w:val="20"/>
              </w:rPr>
            </w:pPr>
            <w:r>
              <w:rPr>
                <w:rFonts w:eastAsia="Times New Roman"/>
                <w:sz w:val="20"/>
                <w:szCs w:val="20"/>
              </w:rPr>
              <w:t>)</w:t>
            </w:r>
          </w:p>
        </w:tc>
      </w:tr>
      <w:tr w:rsidR="00000000" w14:paraId="5882DCF4" w14:textId="77777777">
        <w:trPr>
          <w:tblCellSpacing w:w="0" w:type="dxa"/>
        </w:trPr>
        <w:tc>
          <w:tcPr>
            <w:tcW w:w="1650" w:type="pct"/>
            <w:shd w:val="clear" w:color="auto" w:fill="CCEEFF"/>
            <w:vAlign w:val="bottom"/>
            <w:hideMark/>
          </w:tcPr>
          <w:p w14:paraId="07D56A22" w14:textId="77777777" w:rsidR="00000000" w:rsidRDefault="00527094">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14:paraId="21555C4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C256BA"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4860139" w14:textId="77777777" w:rsidR="00000000" w:rsidRDefault="00527094">
            <w:pPr>
              <w:jc w:val="right"/>
              <w:rPr>
                <w:rFonts w:eastAsia="Times New Roman"/>
                <w:sz w:val="20"/>
                <w:szCs w:val="20"/>
              </w:rPr>
            </w:pPr>
            <w:r>
              <w:rPr>
                <w:rFonts w:eastAsia="Times New Roman"/>
                <w:sz w:val="20"/>
                <w:szCs w:val="20"/>
              </w:rPr>
              <w:t>4,163</w:t>
            </w:r>
          </w:p>
        </w:tc>
        <w:tc>
          <w:tcPr>
            <w:tcW w:w="50" w:type="pct"/>
            <w:shd w:val="clear" w:color="auto" w:fill="CCEEFF"/>
            <w:vAlign w:val="bottom"/>
            <w:hideMark/>
          </w:tcPr>
          <w:p w14:paraId="33E9D7E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0B82F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AD233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62CBFC2" w14:textId="77777777" w:rsidR="00000000" w:rsidRDefault="00527094">
            <w:pPr>
              <w:jc w:val="right"/>
              <w:rPr>
                <w:rFonts w:eastAsia="Times New Roman"/>
                <w:sz w:val="20"/>
                <w:szCs w:val="20"/>
              </w:rPr>
            </w:pPr>
            <w:r>
              <w:rPr>
                <w:rFonts w:eastAsia="Times New Roman"/>
                <w:sz w:val="20"/>
                <w:szCs w:val="20"/>
              </w:rPr>
              <w:t>4,020</w:t>
            </w:r>
          </w:p>
        </w:tc>
        <w:tc>
          <w:tcPr>
            <w:tcW w:w="50" w:type="pct"/>
            <w:shd w:val="clear" w:color="auto" w:fill="CCEEFF"/>
            <w:vAlign w:val="bottom"/>
            <w:hideMark/>
          </w:tcPr>
          <w:p w14:paraId="5DC559F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18D5B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CC5CF3"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1168D0D" w14:textId="77777777" w:rsidR="00000000" w:rsidRDefault="00527094">
            <w:pPr>
              <w:jc w:val="right"/>
              <w:rPr>
                <w:rFonts w:eastAsia="Times New Roman"/>
                <w:sz w:val="20"/>
                <w:szCs w:val="20"/>
              </w:rPr>
            </w:pPr>
            <w:r>
              <w:rPr>
                <w:rFonts w:eastAsia="Times New Roman"/>
                <w:sz w:val="20"/>
                <w:szCs w:val="20"/>
              </w:rPr>
              <w:t>143</w:t>
            </w:r>
          </w:p>
        </w:tc>
        <w:tc>
          <w:tcPr>
            <w:tcW w:w="50" w:type="pct"/>
            <w:shd w:val="clear" w:color="auto" w:fill="CCEEFF"/>
            <w:vAlign w:val="bottom"/>
            <w:hideMark/>
          </w:tcPr>
          <w:p w14:paraId="692DFD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5365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6D7D4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96C7080" w14:textId="77777777" w:rsidR="00000000" w:rsidRDefault="00527094">
            <w:pPr>
              <w:jc w:val="right"/>
              <w:rPr>
                <w:rFonts w:eastAsia="Times New Roman"/>
                <w:sz w:val="20"/>
                <w:szCs w:val="20"/>
              </w:rPr>
            </w:pPr>
            <w:r>
              <w:rPr>
                <w:rFonts w:eastAsia="Times New Roman"/>
                <w:sz w:val="20"/>
                <w:szCs w:val="20"/>
              </w:rPr>
              <w:t>8,539</w:t>
            </w:r>
          </w:p>
        </w:tc>
        <w:tc>
          <w:tcPr>
            <w:tcW w:w="50" w:type="pct"/>
            <w:shd w:val="clear" w:color="auto" w:fill="CCEEFF"/>
            <w:vAlign w:val="bottom"/>
            <w:hideMark/>
          </w:tcPr>
          <w:p w14:paraId="1024B89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C952E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7DC1D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482BDE8" w14:textId="77777777" w:rsidR="00000000" w:rsidRDefault="00527094">
            <w:pPr>
              <w:jc w:val="right"/>
              <w:rPr>
                <w:rFonts w:eastAsia="Times New Roman"/>
                <w:sz w:val="20"/>
                <w:szCs w:val="20"/>
              </w:rPr>
            </w:pPr>
            <w:r>
              <w:rPr>
                <w:rFonts w:eastAsia="Times New Roman"/>
                <w:sz w:val="20"/>
                <w:szCs w:val="20"/>
              </w:rPr>
              <w:t>8,381</w:t>
            </w:r>
          </w:p>
        </w:tc>
        <w:tc>
          <w:tcPr>
            <w:tcW w:w="50" w:type="pct"/>
            <w:shd w:val="clear" w:color="auto" w:fill="CCEEFF"/>
            <w:vAlign w:val="bottom"/>
            <w:hideMark/>
          </w:tcPr>
          <w:p w14:paraId="06BC54D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0F4A4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A0F93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D852C50" w14:textId="77777777" w:rsidR="00000000" w:rsidRDefault="00527094">
            <w:pPr>
              <w:jc w:val="right"/>
              <w:rPr>
                <w:rFonts w:eastAsia="Times New Roman"/>
                <w:sz w:val="20"/>
                <w:szCs w:val="20"/>
              </w:rPr>
            </w:pPr>
            <w:r>
              <w:rPr>
                <w:rFonts w:eastAsia="Times New Roman"/>
                <w:sz w:val="20"/>
                <w:szCs w:val="20"/>
              </w:rPr>
              <w:t>158</w:t>
            </w:r>
          </w:p>
        </w:tc>
        <w:tc>
          <w:tcPr>
            <w:tcW w:w="50" w:type="pct"/>
            <w:shd w:val="clear" w:color="auto" w:fill="CCEEFF"/>
            <w:vAlign w:val="bottom"/>
            <w:hideMark/>
          </w:tcPr>
          <w:p w14:paraId="7901E388" w14:textId="77777777" w:rsidR="00000000" w:rsidRDefault="00527094">
            <w:pPr>
              <w:rPr>
                <w:rFonts w:eastAsia="Times New Roman"/>
                <w:sz w:val="20"/>
                <w:szCs w:val="20"/>
              </w:rPr>
            </w:pPr>
            <w:r>
              <w:rPr>
                <w:rFonts w:eastAsia="Times New Roman"/>
                <w:sz w:val="20"/>
                <w:szCs w:val="20"/>
              </w:rPr>
              <w:t> </w:t>
            </w:r>
          </w:p>
        </w:tc>
      </w:tr>
      <w:tr w:rsidR="00000000" w14:paraId="636B9955" w14:textId="77777777">
        <w:trPr>
          <w:tblCellSpacing w:w="0" w:type="dxa"/>
        </w:trPr>
        <w:tc>
          <w:tcPr>
            <w:tcW w:w="1650" w:type="pct"/>
            <w:shd w:val="clear" w:color="auto" w:fill="FFFFFF"/>
            <w:vAlign w:val="bottom"/>
            <w:hideMark/>
          </w:tcPr>
          <w:p w14:paraId="2F6362EB" w14:textId="77777777" w:rsidR="00000000" w:rsidRDefault="00527094">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14:paraId="12D6A8E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19EC4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0D8B05A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650D5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BEBB5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2603E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01705BB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7BF2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082DA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CC46C5"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5FC3CB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4FE49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015F0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A7783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3BBCCA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A78B2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92E2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0E58C5"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B703C3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C291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50CF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2A770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5251F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3C613F" w14:textId="77777777" w:rsidR="00000000" w:rsidRDefault="00527094">
            <w:pPr>
              <w:rPr>
                <w:rFonts w:eastAsia="Times New Roman"/>
                <w:sz w:val="20"/>
                <w:szCs w:val="20"/>
              </w:rPr>
            </w:pPr>
            <w:r>
              <w:rPr>
                <w:rFonts w:eastAsia="Times New Roman"/>
                <w:sz w:val="20"/>
                <w:szCs w:val="20"/>
              </w:rPr>
              <w:t> </w:t>
            </w:r>
          </w:p>
        </w:tc>
      </w:tr>
      <w:tr w:rsidR="00000000" w14:paraId="179F1088" w14:textId="77777777">
        <w:trPr>
          <w:tblCellSpacing w:w="0" w:type="dxa"/>
        </w:trPr>
        <w:tc>
          <w:tcPr>
            <w:tcW w:w="1650" w:type="pct"/>
            <w:shd w:val="clear" w:color="auto" w:fill="CCEEFF"/>
            <w:vAlign w:val="bottom"/>
            <w:hideMark/>
          </w:tcPr>
          <w:p w14:paraId="31E63E00" w14:textId="77777777" w:rsidR="00000000" w:rsidRDefault="00527094">
            <w:pPr>
              <w:pStyle w:val="a3"/>
              <w:spacing w:before="0" w:beforeAutospacing="0" w:after="0" w:afterAutospacing="0"/>
              <w:ind w:left="360"/>
              <w:rPr>
                <w:sz w:val="20"/>
                <w:szCs w:val="20"/>
              </w:rPr>
            </w:pPr>
            <w:r>
              <w:rPr>
                <w:sz w:val="20"/>
                <w:szCs w:val="20"/>
              </w:rPr>
              <w:t>Rent (2)</w:t>
            </w:r>
          </w:p>
        </w:tc>
        <w:tc>
          <w:tcPr>
            <w:tcW w:w="50" w:type="pct"/>
            <w:shd w:val="clear" w:color="auto" w:fill="CCEEFF"/>
            <w:vAlign w:val="bottom"/>
            <w:hideMark/>
          </w:tcPr>
          <w:p w14:paraId="68E563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38A5AA"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F3847AB" w14:textId="77777777" w:rsidR="00000000" w:rsidRDefault="00527094">
            <w:pPr>
              <w:jc w:val="right"/>
              <w:rPr>
                <w:rFonts w:eastAsia="Times New Roman"/>
                <w:sz w:val="20"/>
                <w:szCs w:val="20"/>
              </w:rPr>
            </w:pPr>
            <w:r>
              <w:rPr>
                <w:rFonts w:eastAsia="Times New Roman"/>
                <w:sz w:val="20"/>
                <w:szCs w:val="20"/>
              </w:rPr>
              <w:t>(2,924</w:t>
            </w:r>
          </w:p>
        </w:tc>
        <w:tc>
          <w:tcPr>
            <w:tcW w:w="50" w:type="pct"/>
            <w:shd w:val="clear" w:color="auto" w:fill="CCEEFF"/>
            <w:vAlign w:val="bottom"/>
            <w:hideMark/>
          </w:tcPr>
          <w:p w14:paraId="5D224DF3"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815539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34D2C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4686C6A1" w14:textId="77777777" w:rsidR="00000000" w:rsidRDefault="00527094">
            <w:pPr>
              <w:jc w:val="right"/>
              <w:rPr>
                <w:rFonts w:eastAsia="Times New Roman"/>
                <w:sz w:val="20"/>
                <w:szCs w:val="20"/>
              </w:rPr>
            </w:pPr>
            <w:r>
              <w:rPr>
                <w:rFonts w:eastAsia="Times New Roman"/>
                <w:sz w:val="20"/>
                <w:szCs w:val="20"/>
              </w:rPr>
              <w:t>(2,742</w:t>
            </w:r>
          </w:p>
        </w:tc>
        <w:tc>
          <w:tcPr>
            <w:tcW w:w="50" w:type="pct"/>
            <w:shd w:val="clear" w:color="auto" w:fill="CCEEFF"/>
            <w:vAlign w:val="bottom"/>
            <w:hideMark/>
          </w:tcPr>
          <w:p w14:paraId="3B7EDA04"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C7EA8E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21F9B5"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C758E84" w14:textId="77777777" w:rsidR="00000000" w:rsidRDefault="00527094">
            <w:pPr>
              <w:jc w:val="right"/>
              <w:rPr>
                <w:rFonts w:eastAsia="Times New Roman"/>
                <w:sz w:val="20"/>
                <w:szCs w:val="20"/>
              </w:rPr>
            </w:pPr>
            <w:r>
              <w:rPr>
                <w:rFonts w:eastAsia="Times New Roman"/>
                <w:sz w:val="20"/>
                <w:szCs w:val="20"/>
              </w:rPr>
              <w:t>(182</w:t>
            </w:r>
          </w:p>
        </w:tc>
        <w:tc>
          <w:tcPr>
            <w:tcW w:w="50" w:type="pct"/>
            <w:shd w:val="clear" w:color="auto" w:fill="CCEEFF"/>
            <w:vAlign w:val="bottom"/>
            <w:hideMark/>
          </w:tcPr>
          <w:p w14:paraId="64E917D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D45AF8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6B04D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05A57431" w14:textId="77777777" w:rsidR="00000000" w:rsidRDefault="00527094">
            <w:pPr>
              <w:jc w:val="right"/>
              <w:rPr>
                <w:rFonts w:eastAsia="Times New Roman"/>
                <w:sz w:val="20"/>
                <w:szCs w:val="20"/>
              </w:rPr>
            </w:pPr>
            <w:r>
              <w:rPr>
                <w:rFonts w:eastAsia="Times New Roman"/>
                <w:sz w:val="20"/>
                <w:szCs w:val="20"/>
              </w:rPr>
              <w:t>(5,616</w:t>
            </w:r>
          </w:p>
        </w:tc>
        <w:tc>
          <w:tcPr>
            <w:tcW w:w="50" w:type="pct"/>
            <w:shd w:val="clear" w:color="auto" w:fill="CCEEFF"/>
            <w:vAlign w:val="bottom"/>
            <w:hideMark/>
          </w:tcPr>
          <w:p w14:paraId="3767253D"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B0C59C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DDA945"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9B3A4D2" w14:textId="77777777" w:rsidR="00000000" w:rsidRDefault="00527094">
            <w:pPr>
              <w:jc w:val="right"/>
              <w:rPr>
                <w:rFonts w:eastAsia="Times New Roman"/>
                <w:sz w:val="20"/>
                <w:szCs w:val="20"/>
              </w:rPr>
            </w:pPr>
            <w:r>
              <w:rPr>
                <w:rFonts w:eastAsia="Times New Roman"/>
                <w:sz w:val="20"/>
                <w:szCs w:val="20"/>
              </w:rPr>
              <w:t>(5,560</w:t>
            </w:r>
          </w:p>
        </w:tc>
        <w:tc>
          <w:tcPr>
            <w:tcW w:w="50" w:type="pct"/>
            <w:shd w:val="clear" w:color="auto" w:fill="CCEEFF"/>
            <w:vAlign w:val="bottom"/>
            <w:hideMark/>
          </w:tcPr>
          <w:p w14:paraId="1BC6BD5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25B98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E3954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E213F0" w14:textId="77777777" w:rsidR="00000000" w:rsidRDefault="00527094">
            <w:pPr>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14:paraId="2B23CDE8" w14:textId="77777777" w:rsidR="00000000" w:rsidRDefault="00527094">
            <w:pPr>
              <w:rPr>
                <w:rFonts w:eastAsia="Times New Roman"/>
                <w:sz w:val="20"/>
                <w:szCs w:val="20"/>
              </w:rPr>
            </w:pPr>
            <w:r>
              <w:rPr>
                <w:rFonts w:eastAsia="Times New Roman"/>
                <w:sz w:val="20"/>
                <w:szCs w:val="20"/>
              </w:rPr>
              <w:t>)</w:t>
            </w:r>
          </w:p>
        </w:tc>
      </w:tr>
      <w:tr w:rsidR="00000000" w14:paraId="6A18367A" w14:textId="77777777">
        <w:trPr>
          <w:tblCellSpacing w:w="0" w:type="dxa"/>
        </w:trPr>
        <w:tc>
          <w:tcPr>
            <w:tcW w:w="1650" w:type="pct"/>
            <w:shd w:val="clear" w:color="auto" w:fill="FFFFFF"/>
            <w:vAlign w:val="bottom"/>
            <w:hideMark/>
          </w:tcPr>
          <w:p w14:paraId="4C49DD50" w14:textId="77777777" w:rsidR="00000000" w:rsidRDefault="00527094">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14:paraId="48BC30D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AA555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F999F88" w14:textId="77777777" w:rsidR="00000000" w:rsidRDefault="00527094">
            <w:pPr>
              <w:jc w:val="right"/>
              <w:rPr>
                <w:rFonts w:eastAsia="Times New Roman"/>
                <w:sz w:val="20"/>
                <w:szCs w:val="20"/>
              </w:rPr>
            </w:pPr>
            <w:r>
              <w:rPr>
                <w:rFonts w:eastAsia="Times New Roman"/>
                <w:sz w:val="20"/>
                <w:szCs w:val="20"/>
              </w:rPr>
              <w:t>(37,005</w:t>
            </w:r>
          </w:p>
        </w:tc>
        <w:tc>
          <w:tcPr>
            <w:tcW w:w="50" w:type="pct"/>
            <w:shd w:val="clear" w:color="auto" w:fill="FFFFFF"/>
            <w:vAlign w:val="bottom"/>
            <w:hideMark/>
          </w:tcPr>
          <w:p w14:paraId="438A2103"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5214CA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857C7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10532CE" w14:textId="77777777" w:rsidR="00000000" w:rsidRDefault="00527094">
            <w:pPr>
              <w:jc w:val="right"/>
              <w:rPr>
                <w:rFonts w:eastAsia="Times New Roman"/>
                <w:sz w:val="20"/>
                <w:szCs w:val="20"/>
              </w:rPr>
            </w:pPr>
            <w:r>
              <w:rPr>
                <w:rFonts w:eastAsia="Times New Roman"/>
                <w:sz w:val="20"/>
                <w:szCs w:val="20"/>
              </w:rPr>
              <w:t>(37,274</w:t>
            </w:r>
          </w:p>
        </w:tc>
        <w:tc>
          <w:tcPr>
            <w:tcW w:w="50" w:type="pct"/>
            <w:shd w:val="clear" w:color="auto" w:fill="FFFFFF"/>
            <w:vAlign w:val="bottom"/>
            <w:hideMark/>
          </w:tcPr>
          <w:p w14:paraId="1F7AE48D"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89EB54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9D96FA"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37B5A60D" w14:textId="77777777" w:rsidR="00000000" w:rsidRDefault="00527094">
            <w:pPr>
              <w:jc w:val="right"/>
              <w:rPr>
                <w:rFonts w:eastAsia="Times New Roman"/>
                <w:sz w:val="20"/>
                <w:szCs w:val="20"/>
              </w:rPr>
            </w:pPr>
            <w:r>
              <w:rPr>
                <w:rFonts w:eastAsia="Times New Roman"/>
                <w:sz w:val="20"/>
                <w:szCs w:val="20"/>
              </w:rPr>
              <w:t>269</w:t>
            </w:r>
          </w:p>
        </w:tc>
        <w:tc>
          <w:tcPr>
            <w:tcW w:w="50" w:type="pct"/>
            <w:shd w:val="clear" w:color="auto" w:fill="FFFFFF"/>
            <w:vAlign w:val="bottom"/>
            <w:hideMark/>
          </w:tcPr>
          <w:p w14:paraId="4EB0012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2963D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E77F01"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3B000BAD" w14:textId="77777777" w:rsidR="00000000" w:rsidRDefault="00527094">
            <w:pPr>
              <w:jc w:val="right"/>
              <w:rPr>
                <w:rFonts w:eastAsia="Times New Roman"/>
                <w:sz w:val="20"/>
                <w:szCs w:val="20"/>
              </w:rPr>
            </w:pPr>
            <w:r>
              <w:rPr>
                <w:rFonts w:eastAsia="Times New Roman"/>
                <w:sz w:val="20"/>
                <w:szCs w:val="20"/>
              </w:rPr>
              <w:t>(76,352</w:t>
            </w:r>
          </w:p>
        </w:tc>
        <w:tc>
          <w:tcPr>
            <w:tcW w:w="50" w:type="pct"/>
            <w:shd w:val="clear" w:color="auto" w:fill="FFFFFF"/>
            <w:vAlign w:val="bottom"/>
            <w:hideMark/>
          </w:tcPr>
          <w:p w14:paraId="0BCCBC2D"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85BB30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F02BF4"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8D2CE4A" w14:textId="77777777" w:rsidR="00000000" w:rsidRDefault="00527094">
            <w:pPr>
              <w:jc w:val="right"/>
              <w:rPr>
                <w:rFonts w:eastAsia="Times New Roman"/>
                <w:sz w:val="20"/>
                <w:szCs w:val="20"/>
              </w:rPr>
            </w:pPr>
            <w:r>
              <w:rPr>
                <w:rFonts w:eastAsia="Times New Roman"/>
                <w:sz w:val="20"/>
                <w:szCs w:val="20"/>
              </w:rPr>
              <w:t>(77,708</w:t>
            </w:r>
          </w:p>
        </w:tc>
        <w:tc>
          <w:tcPr>
            <w:tcW w:w="50" w:type="pct"/>
            <w:shd w:val="clear" w:color="auto" w:fill="FFFFFF"/>
            <w:vAlign w:val="bottom"/>
            <w:hideMark/>
          </w:tcPr>
          <w:p w14:paraId="6A40AB86"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E01135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4F3F0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D30D9C2" w14:textId="77777777" w:rsidR="00000000" w:rsidRDefault="00527094">
            <w:pPr>
              <w:jc w:val="right"/>
              <w:rPr>
                <w:rFonts w:eastAsia="Times New Roman"/>
                <w:sz w:val="20"/>
                <w:szCs w:val="20"/>
              </w:rPr>
            </w:pPr>
            <w:r>
              <w:rPr>
                <w:rFonts w:eastAsia="Times New Roman"/>
                <w:sz w:val="20"/>
                <w:szCs w:val="20"/>
              </w:rPr>
              <w:t>1,356</w:t>
            </w:r>
          </w:p>
        </w:tc>
        <w:tc>
          <w:tcPr>
            <w:tcW w:w="50" w:type="pct"/>
            <w:shd w:val="clear" w:color="auto" w:fill="FFFFFF"/>
            <w:vAlign w:val="bottom"/>
            <w:hideMark/>
          </w:tcPr>
          <w:p w14:paraId="061EE3DD" w14:textId="77777777" w:rsidR="00000000" w:rsidRDefault="00527094">
            <w:pPr>
              <w:rPr>
                <w:rFonts w:eastAsia="Times New Roman"/>
                <w:sz w:val="20"/>
                <w:szCs w:val="20"/>
              </w:rPr>
            </w:pPr>
            <w:r>
              <w:rPr>
                <w:rFonts w:eastAsia="Times New Roman"/>
                <w:sz w:val="20"/>
                <w:szCs w:val="20"/>
              </w:rPr>
              <w:t> </w:t>
            </w:r>
          </w:p>
        </w:tc>
      </w:tr>
      <w:tr w:rsidR="00000000" w14:paraId="53D926F8" w14:textId="77777777">
        <w:trPr>
          <w:tblCellSpacing w:w="0" w:type="dxa"/>
        </w:trPr>
        <w:tc>
          <w:tcPr>
            <w:tcW w:w="1650" w:type="pct"/>
            <w:shd w:val="clear" w:color="auto" w:fill="CCEEFF"/>
            <w:vAlign w:val="bottom"/>
            <w:hideMark/>
          </w:tcPr>
          <w:p w14:paraId="3DEED211" w14:textId="77777777" w:rsidR="00000000" w:rsidRDefault="00527094">
            <w:pPr>
              <w:pStyle w:val="a3"/>
              <w:spacing w:before="0" w:beforeAutospacing="0" w:after="0" w:afterAutospacing="0"/>
              <w:ind w:left="360"/>
              <w:rPr>
                <w:sz w:val="20"/>
                <w:szCs w:val="20"/>
              </w:rPr>
            </w:pPr>
            <w:r>
              <w:rPr>
                <w:sz w:val="20"/>
                <w:szCs w:val="20"/>
              </w:rPr>
              <w:t>Operating and maintenance (3)</w:t>
            </w:r>
          </w:p>
        </w:tc>
        <w:tc>
          <w:tcPr>
            <w:tcW w:w="50" w:type="pct"/>
            <w:shd w:val="clear" w:color="auto" w:fill="CCEEFF"/>
            <w:vAlign w:val="bottom"/>
            <w:hideMark/>
          </w:tcPr>
          <w:p w14:paraId="0DFDB7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7B8DEF"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7400E4DC" w14:textId="77777777" w:rsidR="00000000" w:rsidRDefault="00527094">
            <w:pPr>
              <w:jc w:val="right"/>
              <w:rPr>
                <w:rFonts w:eastAsia="Times New Roman"/>
                <w:sz w:val="20"/>
                <w:szCs w:val="20"/>
              </w:rPr>
            </w:pPr>
            <w:r>
              <w:rPr>
                <w:rFonts w:eastAsia="Times New Roman"/>
                <w:sz w:val="20"/>
                <w:szCs w:val="20"/>
              </w:rPr>
              <w:t>(43,217</w:t>
            </w:r>
          </w:p>
        </w:tc>
        <w:tc>
          <w:tcPr>
            <w:tcW w:w="50" w:type="pct"/>
            <w:shd w:val="clear" w:color="auto" w:fill="CCEEFF"/>
            <w:vAlign w:val="bottom"/>
            <w:hideMark/>
          </w:tcPr>
          <w:p w14:paraId="6158C05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4D86DC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F740E9"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181DC2C" w14:textId="77777777" w:rsidR="00000000" w:rsidRDefault="00527094">
            <w:pPr>
              <w:jc w:val="right"/>
              <w:rPr>
                <w:rFonts w:eastAsia="Times New Roman"/>
                <w:sz w:val="20"/>
                <w:szCs w:val="20"/>
              </w:rPr>
            </w:pPr>
            <w:r>
              <w:rPr>
                <w:rFonts w:eastAsia="Times New Roman"/>
                <w:sz w:val="20"/>
                <w:szCs w:val="20"/>
              </w:rPr>
              <w:t>(41,325</w:t>
            </w:r>
          </w:p>
        </w:tc>
        <w:tc>
          <w:tcPr>
            <w:tcW w:w="50" w:type="pct"/>
            <w:shd w:val="clear" w:color="auto" w:fill="CCEEFF"/>
            <w:vAlign w:val="bottom"/>
            <w:hideMark/>
          </w:tcPr>
          <w:p w14:paraId="5DE8604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6C3150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0BA4EE"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AC33F69" w14:textId="77777777" w:rsidR="00000000" w:rsidRDefault="00527094">
            <w:pPr>
              <w:jc w:val="right"/>
              <w:rPr>
                <w:rFonts w:eastAsia="Times New Roman"/>
                <w:sz w:val="20"/>
                <w:szCs w:val="20"/>
              </w:rPr>
            </w:pPr>
            <w:r>
              <w:rPr>
                <w:rFonts w:eastAsia="Times New Roman"/>
                <w:sz w:val="20"/>
                <w:szCs w:val="20"/>
              </w:rPr>
              <w:t>(1,892</w:t>
            </w:r>
          </w:p>
        </w:tc>
        <w:tc>
          <w:tcPr>
            <w:tcW w:w="50" w:type="pct"/>
            <w:shd w:val="clear" w:color="auto" w:fill="CCEEFF"/>
            <w:vAlign w:val="bottom"/>
            <w:hideMark/>
          </w:tcPr>
          <w:p w14:paraId="0F649037"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FFD452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51D0D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27C59762" w14:textId="77777777" w:rsidR="00000000" w:rsidRDefault="00527094">
            <w:pPr>
              <w:jc w:val="right"/>
              <w:rPr>
                <w:rFonts w:eastAsia="Times New Roman"/>
                <w:sz w:val="20"/>
                <w:szCs w:val="20"/>
              </w:rPr>
            </w:pPr>
            <w:r>
              <w:rPr>
                <w:rFonts w:eastAsia="Times New Roman"/>
                <w:sz w:val="20"/>
                <w:szCs w:val="20"/>
              </w:rPr>
              <w:t>(84,113</w:t>
            </w:r>
          </w:p>
        </w:tc>
        <w:tc>
          <w:tcPr>
            <w:tcW w:w="50" w:type="pct"/>
            <w:shd w:val="clear" w:color="auto" w:fill="CCEEFF"/>
            <w:vAlign w:val="bottom"/>
            <w:hideMark/>
          </w:tcPr>
          <w:p w14:paraId="624D44D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49560B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FC48BE"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D7F443D" w14:textId="77777777" w:rsidR="00000000" w:rsidRDefault="00527094">
            <w:pPr>
              <w:jc w:val="right"/>
              <w:rPr>
                <w:rFonts w:eastAsia="Times New Roman"/>
                <w:sz w:val="20"/>
                <w:szCs w:val="20"/>
              </w:rPr>
            </w:pPr>
            <w:r>
              <w:rPr>
                <w:rFonts w:eastAsia="Times New Roman"/>
                <w:sz w:val="20"/>
                <w:szCs w:val="20"/>
              </w:rPr>
              <w:t>(84,656</w:t>
            </w:r>
          </w:p>
        </w:tc>
        <w:tc>
          <w:tcPr>
            <w:tcW w:w="50" w:type="pct"/>
            <w:shd w:val="clear" w:color="auto" w:fill="CCEEFF"/>
            <w:vAlign w:val="bottom"/>
            <w:hideMark/>
          </w:tcPr>
          <w:p w14:paraId="7669C03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200A3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7DE61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1F13C20" w14:textId="77777777" w:rsidR="00000000" w:rsidRDefault="00527094">
            <w:pPr>
              <w:jc w:val="right"/>
              <w:rPr>
                <w:rFonts w:eastAsia="Times New Roman"/>
                <w:sz w:val="20"/>
                <w:szCs w:val="20"/>
              </w:rPr>
            </w:pPr>
            <w:r>
              <w:rPr>
                <w:rFonts w:eastAsia="Times New Roman"/>
                <w:sz w:val="20"/>
                <w:szCs w:val="20"/>
              </w:rPr>
              <w:t>543</w:t>
            </w:r>
          </w:p>
        </w:tc>
        <w:tc>
          <w:tcPr>
            <w:tcW w:w="50" w:type="pct"/>
            <w:shd w:val="clear" w:color="auto" w:fill="CCEEFF"/>
            <w:vAlign w:val="bottom"/>
            <w:hideMark/>
          </w:tcPr>
          <w:p w14:paraId="7E9C78F4" w14:textId="77777777" w:rsidR="00000000" w:rsidRDefault="00527094">
            <w:pPr>
              <w:rPr>
                <w:rFonts w:eastAsia="Times New Roman"/>
                <w:sz w:val="20"/>
                <w:szCs w:val="20"/>
              </w:rPr>
            </w:pPr>
            <w:r>
              <w:rPr>
                <w:rFonts w:eastAsia="Times New Roman"/>
                <w:sz w:val="20"/>
                <w:szCs w:val="20"/>
              </w:rPr>
              <w:t> </w:t>
            </w:r>
          </w:p>
        </w:tc>
      </w:tr>
      <w:tr w:rsidR="00000000" w14:paraId="095EC96C" w14:textId="77777777">
        <w:trPr>
          <w:tblCellSpacing w:w="0" w:type="dxa"/>
        </w:trPr>
        <w:tc>
          <w:tcPr>
            <w:tcW w:w="1650" w:type="pct"/>
            <w:shd w:val="clear" w:color="auto" w:fill="FFFFFF"/>
            <w:vAlign w:val="bottom"/>
            <w:hideMark/>
          </w:tcPr>
          <w:p w14:paraId="4CB8DB86" w14:textId="77777777" w:rsidR="00000000" w:rsidRDefault="00527094">
            <w:pPr>
              <w:pStyle w:val="a3"/>
              <w:spacing w:before="0" w:beforeAutospacing="0" w:after="0" w:afterAutospacing="0"/>
              <w:ind w:left="360"/>
              <w:rPr>
                <w:sz w:val="20"/>
                <w:szCs w:val="20"/>
              </w:rPr>
            </w:pPr>
            <w:r>
              <w:rPr>
                <w:sz w:val="20"/>
                <w:szCs w:val="20"/>
              </w:rPr>
              <w:t>General and administrative (4)</w:t>
            </w:r>
          </w:p>
        </w:tc>
        <w:tc>
          <w:tcPr>
            <w:tcW w:w="50" w:type="pct"/>
            <w:shd w:val="clear" w:color="auto" w:fill="FFFFFF"/>
            <w:vAlign w:val="bottom"/>
            <w:hideMark/>
          </w:tcPr>
          <w:p w14:paraId="6ACA7E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74C68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BF1274D" w14:textId="77777777" w:rsidR="00000000" w:rsidRDefault="00527094">
            <w:pPr>
              <w:jc w:val="right"/>
              <w:rPr>
                <w:rFonts w:eastAsia="Times New Roman"/>
                <w:sz w:val="20"/>
                <w:szCs w:val="20"/>
              </w:rPr>
            </w:pPr>
            <w:r>
              <w:rPr>
                <w:rFonts w:eastAsia="Times New Roman"/>
                <w:sz w:val="20"/>
                <w:szCs w:val="20"/>
              </w:rPr>
              <w:t>(22,633</w:t>
            </w:r>
          </w:p>
        </w:tc>
        <w:tc>
          <w:tcPr>
            <w:tcW w:w="50" w:type="pct"/>
            <w:shd w:val="clear" w:color="auto" w:fill="FFFFFF"/>
            <w:vAlign w:val="bottom"/>
            <w:hideMark/>
          </w:tcPr>
          <w:p w14:paraId="0D7D6B00"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1F7E910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8F8673"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E25C4BD" w14:textId="77777777" w:rsidR="00000000" w:rsidRDefault="00527094">
            <w:pPr>
              <w:jc w:val="right"/>
              <w:rPr>
                <w:rFonts w:eastAsia="Times New Roman"/>
                <w:sz w:val="20"/>
                <w:szCs w:val="20"/>
              </w:rPr>
            </w:pPr>
            <w:r>
              <w:rPr>
                <w:rFonts w:eastAsia="Times New Roman"/>
                <w:sz w:val="20"/>
                <w:szCs w:val="20"/>
              </w:rPr>
              <w:t>(24,029</w:t>
            </w:r>
          </w:p>
        </w:tc>
        <w:tc>
          <w:tcPr>
            <w:tcW w:w="50" w:type="pct"/>
            <w:shd w:val="clear" w:color="auto" w:fill="FFFFFF"/>
            <w:vAlign w:val="bottom"/>
            <w:hideMark/>
          </w:tcPr>
          <w:p w14:paraId="09F9742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1E8FE5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73109A"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33509D1E" w14:textId="77777777" w:rsidR="00000000" w:rsidRDefault="00527094">
            <w:pPr>
              <w:jc w:val="right"/>
              <w:rPr>
                <w:rFonts w:eastAsia="Times New Roman"/>
                <w:sz w:val="20"/>
                <w:szCs w:val="20"/>
              </w:rPr>
            </w:pPr>
            <w:r>
              <w:rPr>
                <w:rFonts w:eastAsia="Times New Roman"/>
                <w:sz w:val="20"/>
                <w:szCs w:val="20"/>
              </w:rPr>
              <w:t>1,396</w:t>
            </w:r>
          </w:p>
        </w:tc>
        <w:tc>
          <w:tcPr>
            <w:tcW w:w="50" w:type="pct"/>
            <w:shd w:val="clear" w:color="auto" w:fill="FFFFFF"/>
            <w:vAlign w:val="bottom"/>
            <w:hideMark/>
          </w:tcPr>
          <w:p w14:paraId="36A8521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619C5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B8601F"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2D4C51EA" w14:textId="77777777" w:rsidR="00000000" w:rsidRDefault="00527094">
            <w:pPr>
              <w:jc w:val="right"/>
              <w:rPr>
                <w:rFonts w:eastAsia="Times New Roman"/>
                <w:sz w:val="20"/>
                <w:szCs w:val="20"/>
              </w:rPr>
            </w:pPr>
            <w:r>
              <w:rPr>
                <w:rFonts w:eastAsia="Times New Roman"/>
                <w:sz w:val="20"/>
                <w:szCs w:val="20"/>
              </w:rPr>
              <w:t>(48,464</w:t>
            </w:r>
          </w:p>
        </w:tc>
        <w:tc>
          <w:tcPr>
            <w:tcW w:w="50" w:type="pct"/>
            <w:shd w:val="clear" w:color="auto" w:fill="FFFFFF"/>
            <w:vAlign w:val="bottom"/>
            <w:hideMark/>
          </w:tcPr>
          <w:p w14:paraId="63EF50E0"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6EFE9D8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EE436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279D57FC" w14:textId="77777777" w:rsidR="00000000" w:rsidRDefault="00527094">
            <w:pPr>
              <w:jc w:val="right"/>
              <w:rPr>
                <w:rFonts w:eastAsia="Times New Roman"/>
                <w:sz w:val="20"/>
                <w:szCs w:val="20"/>
              </w:rPr>
            </w:pPr>
            <w:r>
              <w:rPr>
                <w:rFonts w:eastAsia="Times New Roman"/>
                <w:sz w:val="20"/>
                <w:szCs w:val="20"/>
              </w:rPr>
              <w:t>(46,427</w:t>
            </w:r>
          </w:p>
        </w:tc>
        <w:tc>
          <w:tcPr>
            <w:tcW w:w="50" w:type="pct"/>
            <w:shd w:val="clear" w:color="auto" w:fill="FFFFFF"/>
            <w:vAlign w:val="bottom"/>
            <w:hideMark/>
          </w:tcPr>
          <w:p w14:paraId="5A45188A"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7CB56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C61E13"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7C875B" w14:textId="77777777" w:rsidR="00000000" w:rsidRDefault="00527094">
            <w:pPr>
              <w:jc w:val="right"/>
              <w:rPr>
                <w:rFonts w:eastAsia="Times New Roman"/>
                <w:sz w:val="20"/>
                <w:szCs w:val="20"/>
              </w:rPr>
            </w:pPr>
            <w:r>
              <w:rPr>
                <w:rFonts w:eastAsia="Times New Roman"/>
                <w:sz w:val="20"/>
                <w:szCs w:val="20"/>
              </w:rPr>
              <w:t>(2,037</w:t>
            </w:r>
          </w:p>
        </w:tc>
        <w:tc>
          <w:tcPr>
            <w:tcW w:w="50" w:type="pct"/>
            <w:shd w:val="clear" w:color="auto" w:fill="FFFFFF"/>
            <w:vAlign w:val="bottom"/>
            <w:hideMark/>
          </w:tcPr>
          <w:p w14:paraId="3161A0B3" w14:textId="77777777" w:rsidR="00000000" w:rsidRDefault="00527094">
            <w:pPr>
              <w:rPr>
                <w:rFonts w:eastAsia="Times New Roman"/>
                <w:sz w:val="20"/>
                <w:szCs w:val="20"/>
              </w:rPr>
            </w:pPr>
            <w:r>
              <w:rPr>
                <w:rFonts w:eastAsia="Times New Roman"/>
                <w:sz w:val="20"/>
                <w:szCs w:val="20"/>
              </w:rPr>
              <w:t>)</w:t>
            </w:r>
          </w:p>
        </w:tc>
      </w:tr>
      <w:tr w:rsidR="00000000" w14:paraId="0C4F21A9" w14:textId="77777777">
        <w:trPr>
          <w:tblCellSpacing w:w="0" w:type="dxa"/>
        </w:trPr>
        <w:tc>
          <w:tcPr>
            <w:tcW w:w="1650" w:type="pct"/>
            <w:shd w:val="clear" w:color="auto" w:fill="CCEEFF"/>
            <w:vAlign w:val="bottom"/>
            <w:hideMark/>
          </w:tcPr>
          <w:p w14:paraId="1461F846" w14:textId="77777777" w:rsidR="00000000" w:rsidRDefault="00527094">
            <w:pPr>
              <w:pStyle w:val="a3"/>
              <w:spacing w:before="0" w:beforeAutospacing="0" w:after="0" w:afterAutospacing="0"/>
              <w:ind w:left="360"/>
              <w:rPr>
                <w:sz w:val="20"/>
                <w:szCs w:val="20"/>
              </w:rPr>
            </w:pPr>
            <w:r>
              <w:rPr>
                <w:sz w:val="20"/>
                <w:szCs w:val="20"/>
              </w:rPr>
              <w:t>Provision for doubtful accounts</w:t>
            </w:r>
          </w:p>
        </w:tc>
        <w:tc>
          <w:tcPr>
            <w:tcW w:w="50" w:type="pct"/>
            <w:shd w:val="clear" w:color="auto" w:fill="CCEEFF"/>
            <w:vAlign w:val="bottom"/>
            <w:hideMark/>
          </w:tcPr>
          <w:p w14:paraId="0D7E463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58429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5002EF8"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316A0D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24E2D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1E6B2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0A01A158" w14:textId="77777777" w:rsidR="00000000" w:rsidRDefault="00527094">
            <w:pPr>
              <w:jc w:val="right"/>
              <w:rPr>
                <w:rFonts w:eastAsia="Times New Roman"/>
                <w:sz w:val="20"/>
                <w:szCs w:val="20"/>
              </w:rPr>
            </w:pPr>
            <w:r>
              <w:rPr>
                <w:rFonts w:eastAsia="Times New Roman"/>
                <w:sz w:val="20"/>
                <w:szCs w:val="20"/>
              </w:rPr>
              <w:t>(1,051</w:t>
            </w:r>
          </w:p>
        </w:tc>
        <w:tc>
          <w:tcPr>
            <w:tcW w:w="50" w:type="pct"/>
            <w:shd w:val="clear" w:color="auto" w:fill="CCEEFF"/>
            <w:vAlign w:val="bottom"/>
            <w:hideMark/>
          </w:tcPr>
          <w:p w14:paraId="7B976F34"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B920D9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20ECE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32DC5B7" w14:textId="77777777" w:rsidR="00000000" w:rsidRDefault="00527094">
            <w:pPr>
              <w:jc w:val="right"/>
              <w:rPr>
                <w:rFonts w:eastAsia="Times New Roman"/>
                <w:sz w:val="20"/>
                <w:szCs w:val="20"/>
              </w:rPr>
            </w:pPr>
            <w:r>
              <w:rPr>
                <w:rFonts w:eastAsia="Times New Roman"/>
                <w:sz w:val="20"/>
                <w:szCs w:val="20"/>
              </w:rPr>
              <w:t>1,051</w:t>
            </w:r>
          </w:p>
        </w:tc>
        <w:tc>
          <w:tcPr>
            <w:tcW w:w="50" w:type="pct"/>
            <w:shd w:val="clear" w:color="auto" w:fill="CCEEFF"/>
            <w:vAlign w:val="bottom"/>
            <w:hideMark/>
          </w:tcPr>
          <w:p w14:paraId="6E06EF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142D3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171973"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413850C1"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87EDF3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47334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86F7E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8E0E283" w14:textId="77777777" w:rsidR="00000000" w:rsidRDefault="00527094">
            <w:pPr>
              <w:jc w:val="right"/>
              <w:rPr>
                <w:rFonts w:eastAsia="Times New Roman"/>
                <w:sz w:val="20"/>
                <w:szCs w:val="20"/>
              </w:rPr>
            </w:pPr>
            <w:r>
              <w:rPr>
                <w:rFonts w:eastAsia="Times New Roman"/>
                <w:sz w:val="20"/>
                <w:szCs w:val="20"/>
              </w:rPr>
              <w:t>(3,182</w:t>
            </w:r>
          </w:p>
        </w:tc>
        <w:tc>
          <w:tcPr>
            <w:tcW w:w="50" w:type="pct"/>
            <w:shd w:val="clear" w:color="auto" w:fill="CCEEFF"/>
            <w:vAlign w:val="bottom"/>
            <w:hideMark/>
          </w:tcPr>
          <w:p w14:paraId="065E78A9"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147A04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DD403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9F5C8F6" w14:textId="77777777" w:rsidR="00000000" w:rsidRDefault="00527094">
            <w:pPr>
              <w:jc w:val="right"/>
              <w:rPr>
                <w:rFonts w:eastAsia="Times New Roman"/>
                <w:sz w:val="20"/>
                <w:szCs w:val="20"/>
              </w:rPr>
            </w:pPr>
            <w:r>
              <w:rPr>
                <w:rFonts w:eastAsia="Times New Roman"/>
                <w:sz w:val="20"/>
                <w:szCs w:val="20"/>
              </w:rPr>
              <w:t>3,182</w:t>
            </w:r>
          </w:p>
        </w:tc>
        <w:tc>
          <w:tcPr>
            <w:tcW w:w="50" w:type="pct"/>
            <w:shd w:val="clear" w:color="auto" w:fill="CCEEFF"/>
            <w:vAlign w:val="bottom"/>
            <w:hideMark/>
          </w:tcPr>
          <w:p w14:paraId="252B61AE" w14:textId="77777777" w:rsidR="00000000" w:rsidRDefault="00527094">
            <w:pPr>
              <w:rPr>
                <w:rFonts w:eastAsia="Times New Roman"/>
                <w:sz w:val="20"/>
                <w:szCs w:val="20"/>
              </w:rPr>
            </w:pPr>
            <w:r>
              <w:rPr>
                <w:rFonts w:eastAsia="Times New Roman"/>
                <w:sz w:val="20"/>
                <w:szCs w:val="20"/>
              </w:rPr>
              <w:t> </w:t>
            </w:r>
          </w:p>
        </w:tc>
      </w:tr>
      <w:tr w:rsidR="00000000" w14:paraId="3A6848A8" w14:textId="77777777">
        <w:trPr>
          <w:tblCellSpacing w:w="0" w:type="dxa"/>
        </w:trPr>
        <w:tc>
          <w:tcPr>
            <w:tcW w:w="1650" w:type="pct"/>
            <w:shd w:val="clear" w:color="auto" w:fill="FFFFFF"/>
            <w:vAlign w:val="bottom"/>
            <w:hideMark/>
          </w:tcPr>
          <w:p w14:paraId="52CB14E1" w14:textId="77777777" w:rsidR="00000000" w:rsidRDefault="00527094">
            <w:pPr>
              <w:pStyle w:val="a3"/>
              <w:spacing w:before="0" w:beforeAutospacing="0" w:after="0" w:afterAutospacing="0"/>
              <w:ind w:left="360"/>
              <w:rPr>
                <w:sz w:val="20"/>
                <w:szCs w:val="20"/>
              </w:rPr>
            </w:pPr>
            <w:r>
              <w:rPr>
                <w:sz w:val="20"/>
                <w:szCs w:val="20"/>
              </w:rPr>
              <w:t>Impairment charges</w:t>
            </w:r>
          </w:p>
        </w:tc>
        <w:tc>
          <w:tcPr>
            <w:tcW w:w="50" w:type="pct"/>
            <w:shd w:val="clear" w:color="auto" w:fill="FFFFFF"/>
            <w:vAlign w:val="bottom"/>
            <w:hideMark/>
          </w:tcPr>
          <w:p w14:paraId="53ECD65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E71F25"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20A2A4FC" w14:textId="77777777" w:rsidR="00000000" w:rsidRDefault="00527094">
            <w:pPr>
              <w:jc w:val="right"/>
              <w:rPr>
                <w:rFonts w:eastAsia="Times New Roman"/>
                <w:sz w:val="20"/>
                <w:szCs w:val="20"/>
              </w:rPr>
            </w:pPr>
            <w:r>
              <w:rPr>
                <w:rFonts w:eastAsia="Times New Roman"/>
                <w:sz w:val="20"/>
                <w:szCs w:val="20"/>
              </w:rPr>
              <w:t>(17,451</w:t>
            </w:r>
          </w:p>
        </w:tc>
        <w:tc>
          <w:tcPr>
            <w:tcW w:w="50" w:type="pct"/>
            <w:shd w:val="clear" w:color="auto" w:fill="FFFFFF"/>
            <w:vAlign w:val="bottom"/>
            <w:hideMark/>
          </w:tcPr>
          <w:p w14:paraId="1AA02985"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0D65A2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0CFC1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002FA53F" w14:textId="77777777" w:rsidR="00000000" w:rsidRDefault="00527094">
            <w:pPr>
              <w:jc w:val="right"/>
              <w:rPr>
                <w:rFonts w:eastAsia="Times New Roman"/>
                <w:sz w:val="20"/>
                <w:szCs w:val="20"/>
              </w:rPr>
            </w:pPr>
            <w:r>
              <w:rPr>
                <w:rFonts w:eastAsia="Times New Roman"/>
                <w:sz w:val="20"/>
                <w:szCs w:val="20"/>
              </w:rPr>
              <w:t>(22,873</w:t>
            </w:r>
          </w:p>
        </w:tc>
        <w:tc>
          <w:tcPr>
            <w:tcW w:w="50" w:type="pct"/>
            <w:shd w:val="clear" w:color="auto" w:fill="FFFFFF"/>
            <w:vAlign w:val="bottom"/>
            <w:hideMark/>
          </w:tcPr>
          <w:p w14:paraId="3EE31FC7"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A46F07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848914"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3D8BC1C5" w14:textId="77777777" w:rsidR="00000000" w:rsidRDefault="00527094">
            <w:pPr>
              <w:jc w:val="right"/>
              <w:rPr>
                <w:rFonts w:eastAsia="Times New Roman"/>
                <w:sz w:val="20"/>
                <w:szCs w:val="20"/>
              </w:rPr>
            </w:pPr>
            <w:r>
              <w:rPr>
                <w:rFonts w:eastAsia="Times New Roman"/>
                <w:sz w:val="20"/>
                <w:szCs w:val="20"/>
              </w:rPr>
              <w:t>5,422</w:t>
            </w:r>
          </w:p>
        </w:tc>
        <w:tc>
          <w:tcPr>
            <w:tcW w:w="50" w:type="pct"/>
            <w:shd w:val="clear" w:color="auto" w:fill="FFFFFF"/>
            <w:vAlign w:val="bottom"/>
            <w:hideMark/>
          </w:tcPr>
          <w:p w14:paraId="359585F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4262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D8F489"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3B2A0396" w14:textId="77777777" w:rsidR="00000000" w:rsidRDefault="00527094">
            <w:pPr>
              <w:jc w:val="right"/>
              <w:rPr>
                <w:rFonts w:eastAsia="Times New Roman"/>
                <w:sz w:val="20"/>
                <w:szCs w:val="20"/>
              </w:rPr>
            </w:pPr>
            <w:r>
              <w:rPr>
                <w:rFonts w:eastAsia="Times New Roman"/>
                <w:sz w:val="20"/>
                <w:szCs w:val="20"/>
              </w:rPr>
              <w:t>(21,626</w:t>
            </w:r>
          </w:p>
        </w:tc>
        <w:tc>
          <w:tcPr>
            <w:tcW w:w="50" w:type="pct"/>
            <w:shd w:val="clear" w:color="auto" w:fill="FFFFFF"/>
            <w:vAlign w:val="bottom"/>
            <w:hideMark/>
          </w:tcPr>
          <w:p w14:paraId="55D866D6"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69EDF5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E8C22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446DF018" w14:textId="77777777" w:rsidR="00000000" w:rsidRDefault="00527094">
            <w:pPr>
              <w:jc w:val="right"/>
              <w:rPr>
                <w:rFonts w:eastAsia="Times New Roman"/>
                <w:sz w:val="20"/>
                <w:szCs w:val="20"/>
              </w:rPr>
            </w:pPr>
            <w:r>
              <w:rPr>
                <w:rFonts w:eastAsia="Times New Roman"/>
                <w:sz w:val="20"/>
                <w:szCs w:val="20"/>
              </w:rPr>
              <w:t>(30,519</w:t>
            </w:r>
          </w:p>
        </w:tc>
        <w:tc>
          <w:tcPr>
            <w:tcW w:w="50" w:type="pct"/>
            <w:shd w:val="clear" w:color="auto" w:fill="FFFFFF"/>
            <w:vAlign w:val="bottom"/>
            <w:hideMark/>
          </w:tcPr>
          <w:p w14:paraId="48A0A7F4"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65810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768A4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DA3AEFE" w14:textId="77777777" w:rsidR="00000000" w:rsidRDefault="00527094">
            <w:pPr>
              <w:jc w:val="right"/>
              <w:rPr>
                <w:rFonts w:eastAsia="Times New Roman"/>
                <w:sz w:val="20"/>
                <w:szCs w:val="20"/>
              </w:rPr>
            </w:pPr>
            <w:r>
              <w:rPr>
                <w:rFonts w:eastAsia="Times New Roman"/>
                <w:sz w:val="20"/>
                <w:szCs w:val="20"/>
              </w:rPr>
              <w:t>8,893</w:t>
            </w:r>
          </w:p>
        </w:tc>
        <w:tc>
          <w:tcPr>
            <w:tcW w:w="50" w:type="pct"/>
            <w:shd w:val="clear" w:color="auto" w:fill="FFFFFF"/>
            <w:vAlign w:val="bottom"/>
            <w:hideMark/>
          </w:tcPr>
          <w:p w14:paraId="6B7D2102" w14:textId="77777777" w:rsidR="00000000" w:rsidRDefault="00527094">
            <w:pPr>
              <w:rPr>
                <w:rFonts w:eastAsia="Times New Roman"/>
                <w:sz w:val="20"/>
                <w:szCs w:val="20"/>
              </w:rPr>
            </w:pPr>
            <w:r>
              <w:rPr>
                <w:rFonts w:eastAsia="Times New Roman"/>
                <w:sz w:val="20"/>
                <w:szCs w:val="20"/>
              </w:rPr>
              <w:t> </w:t>
            </w:r>
          </w:p>
        </w:tc>
      </w:tr>
      <w:tr w:rsidR="00000000" w14:paraId="776F87E7" w14:textId="77777777">
        <w:trPr>
          <w:tblCellSpacing w:w="0" w:type="dxa"/>
        </w:trPr>
        <w:tc>
          <w:tcPr>
            <w:tcW w:w="1650" w:type="pct"/>
            <w:shd w:val="clear" w:color="auto" w:fill="CCEEFF"/>
            <w:vAlign w:val="bottom"/>
            <w:hideMark/>
          </w:tcPr>
          <w:p w14:paraId="4DB8237B" w14:textId="77777777" w:rsidR="00000000" w:rsidRDefault="00527094">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14:paraId="2C3606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9E1D9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FE1BF22" w14:textId="77777777" w:rsidR="00000000" w:rsidRDefault="00527094">
            <w:pPr>
              <w:jc w:val="right"/>
              <w:rPr>
                <w:rFonts w:eastAsia="Times New Roman"/>
                <w:sz w:val="20"/>
                <w:szCs w:val="20"/>
              </w:rPr>
            </w:pPr>
            <w:r>
              <w:rPr>
                <w:rFonts w:eastAsia="Times New Roman"/>
                <w:sz w:val="20"/>
                <w:szCs w:val="20"/>
              </w:rPr>
              <w:t>(69,005</w:t>
            </w:r>
          </w:p>
        </w:tc>
        <w:tc>
          <w:tcPr>
            <w:tcW w:w="50" w:type="pct"/>
            <w:shd w:val="clear" w:color="auto" w:fill="CCEEFF"/>
            <w:vAlign w:val="bottom"/>
            <w:hideMark/>
          </w:tcPr>
          <w:p w14:paraId="726E6BA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12563A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6DB4B2"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25B9EA21" w14:textId="77777777" w:rsidR="00000000" w:rsidRDefault="00527094">
            <w:pPr>
              <w:jc w:val="right"/>
              <w:rPr>
                <w:rFonts w:eastAsia="Times New Roman"/>
                <w:sz w:val="20"/>
                <w:szCs w:val="20"/>
              </w:rPr>
            </w:pPr>
            <w:r>
              <w:rPr>
                <w:rFonts w:eastAsia="Times New Roman"/>
                <w:sz w:val="20"/>
                <w:szCs w:val="20"/>
              </w:rPr>
              <w:t>(79,760</w:t>
            </w:r>
          </w:p>
        </w:tc>
        <w:tc>
          <w:tcPr>
            <w:tcW w:w="50" w:type="pct"/>
            <w:shd w:val="clear" w:color="auto" w:fill="CCEEFF"/>
            <w:vAlign w:val="bottom"/>
            <w:hideMark/>
          </w:tcPr>
          <w:p w14:paraId="6857C92E"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ACDD7B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D9071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41F2742B" w14:textId="77777777" w:rsidR="00000000" w:rsidRDefault="00527094">
            <w:pPr>
              <w:jc w:val="right"/>
              <w:rPr>
                <w:rFonts w:eastAsia="Times New Roman"/>
                <w:sz w:val="20"/>
                <w:szCs w:val="20"/>
              </w:rPr>
            </w:pPr>
            <w:r>
              <w:rPr>
                <w:rFonts w:eastAsia="Times New Roman"/>
                <w:sz w:val="20"/>
                <w:szCs w:val="20"/>
              </w:rPr>
              <w:t>10,755</w:t>
            </w:r>
          </w:p>
        </w:tc>
        <w:tc>
          <w:tcPr>
            <w:tcW w:w="50" w:type="pct"/>
            <w:shd w:val="clear" w:color="auto" w:fill="CCEEFF"/>
            <w:vAlign w:val="bottom"/>
            <w:hideMark/>
          </w:tcPr>
          <w:p w14:paraId="0D5F7BE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20FE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BFD85F"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1DC9A91" w14:textId="77777777" w:rsidR="00000000" w:rsidRDefault="00527094">
            <w:pPr>
              <w:jc w:val="right"/>
              <w:rPr>
                <w:rFonts w:eastAsia="Times New Roman"/>
                <w:sz w:val="20"/>
                <w:szCs w:val="20"/>
              </w:rPr>
            </w:pPr>
            <w:r>
              <w:rPr>
                <w:rFonts w:eastAsia="Times New Roman"/>
                <w:sz w:val="20"/>
                <w:szCs w:val="20"/>
              </w:rPr>
              <w:t>(140,566</w:t>
            </w:r>
          </w:p>
        </w:tc>
        <w:tc>
          <w:tcPr>
            <w:tcW w:w="50" w:type="pct"/>
            <w:shd w:val="clear" w:color="auto" w:fill="CCEEFF"/>
            <w:vAlign w:val="bottom"/>
            <w:hideMark/>
          </w:tcPr>
          <w:p w14:paraId="77226F49"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F142FB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776469"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353DD66" w14:textId="77777777" w:rsidR="00000000" w:rsidRDefault="00527094">
            <w:pPr>
              <w:jc w:val="right"/>
              <w:rPr>
                <w:rFonts w:eastAsia="Times New Roman"/>
                <w:sz w:val="20"/>
                <w:szCs w:val="20"/>
              </w:rPr>
            </w:pPr>
            <w:r>
              <w:rPr>
                <w:rFonts w:eastAsia="Times New Roman"/>
                <w:sz w:val="20"/>
                <w:szCs w:val="20"/>
              </w:rPr>
              <w:t>(161,142</w:t>
            </w:r>
          </w:p>
        </w:tc>
        <w:tc>
          <w:tcPr>
            <w:tcW w:w="50" w:type="pct"/>
            <w:shd w:val="clear" w:color="auto" w:fill="CCEEFF"/>
            <w:vAlign w:val="bottom"/>
            <w:hideMark/>
          </w:tcPr>
          <w:p w14:paraId="33614FF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744D21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3D0B7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EED6371" w14:textId="77777777" w:rsidR="00000000" w:rsidRDefault="00527094">
            <w:pPr>
              <w:jc w:val="right"/>
              <w:rPr>
                <w:rFonts w:eastAsia="Times New Roman"/>
                <w:sz w:val="20"/>
                <w:szCs w:val="20"/>
              </w:rPr>
            </w:pPr>
            <w:r>
              <w:rPr>
                <w:rFonts w:eastAsia="Times New Roman"/>
                <w:sz w:val="20"/>
                <w:szCs w:val="20"/>
              </w:rPr>
              <w:t>20,576</w:t>
            </w:r>
          </w:p>
        </w:tc>
        <w:tc>
          <w:tcPr>
            <w:tcW w:w="50" w:type="pct"/>
            <w:shd w:val="clear" w:color="auto" w:fill="CCEEFF"/>
            <w:vAlign w:val="bottom"/>
            <w:hideMark/>
          </w:tcPr>
          <w:p w14:paraId="040CBB06" w14:textId="77777777" w:rsidR="00000000" w:rsidRDefault="00527094">
            <w:pPr>
              <w:rPr>
                <w:rFonts w:eastAsia="Times New Roman"/>
                <w:sz w:val="20"/>
                <w:szCs w:val="20"/>
              </w:rPr>
            </w:pPr>
            <w:r>
              <w:rPr>
                <w:rFonts w:eastAsia="Times New Roman"/>
                <w:sz w:val="20"/>
                <w:szCs w:val="20"/>
              </w:rPr>
              <w:t> </w:t>
            </w:r>
          </w:p>
        </w:tc>
      </w:tr>
      <w:tr w:rsidR="00000000" w14:paraId="0C878E1A" w14:textId="77777777">
        <w:trPr>
          <w:tblCellSpacing w:w="0" w:type="dxa"/>
        </w:trPr>
        <w:tc>
          <w:tcPr>
            <w:tcW w:w="1650" w:type="pct"/>
            <w:shd w:val="clear" w:color="auto" w:fill="FFFFFF"/>
            <w:vAlign w:val="bottom"/>
            <w:hideMark/>
          </w:tcPr>
          <w:p w14:paraId="0CBDA800" w14:textId="77777777" w:rsidR="00000000" w:rsidRDefault="00527094">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14:paraId="62E2BDD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9B04D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9160E29" w14:textId="77777777" w:rsidR="00000000" w:rsidRDefault="00527094">
            <w:pPr>
              <w:jc w:val="right"/>
              <w:rPr>
                <w:rFonts w:eastAsia="Times New Roman"/>
                <w:sz w:val="20"/>
                <w:szCs w:val="20"/>
              </w:rPr>
            </w:pPr>
            <w:r>
              <w:rPr>
                <w:rFonts w:eastAsia="Times New Roman"/>
                <w:sz w:val="20"/>
                <w:szCs w:val="20"/>
              </w:rPr>
              <w:t>14,762</w:t>
            </w:r>
          </w:p>
        </w:tc>
        <w:tc>
          <w:tcPr>
            <w:tcW w:w="50" w:type="pct"/>
            <w:shd w:val="clear" w:color="auto" w:fill="FFFFFF"/>
            <w:vAlign w:val="bottom"/>
            <w:hideMark/>
          </w:tcPr>
          <w:p w14:paraId="0E2A3B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385F1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A579F4"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0D447C1B" w14:textId="77777777" w:rsidR="00000000" w:rsidRDefault="00527094">
            <w:pPr>
              <w:jc w:val="right"/>
              <w:rPr>
                <w:rFonts w:eastAsia="Times New Roman"/>
                <w:sz w:val="20"/>
                <w:szCs w:val="20"/>
              </w:rPr>
            </w:pPr>
            <w:r>
              <w:rPr>
                <w:rFonts w:eastAsia="Times New Roman"/>
                <w:sz w:val="20"/>
                <w:szCs w:val="20"/>
              </w:rPr>
              <w:t>95,240</w:t>
            </w:r>
          </w:p>
        </w:tc>
        <w:tc>
          <w:tcPr>
            <w:tcW w:w="50" w:type="pct"/>
            <w:shd w:val="clear" w:color="auto" w:fill="FFFFFF"/>
            <w:vAlign w:val="bottom"/>
            <w:hideMark/>
          </w:tcPr>
          <w:p w14:paraId="1759D1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D855A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5BDE75"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0721E3A" w14:textId="77777777" w:rsidR="00000000" w:rsidRDefault="00527094">
            <w:pPr>
              <w:jc w:val="right"/>
              <w:rPr>
                <w:rFonts w:eastAsia="Times New Roman"/>
                <w:sz w:val="20"/>
                <w:szCs w:val="20"/>
              </w:rPr>
            </w:pPr>
            <w:r>
              <w:rPr>
                <w:rFonts w:eastAsia="Times New Roman"/>
                <w:sz w:val="20"/>
                <w:szCs w:val="20"/>
              </w:rPr>
              <w:t>(80,478</w:t>
            </w:r>
          </w:p>
        </w:tc>
        <w:tc>
          <w:tcPr>
            <w:tcW w:w="50" w:type="pct"/>
            <w:shd w:val="clear" w:color="auto" w:fill="FFFFFF"/>
            <w:vAlign w:val="bottom"/>
            <w:hideMark/>
          </w:tcPr>
          <w:p w14:paraId="04FE43E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97EDA0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7FA088"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53E2E49" w14:textId="77777777" w:rsidR="00000000" w:rsidRDefault="00527094">
            <w:pPr>
              <w:jc w:val="right"/>
              <w:rPr>
                <w:rFonts w:eastAsia="Times New Roman"/>
                <w:sz w:val="20"/>
                <w:szCs w:val="20"/>
              </w:rPr>
            </w:pPr>
            <w:r>
              <w:rPr>
                <w:rFonts w:eastAsia="Times New Roman"/>
                <w:sz w:val="20"/>
                <w:szCs w:val="20"/>
              </w:rPr>
              <w:t>38,357</w:t>
            </w:r>
          </w:p>
        </w:tc>
        <w:tc>
          <w:tcPr>
            <w:tcW w:w="50" w:type="pct"/>
            <w:shd w:val="clear" w:color="auto" w:fill="FFFFFF"/>
            <w:vAlign w:val="bottom"/>
            <w:hideMark/>
          </w:tcPr>
          <w:p w14:paraId="6D829F2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209D0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349A6A"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0214A6EF" w14:textId="77777777" w:rsidR="00000000" w:rsidRDefault="00527094">
            <w:pPr>
              <w:jc w:val="right"/>
              <w:rPr>
                <w:rFonts w:eastAsia="Times New Roman"/>
                <w:sz w:val="20"/>
                <w:szCs w:val="20"/>
              </w:rPr>
            </w:pPr>
            <w:r>
              <w:rPr>
                <w:rFonts w:eastAsia="Times New Roman"/>
                <w:sz w:val="20"/>
                <w:szCs w:val="20"/>
              </w:rPr>
              <w:t>152,211</w:t>
            </w:r>
          </w:p>
        </w:tc>
        <w:tc>
          <w:tcPr>
            <w:tcW w:w="50" w:type="pct"/>
            <w:shd w:val="clear" w:color="auto" w:fill="FFFFFF"/>
            <w:vAlign w:val="bottom"/>
            <w:hideMark/>
          </w:tcPr>
          <w:p w14:paraId="6D54CAC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F5329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A23E5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83E82FE" w14:textId="77777777" w:rsidR="00000000" w:rsidRDefault="00527094">
            <w:pPr>
              <w:jc w:val="right"/>
              <w:rPr>
                <w:rFonts w:eastAsia="Times New Roman"/>
                <w:sz w:val="20"/>
                <w:szCs w:val="20"/>
              </w:rPr>
            </w:pPr>
            <w:r>
              <w:rPr>
                <w:rFonts w:eastAsia="Times New Roman"/>
                <w:sz w:val="20"/>
                <w:szCs w:val="20"/>
              </w:rPr>
              <w:t>(113,854</w:t>
            </w:r>
          </w:p>
        </w:tc>
        <w:tc>
          <w:tcPr>
            <w:tcW w:w="50" w:type="pct"/>
            <w:shd w:val="clear" w:color="auto" w:fill="FFFFFF"/>
            <w:vAlign w:val="bottom"/>
            <w:hideMark/>
          </w:tcPr>
          <w:p w14:paraId="41343FFC" w14:textId="77777777" w:rsidR="00000000" w:rsidRDefault="00527094">
            <w:pPr>
              <w:rPr>
                <w:rFonts w:eastAsia="Times New Roman"/>
                <w:sz w:val="20"/>
                <w:szCs w:val="20"/>
              </w:rPr>
            </w:pPr>
            <w:r>
              <w:rPr>
                <w:rFonts w:eastAsia="Times New Roman"/>
                <w:sz w:val="20"/>
                <w:szCs w:val="20"/>
              </w:rPr>
              <w:t>)</w:t>
            </w:r>
          </w:p>
        </w:tc>
      </w:tr>
      <w:tr w:rsidR="00000000" w14:paraId="730523B4" w14:textId="77777777">
        <w:trPr>
          <w:tblCellSpacing w:w="0" w:type="dxa"/>
        </w:trPr>
        <w:tc>
          <w:tcPr>
            <w:tcW w:w="1650" w:type="pct"/>
            <w:shd w:val="clear" w:color="auto" w:fill="CCEEFF"/>
            <w:vAlign w:val="bottom"/>
            <w:hideMark/>
          </w:tcPr>
          <w:p w14:paraId="47632FF8" w14:textId="77777777" w:rsidR="00000000" w:rsidRDefault="00527094">
            <w:pPr>
              <w:pStyle w:val="a3"/>
              <w:spacing w:before="0" w:beforeAutospacing="0" w:after="0" w:afterAutospacing="0"/>
              <w:rPr>
                <w:sz w:val="20"/>
                <w:szCs w:val="20"/>
              </w:rPr>
            </w:pPr>
            <w:r>
              <w:rPr>
                <w:sz w:val="20"/>
                <w:szCs w:val="20"/>
              </w:rPr>
              <w:t>Other income/(expense)</w:t>
            </w:r>
          </w:p>
        </w:tc>
        <w:tc>
          <w:tcPr>
            <w:tcW w:w="50" w:type="pct"/>
            <w:shd w:val="clear" w:color="auto" w:fill="CCEEFF"/>
            <w:vAlign w:val="bottom"/>
            <w:hideMark/>
          </w:tcPr>
          <w:p w14:paraId="4334239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466AA4"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2275E90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7A588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A35E2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60DF74"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2D694FB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22F8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918C9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CA6BB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69351E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B9DF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C640F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B642A0"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426F5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A8E9F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256EF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1EF4D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05A3A05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4BFBE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0BD13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6708F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ECFFCF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278423" w14:textId="77777777" w:rsidR="00000000" w:rsidRDefault="00527094">
            <w:pPr>
              <w:rPr>
                <w:rFonts w:eastAsia="Times New Roman"/>
                <w:sz w:val="20"/>
                <w:szCs w:val="20"/>
              </w:rPr>
            </w:pPr>
            <w:r>
              <w:rPr>
                <w:rFonts w:eastAsia="Times New Roman"/>
                <w:sz w:val="20"/>
                <w:szCs w:val="20"/>
              </w:rPr>
              <w:t> </w:t>
            </w:r>
          </w:p>
        </w:tc>
      </w:tr>
      <w:tr w:rsidR="00000000" w14:paraId="4632F0DB" w14:textId="77777777">
        <w:trPr>
          <w:tblCellSpacing w:w="0" w:type="dxa"/>
        </w:trPr>
        <w:tc>
          <w:tcPr>
            <w:tcW w:w="1650" w:type="pct"/>
            <w:shd w:val="clear" w:color="auto" w:fill="FFFFFF"/>
            <w:vAlign w:val="bottom"/>
            <w:hideMark/>
          </w:tcPr>
          <w:p w14:paraId="2737AD4C" w14:textId="77777777" w:rsidR="00000000" w:rsidRDefault="00527094">
            <w:pPr>
              <w:pStyle w:val="a3"/>
              <w:spacing w:before="0" w:beforeAutospacing="0" w:after="0" w:afterAutospacing="0"/>
              <w:ind w:left="360"/>
              <w:rPr>
                <w:sz w:val="20"/>
                <w:szCs w:val="20"/>
              </w:rPr>
            </w:pPr>
            <w:r>
              <w:rPr>
                <w:sz w:val="20"/>
                <w:szCs w:val="20"/>
              </w:rPr>
              <w:t>Other income, net</w:t>
            </w:r>
          </w:p>
        </w:tc>
        <w:tc>
          <w:tcPr>
            <w:tcW w:w="50" w:type="pct"/>
            <w:shd w:val="clear" w:color="auto" w:fill="FFFFFF"/>
            <w:vAlign w:val="bottom"/>
            <w:hideMark/>
          </w:tcPr>
          <w:p w14:paraId="1E000E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3F18E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26AB0F8A" w14:textId="77777777" w:rsidR="00000000" w:rsidRDefault="00527094">
            <w:pPr>
              <w:jc w:val="right"/>
              <w:rPr>
                <w:rFonts w:eastAsia="Times New Roman"/>
                <w:sz w:val="20"/>
                <w:szCs w:val="20"/>
              </w:rPr>
            </w:pPr>
            <w:r>
              <w:rPr>
                <w:rFonts w:eastAsia="Times New Roman"/>
                <w:sz w:val="20"/>
                <w:szCs w:val="20"/>
              </w:rPr>
              <w:t>1,938</w:t>
            </w:r>
          </w:p>
        </w:tc>
        <w:tc>
          <w:tcPr>
            <w:tcW w:w="50" w:type="pct"/>
            <w:shd w:val="clear" w:color="auto" w:fill="FFFFFF"/>
            <w:vAlign w:val="bottom"/>
            <w:hideMark/>
          </w:tcPr>
          <w:p w14:paraId="0B7FEEC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F7803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FE7B7F"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37D495D9" w14:textId="77777777" w:rsidR="00000000" w:rsidRDefault="00527094">
            <w:pPr>
              <w:jc w:val="right"/>
              <w:rPr>
                <w:rFonts w:eastAsia="Times New Roman"/>
                <w:sz w:val="20"/>
                <w:szCs w:val="20"/>
              </w:rPr>
            </w:pPr>
            <w:r>
              <w:rPr>
                <w:rFonts w:eastAsia="Times New Roman"/>
                <w:sz w:val="20"/>
                <w:szCs w:val="20"/>
              </w:rPr>
              <w:t>3,277</w:t>
            </w:r>
          </w:p>
        </w:tc>
        <w:tc>
          <w:tcPr>
            <w:tcW w:w="50" w:type="pct"/>
            <w:shd w:val="clear" w:color="auto" w:fill="FFFFFF"/>
            <w:vAlign w:val="bottom"/>
            <w:hideMark/>
          </w:tcPr>
          <w:p w14:paraId="718570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29D60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05BDD1"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64FAF86" w14:textId="77777777" w:rsidR="00000000" w:rsidRDefault="00527094">
            <w:pPr>
              <w:jc w:val="right"/>
              <w:rPr>
                <w:rFonts w:eastAsia="Times New Roman"/>
                <w:sz w:val="20"/>
                <w:szCs w:val="20"/>
              </w:rPr>
            </w:pPr>
            <w:r>
              <w:rPr>
                <w:rFonts w:eastAsia="Times New Roman"/>
                <w:sz w:val="20"/>
                <w:szCs w:val="20"/>
              </w:rPr>
              <w:t>(1,339</w:t>
            </w:r>
          </w:p>
        </w:tc>
        <w:tc>
          <w:tcPr>
            <w:tcW w:w="50" w:type="pct"/>
            <w:shd w:val="clear" w:color="auto" w:fill="FFFFFF"/>
            <w:vAlign w:val="bottom"/>
            <w:hideMark/>
          </w:tcPr>
          <w:p w14:paraId="6A0D9526"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61FBB2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5CAE8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40A02A37" w14:textId="77777777" w:rsidR="00000000" w:rsidRDefault="00527094">
            <w:pPr>
              <w:jc w:val="right"/>
              <w:rPr>
                <w:rFonts w:eastAsia="Times New Roman"/>
                <w:sz w:val="20"/>
                <w:szCs w:val="20"/>
              </w:rPr>
            </w:pPr>
            <w:r>
              <w:rPr>
                <w:rFonts w:eastAsia="Times New Roman"/>
                <w:sz w:val="20"/>
                <w:szCs w:val="20"/>
              </w:rPr>
              <w:t>4,560</w:t>
            </w:r>
          </w:p>
        </w:tc>
        <w:tc>
          <w:tcPr>
            <w:tcW w:w="50" w:type="pct"/>
            <w:shd w:val="clear" w:color="auto" w:fill="FFFFFF"/>
            <w:vAlign w:val="bottom"/>
            <w:hideMark/>
          </w:tcPr>
          <w:p w14:paraId="5B804A2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A9D9F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1CA99D"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4A39254" w14:textId="77777777" w:rsidR="00000000" w:rsidRDefault="00527094">
            <w:pPr>
              <w:jc w:val="right"/>
              <w:rPr>
                <w:rFonts w:eastAsia="Times New Roman"/>
                <w:sz w:val="20"/>
                <w:szCs w:val="20"/>
              </w:rPr>
            </w:pPr>
            <w:r>
              <w:rPr>
                <w:rFonts w:eastAsia="Times New Roman"/>
                <w:sz w:val="20"/>
                <w:szCs w:val="20"/>
              </w:rPr>
              <w:t>9,456</w:t>
            </w:r>
          </w:p>
        </w:tc>
        <w:tc>
          <w:tcPr>
            <w:tcW w:w="50" w:type="pct"/>
            <w:shd w:val="clear" w:color="auto" w:fill="FFFFFF"/>
            <w:vAlign w:val="bottom"/>
            <w:hideMark/>
          </w:tcPr>
          <w:p w14:paraId="62314D0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64B4F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7F8D7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A632CB4" w14:textId="77777777" w:rsidR="00000000" w:rsidRDefault="00527094">
            <w:pPr>
              <w:jc w:val="right"/>
              <w:rPr>
                <w:rFonts w:eastAsia="Times New Roman"/>
                <w:sz w:val="20"/>
                <w:szCs w:val="20"/>
              </w:rPr>
            </w:pPr>
            <w:r>
              <w:rPr>
                <w:rFonts w:eastAsia="Times New Roman"/>
                <w:sz w:val="20"/>
                <w:szCs w:val="20"/>
              </w:rPr>
              <w:t>(4,896</w:t>
            </w:r>
          </w:p>
        </w:tc>
        <w:tc>
          <w:tcPr>
            <w:tcW w:w="50" w:type="pct"/>
            <w:shd w:val="clear" w:color="auto" w:fill="FFFFFF"/>
            <w:vAlign w:val="bottom"/>
            <w:hideMark/>
          </w:tcPr>
          <w:p w14:paraId="09B6D5C1" w14:textId="77777777" w:rsidR="00000000" w:rsidRDefault="00527094">
            <w:pPr>
              <w:rPr>
                <w:rFonts w:eastAsia="Times New Roman"/>
                <w:sz w:val="20"/>
                <w:szCs w:val="20"/>
              </w:rPr>
            </w:pPr>
            <w:r>
              <w:rPr>
                <w:rFonts w:eastAsia="Times New Roman"/>
                <w:sz w:val="20"/>
                <w:szCs w:val="20"/>
              </w:rPr>
              <w:t>)</w:t>
            </w:r>
          </w:p>
        </w:tc>
      </w:tr>
      <w:tr w:rsidR="00000000" w14:paraId="498708D7" w14:textId="77777777">
        <w:trPr>
          <w:tblCellSpacing w:w="0" w:type="dxa"/>
        </w:trPr>
        <w:tc>
          <w:tcPr>
            <w:tcW w:w="1650" w:type="pct"/>
            <w:shd w:val="clear" w:color="auto" w:fill="CCEEFF"/>
            <w:vAlign w:val="bottom"/>
            <w:hideMark/>
          </w:tcPr>
          <w:p w14:paraId="2B4ECDB0" w14:textId="77777777" w:rsidR="00000000" w:rsidRDefault="00527094">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14:paraId="0935A1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7D6BF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0BA3DF7D" w14:textId="77777777" w:rsidR="00000000" w:rsidRDefault="00527094">
            <w:pPr>
              <w:jc w:val="right"/>
              <w:rPr>
                <w:rFonts w:eastAsia="Times New Roman"/>
                <w:sz w:val="20"/>
                <w:szCs w:val="20"/>
              </w:rPr>
            </w:pPr>
            <w:r>
              <w:rPr>
                <w:rFonts w:eastAsia="Times New Roman"/>
                <w:sz w:val="20"/>
                <w:szCs w:val="20"/>
              </w:rPr>
              <w:t>(44,097</w:t>
            </w:r>
          </w:p>
        </w:tc>
        <w:tc>
          <w:tcPr>
            <w:tcW w:w="50" w:type="pct"/>
            <w:shd w:val="clear" w:color="auto" w:fill="CCEEFF"/>
            <w:vAlign w:val="bottom"/>
            <w:hideMark/>
          </w:tcPr>
          <w:p w14:paraId="28C1827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2B6268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F1F8F1"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DE809D9" w14:textId="77777777" w:rsidR="00000000" w:rsidRDefault="00527094">
            <w:pPr>
              <w:jc w:val="right"/>
              <w:rPr>
                <w:rFonts w:eastAsia="Times New Roman"/>
                <w:sz w:val="20"/>
                <w:szCs w:val="20"/>
              </w:rPr>
            </w:pPr>
            <w:r>
              <w:rPr>
                <w:rFonts w:eastAsia="Times New Roman"/>
                <w:sz w:val="20"/>
                <w:szCs w:val="20"/>
              </w:rPr>
              <w:t>(46,434</w:t>
            </w:r>
          </w:p>
        </w:tc>
        <w:tc>
          <w:tcPr>
            <w:tcW w:w="50" w:type="pct"/>
            <w:shd w:val="clear" w:color="auto" w:fill="CCEEFF"/>
            <w:vAlign w:val="bottom"/>
            <w:hideMark/>
          </w:tcPr>
          <w:p w14:paraId="69CE8A91"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3A6DA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18798D"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7CFBDA08" w14:textId="77777777" w:rsidR="00000000" w:rsidRDefault="00527094">
            <w:pPr>
              <w:jc w:val="right"/>
              <w:rPr>
                <w:rFonts w:eastAsia="Times New Roman"/>
                <w:sz w:val="20"/>
                <w:szCs w:val="20"/>
              </w:rPr>
            </w:pPr>
            <w:r>
              <w:rPr>
                <w:rFonts w:eastAsia="Times New Roman"/>
                <w:sz w:val="20"/>
                <w:szCs w:val="20"/>
              </w:rPr>
              <w:t>2,337</w:t>
            </w:r>
          </w:p>
        </w:tc>
        <w:tc>
          <w:tcPr>
            <w:tcW w:w="50" w:type="pct"/>
            <w:shd w:val="clear" w:color="auto" w:fill="CCEEFF"/>
            <w:vAlign w:val="bottom"/>
            <w:hideMark/>
          </w:tcPr>
          <w:p w14:paraId="64E84D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F23D9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31504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74E26546" w14:textId="77777777" w:rsidR="00000000" w:rsidRDefault="00527094">
            <w:pPr>
              <w:jc w:val="right"/>
              <w:rPr>
                <w:rFonts w:eastAsia="Times New Roman"/>
                <w:sz w:val="20"/>
                <w:szCs w:val="20"/>
              </w:rPr>
            </w:pPr>
            <w:r>
              <w:rPr>
                <w:rFonts w:eastAsia="Times New Roman"/>
                <w:sz w:val="20"/>
                <w:szCs w:val="20"/>
              </w:rPr>
              <w:t>(88,492</w:t>
            </w:r>
          </w:p>
        </w:tc>
        <w:tc>
          <w:tcPr>
            <w:tcW w:w="50" w:type="pct"/>
            <w:shd w:val="clear" w:color="auto" w:fill="CCEEFF"/>
            <w:vAlign w:val="bottom"/>
            <w:hideMark/>
          </w:tcPr>
          <w:p w14:paraId="2C541D66"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1F8AC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F8811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777D1004" w14:textId="77777777" w:rsidR="00000000" w:rsidRDefault="00527094">
            <w:pPr>
              <w:jc w:val="right"/>
              <w:rPr>
                <w:rFonts w:eastAsia="Times New Roman"/>
                <w:sz w:val="20"/>
                <w:szCs w:val="20"/>
              </w:rPr>
            </w:pPr>
            <w:r>
              <w:rPr>
                <w:rFonts w:eastAsia="Times New Roman"/>
                <w:sz w:val="20"/>
                <w:szCs w:val="20"/>
              </w:rPr>
              <w:t>(96,377</w:t>
            </w:r>
          </w:p>
        </w:tc>
        <w:tc>
          <w:tcPr>
            <w:tcW w:w="50" w:type="pct"/>
            <w:shd w:val="clear" w:color="auto" w:fill="CCEEFF"/>
            <w:vAlign w:val="bottom"/>
            <w:hideMark/>
          </w:tcPr>
          <w:p w14:paraId="13DC604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0866D40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E0953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1C83652" w14:textId="77777777" w:rsidR="00000000" w:rsidRDefault="00527094">
            <w:pPr>
              <w:jc w:val="right"/>
              <w:rPr>
                <w:rFonts w:eastAsia="Times New Roman"/>
                <w:sz w:val="20"/>
                <w:szCs w:val="20"/>
              </w:rPr>
            </w:pPr>
            <w:r>
              <w:rPr>
                <w:rFonts w:eastAsia="Times New Roman"/>
                <w:sz w:val="20"/>
                <w:szCs w:val="20"/>
              </w:rPr>
              <w:t>7,885</w:t>
            </w:r>
          </w:p>
        </w:tc>
        <w:tc>
          <w:tcPr>
            <w:tcW w:w="50" w:type="pct"/>
            <w:shd w:val="clear" w:color="auto" w:fill="CCEEFF"/>
            <w:vAlign w:val="bottom"/>
            <w:hideMark/>
          </w:tcPr>
          <w:p w14:paraId="18D8A036" w14:textId="77777777" w:rsidR="00000000" w:rsidRDefault="00527094">
            <w:pPr>
              <w:rPr>
                <w:rFonts w:eastAsia="Times New Roman"/>
                <w:sz w:val="20"/>
                <w:szCs w:val="20"/>
              </w:rPr>
            </w:pPr>
            <w:r>
              <w:rPr>
                <w:rFonts w:eastAsia="Times New Roman"/>
                <w:sz w:val="20"/>
                <w:szCs w:val="20"/>
              </w:rPr>
              <w:t> </w:t>
            </w:r>
          </w:p>
        </w:tc>
      </w:tr>
      <w:tr w:rsidR="00000000" w14:paraId="198457CA" w14:textId="77777777">
        <w:trPr>
          <w:tblCellSpacing w:w="0" w:type="dxa"/>
        </w:trPr>
        <w:tc>
          <w:tcPr>
            <w:tcW w:w="1650" w:type="pct"/>
            <w:shd w:val="clear" w:color="auto" w:fill="FFFFFF"/>
            <w:vAlign w:val="bottom"/>
            <w:hideMark/>
          </w:tcPr>
          <w:p w14:paraId="5C6AF60C" w14:textId="77777777" w:rsidR="00000000" w:rsidRDefault="00527094">
            <w:pPr>
              <w:pStyle w:val="a3"/>
              <w:spacing w:before="0" w:beforeAutospacing="0" w:after="0" w:afterAutospacing="0"/>
              <w:ind w:left="360"/>
              <w:rPr>
                <w:sz w:val="20"/>
                <w:szCs w:val="20"/>
              </w:rPr>
            </w:pPr>
            <w:r>
              <w:rPr>
                <w:sz w:val="20"/>
                <w:szCs w:val="20"/>
              </w:rPr>
              <w:t>Benefit/(provision) for income taxes, net</w:t>
            </w:r>
          </w:p>
        </w:tc>
        <w:tc>
          <w:tcPr>
            <w:tcW w:w="50" w:type="pct"/>
            <w:shd w:val="clear" w:color="auto" w:fill="FFFFFF"/>
            <w:vAlign w:val="bottom"/>
            <w:hideMark/>
          </w:tcPr>
          <w:p w14:paraId="0E6E115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9AF392"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67EE2C8" w14:textId="77777777" w:rsidR="00000000" w:rsidRDefault="00527094">
            <w:pPr>
              <w:jc w:val="right"/>
              <w:rPr>
                <w:rFonts w:eastAsia="Times New Roman"/>
                <w:sz w:val="20"/>
                <w:szCs w:val="20"/>
              </w:rPr>
            </w:pPr>
            <w:r>
              <w:rPr>
                <w:rFonts w:eastAsia="Times New Roman"/>
                <w:sz w:val="20"/>
                <w:szCs w:val="20"/>
              </w:rPr>
              <w:t>344</w:t>
            </w:r>
          </w:p>
        </w:tc>
        <w:tc>
          <w:tcPr>
            <w:tcW w:w="50" w:type="pct"/>
            <w:shd w:val="clear" w:color="auto" w:fill="FFFFFF"/>
            <w:vAlign w:val="bottom"/>
            <w:hideMark/>
          </w:tcPr>
          <w:p w14:paraId="2CCEFC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97AE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DD08D9"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DA93C41" w14:textId="77777777" w:rsidR="00000000" w:rsidRDefault="00527094">
            <w:pPr>
              <w:jc w:val="right"/>
              <w:rPr>
                <w:rFonts w:eastAsia="Times New Roman"/>
                <w:sz w:val="20"/>
                <w:szCs w:val="20"/>
              </w:rPr>
            </w:pPr>
            <w:r>
              <w:rPr>
                <w:rFonts w:eastAsia="Times New Roman"/>
                <w:sz w:val="20"/>
                <w:szCs w:val="20"/>
              </w:rPr>
              <w:t>720</w:t>
            </w:r>
          </w:p>
        </w:tc>
        <w:tc>
          <w:tcPr>
            <w:tcW w:w="50" w:type="pct"/>
            <w:shd w:val="clear" w:color="auto" w:fill="FFFFFF"/>
            <w:vAlign w:val="bottom"/>
            <w:hideMark/>
          </w:tcPr>
          <w:p w14:paraId="1079782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02873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0950A5"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367AEB8" w14:textId="77777777" w:rsidR="00000000" w:rsidRDefault="00527094">
            <w:pPr>
              <w:jc w:val="right"/>
              <w:rPr>
                <w:rFonts w:eastAsia="Times New Roman"/>
                <w:sz w:val="20"/>
                <w:szCs w:val="20"/>
              </w:rPr>
            </w:pPr>
            <w:r>
              <w:rPr>
                <w:rFonts w:eastAsia="Times New Roman"/>
                <w:sz w:val="20"/>
                <w:szCs w:val="20"/>
              </w:rPr>
              <w:t>(376</w:t>
            </w:r>
          </w:p>
        </w:tc>
        <w:tc>
          <w:tcPr>
            <w:tcW w:w="50" w:type="pct"/>
            <w:shd w:val="clear" w:color="auto" w:fill="FFFFFF"/>
            <w:vAlign w:val="bottom"/>
            <w:hideMark/>
          </w:tcPr>
          <w:p w14:paraId="1BA6AE73"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647F30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856C1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5F9150DA" w14:textId="77777777" w:rsidR="00000000" w:rsidRDefault="00527094">
            <w:pPr>
              <w:jc w:val="right"/>
              <w:rPr>
                <w:rFonts w:eastAsia="Times New Roman"/>
                <w:sz w:val="20"/>
                <w:szCs w:val="20"/>
              </w:rPr>
            </w:pPr>
            <w:r>
              <w:rPr>
                <w:rFonts w:eastAsia="Times New Roman"/>
                <w:sz w:val="20"/>
                <w:szCs w:val="20"/>
              </w:rPr>
              <w:t>(286</w:t>
            </w:r>
          </w:p>
        </w:tc>
        <w:tc>
          <w:tcPr>
            <w:tcW w:w="50" w:type="pct"/>
            <w:shd w:val="clear" w:color="auto" w:fill="FFFFFF"/>
            <w:vAlign w:val="bottom"/>
            <w:hideMark/>
          </w:tcPr>
          <w:p w14:paraId="64D79D93"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EC4FD3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325D7A"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538E3E3" w14:textId="77777777" w:rsidR="00000000" w:rsidRDefault="00527094">
            <w:pPr>
              <w:jc w:val="right"/>
              <w:rPr>
                <w:rFonts w:eastAsia="Times New Roman"/>
                <w:sz w:val="20"/>
                <w:szCs w:val="20"/>
              </w:rPr>
            </w:pPr>
            <w:r>
              <w:rPr>
                <w:rFonts w:eastAsia="Times New Roman"/>
                <w:sz w:val="20"/>
                <w:szCs w:val="20"/>
              </w:rPr>
              <w:t>668</w:t>
            </w:r>
          </w:p>
        </w:tc>
        <w:tc>
          <w:tcPr>
            <w:tcW w:w="50" w:type="pct"/>
            <w:shd w:val="clear" w:color="auto" w:fill="FFFFFF"/>
            <w:vAlign w:val="bottom"/>
            <w:hideMark/>
          </w:tcPr>
          <w:p w14:paraId="228B821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0B55B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E5579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75E9944" w14:textId="77777777" w:rsidR="00000000" w:rsidRDefault="00527094">
            <w:pPr>
              <w:jc w:val="right"/>
              <w:rPr>
                <w:rFonts w:eastAsia="Times New Roman"/>
                <w:sz w:val="20"/>
                <w:szCs w:val="20"/>
              </w:rPr>
            </w:pPr>
            <w:r>
              <w:rPr>
                <w:rFonts w:eastAsia="Times New Roman"/>
                <w:sz w:val="20"/>
                <w:szCs w:val="20"/>
              </w:rPr>
              <w:t>(954</w:t>
            </w:r>
          </w:p>
        </w:tc>
        <w:tc>
          <w:tcPr>
            <w:tcW w:w="50" w:type="pct"/>
            <w:shd w:val="clear" w:color="auto" w:fill="FFFFFF"/>
            <w:vAlign w:val="bottom"/>
            <w:hideMark/>
          </w:tcPr>
          <w:p w14:paraId="032ABC3E" w14:textId="77777777" w:rsidR="00000000" w:rsidRDefault="00527094">
            <w:pPr>
              <w:rPr>
                <w:rFonts w:eastAsia="Times New Roman"/>
                <w:sz w:val="20"/>
                <w:szCs w:val="20"/>
              </w:rPr>
            </w:pPr>
            <w:r>
              <w:rPr>
                <w:rFonts w:eastAsia="Times New Roman"/>
                <w:sz w:val="20"/>
                <w:szCs w:val="20"/>
              </w:rPr>
              <w:t>)</w:t>
            </w:r>
          </w:p>
        </w:tc>
      </w:tr>
      <w:tr w:rsidR="00000000" w14:paraId="36754F35" w14:textId="77777777">
        <w:trPr>
          <w:tblCellSpacing w:w="0" w:type="dxa"/>
        </w:trPr>
        <w:tc>
          <w:tcPr>
            <w:tcW w:w="1650" w:type="pct"/>
            <w:shd w:val="clear" w:color="auto" w:fill="CCEEFF"/>
            <w:vAlign w:val="bottom"/>
            <w:hideMark/>
          </w:tcPr>
          <w:p w14:paraId="05289BE2" w14:textId="77777777" w:rsidR="00000000" w:rsidRDefault="00527094">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14:paraId="01F0D9C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DECB3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71268107" w14:textId="77777777" w:rsidR="00000000" w:rsidRDefault="00527094">
            <w:pPr>
              <w:jc w:val="right"/>
              <w:rPr>
                <w:rFonts w:eastAsia="Times New Roman"/>
                <w:sz w:val="20"/>
                <w:szCs w:val="20"/>
              </w:rPr>
            </w:pPr>
            <w:r>
              <w:rPr>
                <w:rFonts w:eastAsia="Times New Roman"/>
                <w:sz w:val="20"/>
                <w:szCs w:val="20"/>
              </w:rPr>
              <w:t>22,533</w:t>
            </w:r>
          </w:p>
        </w:tc>
        <w:tc>
          <w:tcPr>
            <w:tcW w:w="50" w:type="pct"/>
            <w:shd w:val="clear" w:color="auto" w:fill="CCEEFF"/>
            <w:vAlign w:val="bottom"/>
            <w:hideMark/>
          </w:tcPr>
          <w:p w14:paraId="6D30D30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1D1D4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F7C20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3DBF6C3" w14:textId="77777777" w:rsidR="00000000" w:rsidRDefault="00527094">
            <w:pPr>
              <w:jc w:val="right"/>
              <w:rPr>
                <w:rFonts w:eastAsia="Times New Roman"/>
                <w:sz w:val="20"/>
                <w:szCs w:val="20"/>
              </w:rPr>
            </w:pPr>
            <w:r>
              <w:rPr>
                <w:rFonts w:eastAsia="Times New Roman"/>
                <w:sz w:val="20"/>
                <w:szCs w:val="20"/>
              </w:rPr>
              <w:t>19,040</w:t>
            </w:r>
          </w:p>
        </w:tc>
        <w:tc>
          <w:tcPr>
            <w:tcW w:w="50" w:type="pct"/>
            <w:shd w:val="clear" w:color="auto" w:fill="CCEEFF"/>
            <w:vAlign w:val="bottom"/>
            <w:hideMark/>
          </w:tcPr>
          <w:p w14:paraId="08967DB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61BE6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D17478"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4E6DE248" w14:textId="77777777" w:rsidR="00000000" w:rsidRDefault="00527094">
            <w:pPr>
              <w:jc w:val="right"/>
              <w:rPr>
                <w:rFonts w:eastAsia="Times New Roman"/>
                <w:sz w:val="20"/>
                <w:szCs w:val="20"/>
              </w:rPr>
            </w:pPr>
            <w:r>
              <w:rPr>
                <w:rFonts w:eastAsia="Times New Roman"/>
                <w:sz w:val="20"/>
                <w:szCs w:val="20"/>
              </w:rPr>
              <w:t>3,493</w:t>
            </w:r>
          </w:p>
        </w:tc>
        <w:tc>
          <w:tcPr>
            <w:tcW w:w="50" w:type="pct"/>
            <w:shd w:val="clear" w:color="auto" w:fill="CCEEFF"/>
            <w:vAlign w:val="bottom"/>
            <w:hideMark/>
          </w:tcPr>
          <w:p w14:paraId="688EB0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2787D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92041E"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4B4A64D" w14:textId="77777777" w:rsidR="00000000" w:rsidRDefault="00527094">
            <w:pPr>
              <w:jc w:val="right"/>
              <w:rPr>
                <w:rFonts w:eastAsia="Times New Roman"/>
                <w:sz w:val="20"/>
                <w:szCs w:val="20"/>
              </w:rPr>
            </w:pPr>
            <w:r>
              <w:rPr>
                <w:rFonts w:eastAsia="Times New Roman"/>
                <w:sz w:val="20"/>
                <w:szCs w:val="20"/>
              </w:rPr>
              <w:t>41,287</w:t>
            </w:r>
          </w:p>
        </w:tc>
        <w:tc>
          <w:tcPr>
            <w:tcW w:w="50" w:type="pct"/>
            <w:shd w:val="clear" w:color="auto" w:fill="CCEEFF"/>
            <w:vAlign w:val="bottom"/>
            <w:hideMark/>
          </w:tcPr>
          <w:p w14:paraId="115CA2A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D9A45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832B4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4C1FEBB4" w14:textId="77777777" w:rsidR="00000000" w:rsidRDefault="00527094">
            <w:pPr>
              <w:jc w:val="right"/>
              <w:rPr>
                <w:rFonts w:eastAsia="Times New Roman"/>
                <w:sz w:val="20"/>
                <w:szCs w:val="20"/>
              </w:rPr>
            </w:pPr>
            <w:r>
              <w:rPr>
                <w:rFonts w:eastAsia="Times New Roman"/>
                <w:sz w:val="20"/>
                <w:szCs w:val="20"/>
              </w:rPr>
              <w:t>35,953</w:t>
            </w:r>
          </w:p>
        </w:tc>
        <w:tc>
          <w:tcPr>
            <w:tcW w:w="50" w:type="pct"/>
            <w:shd w:val="clear" w:color="auto" w:fill="CCEEFF"/>
            <w:vAlign w:val="bottom"/>
            <w:hideMark/>
          </w:tcPr>
          <w:p w14:paraId="7FA238F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70877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09C65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F0B8100" w14:textId="77777777" w:rsidR="00000000" w:rsidRDefault="00527094">
            <w:pPr>
              <w:jc w:val="right"/>
              <w:rPr>
                <w:rFonts w:eastAsia="Times New Roman"/>
                <w:sz w:val="20"/>
                <w:szCs w:val="20"/>
              </w:rPr>
            </w:pPr>
            <w:r>
              <w:rPr>
                <w:rFonts w:eastAsia="Times New Roman"/>
                <w:sz w:val="20"/>
                <w:szCs w:val="20"/>
              </w:rPr>
              <w:t>5,334</w:t>
            </w:r>
          </w:p>
        </w:tc>
        <w:tc>
          <w:tcPr>
            <w:tcW w:w="50" w:type="pct"/>
            <w:shd w:val="clear" w:color="auto" w:fill="CCEEFF"/>
            <w:vAlign w:val="bottom"/>
            <w:hideMark/>
          </w:tcPr>
          <w:p w14:paraId="5760C513" w14:textId="77777777" w:rsidR="00000000" w:rsidRDefault="00527094">
            <w:pPr>
              <w:rPr>
                <w:rFonts w:eastAsia="Times New Roman"/>
                <w:sz w:val="20"/>
                <w:szCs w:val="20"/>
              </w:rPr>
            </w:pPr>
            <w:r>
              <w:rPr>
                <w:rFonts w:eastAsia="Times New Roman"/>
                <w:sz w:val="20"/>
                <w:szCs w:val="20"/>
              </w:rPr>
              <w:t> </w:t>
            </w:r>
          </w:p>
        </w:tc>
      </w:tr>
      <w:tr w:rsidR="00000000" w14:paraId="50A791D6" w14:textId="77777777">
        <w:trPr>
          <w:tblCellSpacing w:w="0" w:type="dxa"/>
        </w:trPr>
        <w:tc>
          <w:tcPr>
            <w:tcW w:w="1650" w:type="pct"/>
            <w:shd w:val="clear" w:color="auto" w:fill="FFFFFF"/>
            <w:vAlign w:val="bottom"/>
            <w:hideMark/>
          </w:tcPr>
          <w:p w14:paraId="4D6C6DE8" w14:textId="77777777" w:rsidR="00000000" w:rsidRDefault="00527094">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FFFFFF"/>
            <w:vAlign w:val="bottom"/>
            <w:hideMark/>
          </w:tcPr>
          <w:p w14:paraId="53C14C5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99ED56"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132C645" w14:textId="77777777" w:rsidR="00000000" w:rsidRDefault="00527094">
            <w:pPr>
              <w:jc w:val="right"/>
              <w:rPr>
                <w:rFonts w:eastAsia="Times New Roman"/>
                <w:sz w:val="20"/>
                <w:szCs w:val="20"/>
              </w:rPr>
            </w:pPr>
            <w:r>
              <w:rPr>
                <w:rFonts w:eastAsia="Times New Roman"/>
                <w:sz w:val="20"/>
                <w:szCs w:val="20"/>
              </w:rPr>
              <w:t>13,269</w:t>
            </w:r>
          </w:p>
        </w:tc>
        <w:tc>
          <w:tcPr>
            <w:tcW w:w="50" w:type="pct"/>
            <w:shd w:val="clear" w:color="auto" w:fill="FFFFFF"/>
            <w:vAlign w:val="bottom"/>
            <w:hideMark/>
          </w:tcPr>
          <w:p w14:paraId="73ED309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6DDD6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D4B761"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3D8BC5CD" w14:textId="77777777" w:rsidR="00000000" w:rsidRDefault="00527094">
            <w:pPr>
              <w:jc w:val="right"/>
              <w:rPr>
                <w:rFonts w:eastAsia="Times New Roman"/>
                <w:sz w:val="20"/>
                <w:szCs w:val="20"/>
              </w:rPr>
            </w:pPr>
            <w:r>
              <w:rPr>
                <w:rFonts w:eastAsia="Times New Roman"/>
                <w:sz w:val="20"/>
                <w:szCs w:val="20"/>
              </w:rPr>
              <w:t>9,617</w:t>
            </w:r>
          </w:p>
        </w:tc>
        <w:tc>
          <w:tcPr>
            <w:tcW w:w="50" w:type="pct"/>
            <w:shd w:val="clear" w:color="auto" w:fill="FFFFFF"/>
            <w:vAlign w:val="bottom"/>
            <w:hideMark/>
          </w:tcPr>
          <w:p w14:paraId="363020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68AA0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4EB04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ECE1578" w14:textId="77777777" w:rsidR="00000000" w:rsidRDefault="00527094">
            <w:pPr>
              <w:jc w:val="right"/>
              <w:rPr>
                <w:rFonts w:eastAsia="Times New Roman"/>
                <w:sz w:val="20"/>
                <w:szCs w:val="20"/>
              </w:rPr>
            </w:pPr>
            <w:r>
              <w:rPr>
                <w:rFonts w:eastAsia="Times New Roman"/>
                <w:sz w:val="20"/>
                <w:szCs w:val="20"/>
              </w:rPr>
              <w:t>3,652</w:t>
            </w:r>
          </w:p>
        </w:tc>
        <w:tc>
          <w:tcPr>
            <w:tcW w:w="50" w:type="pct"/>
            <w:shd w:val="clear" w:color="auto" w:fill="FFFFFF"/>
            <w:vAlign w:val="bottom"/>
            <w:hideMark/>
          </w:tcPr>
          <w:p w14:paraId="731A8FD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0CC64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2075C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4E532C28" w14:textId="77777777" w:rsidR="00000000" w:rsidRDefault="00527094">
            <w:pPr>
              <w:jc w:val="right"/>
              <w:rPr>
                <w:rFonts w:eastAsia="Times New Roman"/>
                <w:sz w:val="20"/>
                <w:szCs w:val="20"/>
              </w:rPr>
            </w:pPr>
            <w:r>
              <w:rPr>
                <w:rFonts w:eastAsia="Times New Roman"/>
                <w:sz w:val="20"/>
                <w:szCs w:val="20"/>
              </w:rPr>
              <w:t>19,493</w:t>
            </w:r>
          </w:p>
        </w:tc>
        <w:tc>
          <w:tcPr>
            <w:tcW w:w="50" w:type="pct"/>
            <w:shd w:val="clear" w:color="auto" w:fill="FFFFFF"/>
            <w:vAlign w:val="bottom"/>
            <w:hideMark/>
          </w:tcPr>
          <w:p w14:paraId="67D1E4B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3FB5F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359AA0"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879E5BD" w14:textId="77777777" w:rsidR="00000000" w:rsidRDefault="00527094">
            <w:pPr>
              <w:jc w:val="right"/>
              <w:rPr>
                <w:rFonts w:eastAsia="Times New Roman"/>
                <w:sz w:val="20"/>
                <w:szCs w:val="20"/>
              </w:rPr>
            </w:pPr>
            <w:r>
              <w:rPr>
                <w:rFonts w:eastAsia="Times New Roman"/>
                <w:sz w:val="20"/>
                <w:szCs w:val="20"/>
              </w:rPr>
              <w:t>19,593</w:t>
            </w:r>
          </w:p>
        </w:tc>
        <w:tc>
          <w:tcPr>
            <w:tcW w:w="50" w:type="pct"/>
            <w:shd w:val="clear" w:color="auto" w:fill="FFFFFF"/>
            <w:vAlign w:val="bottom"/>
            <w:hideMark/>
          </w:tcPr>
          <w:p w14:paraId="176F2FA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83985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77514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A765301" w14:textId="77777777" w:rsidR="00000000" w:rsidRDefault="00527094">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285B4660" w14:textId="77777777" w:rsidR="00000000" w:rsidRDefault="00527094">
            <w:pPr>
              <w:rPr>
                <w:rFonts w:eastAsia="Times New Roman"/>
                <w:sz w:val="20"/>
                <w:szCs w:val="20"/>
              </w:rPr>
            </w:pPr>
            <w:r>
              <w:rPr>
                <w:rFonts w:eastAsia="Times New Roman"/>
                <w:sz w:val="20"/>
                <w:szCs w:val="20"/>
              </w:rPr>
              <w:t>)</w:t>
            </w:r>
          </w:p>
        </w:tc>
      </w:tr>
      <w:tr w:rsidR="00000000" w14:paraId="49347E1B" w14:textId="77777777">
        <w:trPr>
          <w:tblCellSpacing w:w="0" w:type="dxa"/>
        </w:trPr>
        <w:tc>
          <w:tcPr>
            <w:tcW w:w="1650" w:type="pct"/>
            <w:shd w:val="clear" w:color="auto" w:fill="CCEEFF"/>
            <w:vAlign w:val="bottom"/>
            <w:hideMark/>
          </w:tcPr>
          <w:p w14:paraId="4792AB17" w14:textId="77777777" w:rsidR="00000000" w:rsidRDefault="00527094">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CCEEFF"/>
            <w:vAlign w:val="bottom"/>
            <w:hideMark/>
          </w:tcPr>
          <w:p w14:paraId="60BA5D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AF85D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0AF0098" w14:textId="77777777" w:rsidR="00000000" w:rsidRDefault="00527094">
            <w:pPr>
              <w:jc w:val="right"/>
              <w:rPr>
                <w:rFonts w:eastAsia="Times New Roman"/>
                <w:sz w:val="20"/>
                <w:szCs w:val="20"/>
              </w:rPr>
            </w:pPr>
            <w:r>
              <w:rPr>
                <w:rFonts w:eastAsia="Times New Roman"/>
                <w:sz w:val="20"/>
                <w:szCs w:val="20"/>
              </w:rPr>
              <w:t>(360</w:t>
            </w:r>
          </w:p>
        </w:tc>
        <w:tc>
          <w:tcPr>
            <w:tcW w:w="50" w:type="pct"/>
            <w:shd w:val="clear" w:color="auto" w:fill="CCEEFF"/>
            <w:vAlign w:val="bottom"/>
            <w:hideMark/>
          </w:tcPr>
          <w:p w14:paraId="44B69F7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D1130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8B64F3"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09AC84A3" w14:textId="77777777" w:rsidR="00000000" w:rsidRDefault="00527094">
            <w:pPr>
              <w:jc w:val="right"/>
              <w:rPr>
                <w:rFonts w:eastAsia="Times New Roman"/>
                <w:sz w:val="20"/>
                <w:szCs w:val="20"/>
              </w:rPr>
            </w:pPr>
            <w:r>
              <w:rPr>
                <w:rFonts w:eastAsia="Times New Roman"/>
                <w:sz w:val="20"/>
                <w:szCs w:val="20"/>
              </w:rPr>
              <w:t>(423</w:t>
            </w:r>
          </w:p>
        </w:tc>
        <w:tc>
          <w:tcPr>
            <w:tcW w:w="50" w:type="pct"/>
            <w:shd w:val="clear" w:color="auto" w:fill="CCEEFF"/>
            <w:vAlign w:val="bottom"/>
            <w:hideMark/>
          </w:tcPr>
          <w:p w14:paraId="3A692A3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F8496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9C2F77"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ED5D541" w14:textId="77777777" w:rsidR="00000000" w:rsidRDefault="00527094">
            <w:pPr>
              <w:jc w:val="right"/>
              <w:rPr>
                <w:rFonts w:eastAsia="Times New Roman"/>
                <w:sz w:val="20"/>
                <w:szCs w:val="20"/>
              </w:rPr>
            </w:pPr>
            <w:r>
              <w:rPr>
                <w:rFonts w:eastAsia="Times New Roman"/>
                <w:sz w:val="20"/>
                <w:szCs w:val="20"/>
              </w:rPr>
              <w:t>63</w:t>
            </w:r>
          </w:p>
        </w:tc>
        <w:tc>
          <w:tcPr>
            <w:tcW w:w="50" w:type="pct"/>
            <w:shd w:val="clear" w:color="auto" w:fill="CCEEFF"/>
            <w:vAlign w:val="bottom"/>
            <w:hideMark/>
          </w:tcPr>
          <w:p w14:paraId="0C62DD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C91B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1E49DD"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A045BDB" w14:textId="77777777" w:rsidR="00000000" w:rsidRDefault="00527094">
            <w:pPr>
              <w:jc w:val="right"/>
              <w:rPr>
                <w:rFonts w:eastAsia="Times New Roman"/>
                <w:sz w:val="20"/>
                <w:szCs w:val="20"/>
              </w:rPr>
            </w:pPr>
            <w:r>
              <w:rPr>
                <w:rFonts w:eastAsia="Times New Roman"/>
                <w:sz w:val="20"/>
                <w:szCs w:val="20"/>
              </w:rPr>
              <w:t>(869</w:t>
            </w:r>
          </w:p>
        </w:tc>
        <w:tc>
          <w:tcPr>
            <w:tcW w:w="50" w:type="pct"/>
            <w:shd w:val="clear" w:color="auto" w:fill="CCEEFF"/>
            <w:vAlign w:val="bottom"/>
            <w:hideMark/>
          </w:tcPr>
          <w:p w14:paraId="4444BFB8"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C7BC38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099332"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160CDFD" w14:textId="77777777" w:rsidR="00000000" w:rsidRDefault="00527094">
            <w:pPr>
              <w:jc w:val="right"/>
              <w:rPr>
                <w:rFonts w:eastAsia="Times New Roman"/>
                <w:sz w:val="20"/>
                <w:szCs w:val="20"/>
              </w:rPr>
            </w:pPr>
            <w:r>
              <w:rPr>
                <w:rFonts w:eastAsia="Times New Roman"/>
                <w:sz w:val="20"/>
                <w:szCs w:val="20"/>
              </w:rPr>
              <w:t>(315</w:t>
            </w:r>
          </w:p>
        </w:tc>
        <w:tc>
          <w:tcPr>
            <w:tcW w:w="50" w:type="pct"/>
            <w:shd w:val="clear" w:color="auto" w:fill="CCEEFF"/>
            <w:vAlign w:val="bottom"/>
            <w:hideMark/>
          </w:tcPr>
          <w:p w14:paraId="69CB412B"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58FFBC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BB672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371E751" w14:textId="77777777" w:rsidR="00000000" w:rsidRDefault="00527094">
            <w:pPr>
              <w:jc w:val="right"/>
              <w:rPr>
                <w:rFonts w:eastAsia="Times New Roman"/>
                <w:sz w:val="20"/>
                <w:szCs w:val="20"/>
              </w:rPr>
            </w:pPr>
            <w:r>
              <w:rPr>
                <w:rFonts w:eastAsia="Times New Roman"/>
                <w:sz w:val="20"/>
                <w:szCs w:val="20"/>
              </w:rPr>
              <w:t>(554</w:t>
            </w:r>
          </w:p>
        </w:tc>
        <w:tc>
          <w:tcPr>
            <w:tcW w:w="50" w:type="pct"/>
            <w:shd w:val="clear" w:color="auto" w:fill="CCEEFF"/>
            <w:vAlign w:val="bottom"/>
            <w:hideMark/>
          </w:tcPr>
          <w:p w14:paraId="43C3CA4B" w14:textId="77777777" w:rsidR="00000000" w:rsidRDefault="00527094">
            <w:pPr>
              <w:rPr>
                <w:rFonts w:eastAsia="Times New Roman"/>
                <w:sz w:val="20"/>
                <w:szCs w:val="20"/>
              </w:rPr>
            </w:pPr>
            <w:r>
              <w:rPr>
                <w:rFonts w:eastAsia="Times New Roman"/>
                <w:sz w:val="20"/>
                <w:szCs w:val="20"/>
              </w:rPr>
              <w:t>)</w:t>
            </w:r>
          </w:p>
        </w:tc>
      </w:tr>
      <w:tr w:rsidR="00000000" w14:paraId="35592446" w14:textId="77777777">
        <w:trPr>
          <w:tblCellSpacing w:w="0" w:type="dxa"/>
        </w:trPr>
        <w:tc>
          <w:tcPr>
            <w:tcW w:w="1650" w:type="pct"/>
            <w:shd w:val="clear" w:color="auto" w:fill="FFFFFF"/>
            <w:vAlign w:val="bottom"/>
            <w:hideMark/>
          </w:tcPr>
          <w:p w14:paraId="7DD6A9FF" w14:textId="77777777" w:rsidR="00000000" w:rsidRDefault="00527094">
            <w:pPr>
              <w:pStyle w:val="a3"/>
              <w:spacing w:before="0" w:beforeAutospacing="0" w:after="0" w:afterAutospacing="0"/>
              <w:ind w:left="360"/>
              <w:rPr>
                <w:sz w:val="20"/>
                <w:szCs w:val="20"/>
              </w:rPr>
            </w:pPr>
            <w:r>
              <w:rPr>
                <w:sz w:val="20"/>
                <w:szCs w:val="20"/>
              </w:rPr>
              <w:t>Preferred dividends</w:t>
            </w:r>
          </w:p>
        </w:tc>
        <w:tc>
          <w:tcPr>
            <w:tcW w:w="50" w:type="pct"/>
            <w:shd w:val="clear" w:color="auto" w:fill="FFFFFF"/>
            <w:vAlign w:val="bottom"/>
            <w:hideMark/>
          </w:tcPr>
          <w:p w14:paraId="2F4493D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E7C69D" w14:textId="77777777" w:rsidR="00000000" w:rsidRDefault="00527094">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14:paraId="7ABB6161" w14:textId="77777777" w:rsidR="00000000" w:rsidRDefault="00527094">
            <w:pPr>
              <w:jc w:val="right"/>
              <w:rPr>
                <w:rFonts w:eastAsia="Times New Roman"/>
                <w:sz w:val="20"/>
                <w:szCs w:val="20"/>
              </w:rPr>
            </w:pPr>
            <w:r>
              <w:rPr>
                <w:rFonts w:eastAsia="Times New Roman"/>
                <w:sz w:val="20"/>
                <w:szCs w:val="20"/>
              </w:rPr>
              <w:t>(14,534</w:t>
            </w:r>
          </w:p>
        </w:tc>
        <w:tc>
          <w:tcPr>
            <w:tcW w:w="50" w:type="pct"/>
            <w:shd w:val="clear" w:color="auto" w:fill="FFFFFF"/>
            <w:tcMar>
              <w:top w:w="0" w:type="dxa"/>
              <w:left w:w="0" w:type="dxa"/>
              <w:bottom w:w="15" w:type="dxa"/>
              <w:right w:w="0" w:type="dxa"/>
            </w:tcMar>
            <w:vAlign w:val="bottom"/>
            <w:hideMark/>
          </w:tcPr>
          <w:p w14:paraId="0193B94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1B36C59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F45DBB7" w14:textId="77777777" w:rsidR="00000000" w:rsidRDefault="00527094">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14:paraId="560AB583" w14:textId="77777777" w:rsidR="00000000" w:rsidRDefault="00527094">
            <w:pPr>
              <w:jc w:val="right"/>
              <w:rPr>
                <w:rFonts w:eastAsia="Times New Roman"/>
                <w:sz w:val="20"/>
                <w:szCs w:val="20"/>
              </w:rPr>
            </w:pPr>
            <w:r>
              <w:rPr>
                <w:rFonts w:eastAsia="Times New Roman"/>
                <w:sz w:val="20"/>
                <w:szCs w:val="20"/>
              </w:rPr>
              <w:t>(14,534</w:t>
            </w:r>
          </w:p>
        </w:tc>
        <w:tc>
          <w:tcPr>
            <w:tcW w:w="50" w:type="pct"/>
            <w:shd w:val="clear" w:color="auto" w:fill="FFFFFF"/>
            <w:tcMar>
              <w:top w:w="0" w:type="dxa"/>
              <w:left w:w="0" w:type="dxa"/>
              <w:bottom w:w="15" w:type="dxa"/>
              <w:right w:w="0" w:type="dxa"/>
            </w:tcMar>
            <w:vAlign w:val="bottom"/>
            <w:hideMark/>
          </w:tcPr>
          <w:p w14:paraId="73E2435B"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4A3EFDA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D950831" w14:textId="77777777" w:rsidR="00000000" w:rsidRDefault="00527094">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14:paraId="09681F90"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A8F90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9B2FB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C836FC2" w14:textId="77777777" w:rsidR="00000000" w:rsidRDefault="00527094">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14:paraId="29630FF6" w14:textId="77777777" w:rsidR="00000000" w:rsidRDefault="00527094">
            <w:pPr>
              <w:jc w:val="right"/>
              <w:rPr>
                <w:rFonts w:eastAsia="Times New Roman"/>
                <w:sz w:val="20"/>
                <w:szCs w:val="20"/>
              </w:rPr>
            </w:pPr>
            <w:r>
              <w:rPr>
                <w:rFonts w:eastAsia="Times New Roman"/>
                <w:sz w:val="20"/>
                <w:szCs w:val="20"/>
              </w:rPr>
              <w:t>(29,068</w:t>
            </w:r>
          </w:p>
        </w:tc>
        <w:tc>
          <w:tcPr>
            <w:tcW w:w="50" w:type="pct"/>
            <w:shd w:val="clear" w:color="auto" w:fill="FFFFFF"/>
            <w:tcMar>
              <w:top w:w="0" w:type="dxa"/>
              <w:left w:w="0" w:type="dxa"/>
              <w:bottom w:w="15" w:type="dxa"/>
              <w:right w:w="0" w:type="dxa"/>
            </w:tcMar>
            <w:vAlign w:val="bottom"/>
            <w:hideMark/>
          </w:tcPr>
          <w:p w14:paraId="586829D5"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F19A59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5F1C00A" w14:textId="77777777" w:rsidR="00000000" w:rsidRDefault="00527094">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14:paraId="2660E5A0" w14:textId="77777777" w:rsidR="00000000" w:rsidRDefault="00527094">
            <w:pPr>
              <w:jc w:val="right"/>
              <w:rPr>
                <w:rFonts w:eastAsia="Times New Roman"/>
                <w:sz w:val="20"/>
                <w:szCs w:val="20"/>
              </w:rPr>
            </w:pPr>
            <w:r>
              <w:rPr>
                <w:rFonts w:eastAsia="Times New Roman"/>
                <w:sz w:val="20"/>
                <w:szCs w:val="20"/>
              </w:rPr>
              <w:t>(29,123</w:t>
            </w:r>
          </w:p>
        </w:tc>
        <w:tc>
          <w:tcPr>
            <w:tcW w:w="50" w:type="pct"/>
            <w:shd w:val="clear" w:color="auto" w:fill="FFFFFF"/>
            <w:tcMar>
              <w:top w:w="0" w:type="dxa"/>
              <w:left w:w="0" w:type="dxa"/>
              <w:bottom w:w="15" w:type="dxa"/>
              <w:right w:w="0" w:type="dxa"/>
            </w:tcMar>
            <w:vAlign w:val="bottom"/>
            <w:hideMark/>
          </w:tcPr>
          <w:p w14:paraId="6E55E21F"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6FD0A58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26B76BA"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FB67E15" w14:textId="77777777" w:rsidR="00000000" w:rsidRDefault="00527094">
            <w:pPr>
              <w:jc w:val="right"/>
              <w:rPr>
                <w:rFonts w:eastAsia="Times New Roman"/>
                <w:sz w:val="20"/>
                <w:szCs w:val="20"/>
              </w:rPr>
            </w:pPr>
            <w:r>
              <w:rPr>
                <w:rFonts w:eastAsia="Times New Roman"/>
                <w:sz w:val="20"/>
                <w:szCs w:val="20"/>
              </w:rPr>
              <w:t>55</w:t>
            </w:r>
          </w:p>
        </w:tc>
        <w:tc>
          <w:tcPr>
            <w:tcW w:w="50" w:type="pct"/>
            <w:shd w:val="clear" w:color="auto" w:fill="FFFFFF"/>
            <w:tcMar>
              <w:top w:w="0" w:type="dxa"/>
              <w:left w:w="0" w:type="dxa"/>
              <w:bottom w:w="15" w:type="dxa"/>
              <w:right w:w="0" w:type="dxa"/>
            </w:tcMar>
            <w:vAlign w:val="bottom"/>
            <w:hideMark/>
          </w:tcPr>
          <w:p w14:paraId="770FD487" w14:textId="77777777" w:rsidR="00000000" w:rsidRDefault="00527094">
            <w:pPr>
              <w:rPr>
                <w:rFonts w:eastAsia="Times New Roman"/>
                <w:sz w:val="20"/>
                <w:szCs w:val="20"/>
              </w:rPr>
            </w:pPr>
            <w:r>
              <w:rPr>
                <w:rFonts w:eastAsia="Times New Roman"/>
                <w:sz w:val="20"/>
                <w:szCs w:val="20"/>
              </w:rPr>
              <w:t> </w:t>
            </w:r>
          </w:p>
        </w:tc>
      </w:tr>
      <w:tr w:rsidR="00000000" w14:paraId="4384275C" w14:textId="77777777">
        <w:trPr>
          <w:tblCellSpacing w:w="0" w:type="dxa"/>
        </w:trPr>
        <w:tc>
          <w:tcPr>
            <w:tcW w:w="1650" w:type="pct"/>
            <w:shd w:val="clear" w:color="auto" w:fill="CCEEFF"/>
            <w:vAlign w:val="bottom"/>
            <w:hideMark/>
          </w:tcPr>
          <w:p w14:paraId="37D15431" w14:textId="77777777" w:rsidR="00000000" w:rsidRDefault="00527094">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CCEEFF"/>
            <w:vAlign w:val="bottom"/>
            <w:hideMark/>
          </w:tcPr>
          <w:p w14:paraId="7497AF9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3750B9"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3720BD92" w14:textId="77777777" w:rsidR="00000000" w:rsidRDefault="00527094">
            <w:pPr>
              <w:jc w:val="right"/>
              <w:rPr>
                <w:rFonts w:eastAsia="Times New Roman"/>
                <w:sz w:val="20"/>
                <w:szCs w:val="20"/>
              </w:rPr>
            </w:pPr>
            <w:r>
              <w:rPr>
                <w:rFonts w:eastAsia="Times New Roman"/>
                <w:sz w:val="20"/>
                <w:szCs w:val="20"/>
              </w:rPr>
              <w:t>86,493</w:t>
            </w:r>
          </w:p>
        </w:tc>
        <w:tc>
          <w:tcPr>
            <w:tcW w:w="50" w:type="pct"/>
            <w:shd w:val="clear" w:color="auto" w:fill="CCEEFF"/>
            <w:tcMar>
              <w:top w:w="0" w:type="dxa"/>
              <w:left w:w="0" w:type="dxa"/>
              <w:bottom w:w="45" w:type="dxa"/>
              <w:right w:w="0" w:type="dxa"/>
            </w:tcMar>
            <w:vAlign w:val="bottom"/>
            <w:hideMark/>
          </w:tcPr>
          <w:p w14:paraId="7E15675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29BA77"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E31C81"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78C96052" w14:textId="77777777" w:rsidR="00000000" w:rsidRDefault="00527094">
            <w:pPr>
              <w:jc w:val="right"/>
              <w:rPr>
                <w:rFonts w:eastAsia="Times New Roman"/>
                <w:sz w:val="20"/>
                <w:szCs w:val="20"/>
              </w:rPr>
            </w:pPr>
            <w:r>
              <w:rPr>
                <w:rFonts w:eastAsia="Times New Roman"/>
                <w:sz w:val="20"/>
                <w:szCs w:val="20"/>
              </w:rPr>
              <w:t>150,852</w:t>
            </w:r>
          </w:p>
        </w:tc>
        <w:tc>
          <w:tcPr>
            <w:tcW w:w="50" w:type="pct"/>
            <w:shd w:val="clear" w:color="auto" w:fill="CCEEFF"/>
            <w:tcMar>
              <w:top w:w="0" w:type="dxa"/>
              <w:left w:w="0" w:type="dxa"/>
              <w:bottom w:w="45" w:type="dxa"/>
              <w:right w:w="0" w:type="dxa"/>
            </w:tcMar>
            <w:vAlign w:val="bottom"/>
            <w:hideMark/>
          </w:tcPr>
          <w:p w14:paraId="6081135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D0AE13"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AB30032"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301B4A38" w14:textId="77777777" w:rsidR="00000000" w:rsidRDefault="00527094">
            <w:pPr>
              <w:jc w:val="right"/>
              <w:rPr>
                <w:rFonts w:eastAsia="Times New Roman"/>
                <w:sz w:val="20"/>
                <w:szCs w:val="20"/>
              </w:rPr>
            </w:pPr>
            <w:r>
              <w:rPr>
                <w:rFonts w:eastAsia="Times New Roman"/>
                <w:sz w:val="20"/>
                <w:szCs w:val="20"/>
              </w:rPr>
              <w:t>(64,359</w:t>
            </w:r>
          </w:p>
        </w:tc>
        <w:tc>
          <w:tcPr>
            <w:tcW w:w="50" w:type="pct"/>
            <w:shd w:val="clear" w:color="auto" w:fill="CCEEFF"/>
            <w:tcMar>
              <w:top w:w="0" w:type="dxa"/>
              <w:left w:w="0" w:type="dxa"/>
              <w:bottom w:w="45" w:type="dxa"/>
              <w:right w:w="0" w:type="dxa"/>
            </w:tcMar>
            <w:vAlign w:val="bottom"/>
            <w:hideMark/>
          </w:tcPr>
          <w:p w14:paraId="21FB07D5"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66846C7"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70164F"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3C14C29F" w14:textId="77777777" w:rsidR="00000000" w:rsidRDefault="00527094">
            <w:pPr>
              <w:jc w:val="right"/>
              <w:rPr>
                <w:rFonts w:eastAsia="Times New Roman"/>
                <w:sz w:val="20"/>
                <w:szCs w:val="20"/>
              </w:rPr>
            </w:pPr>
            <w:r>
              <w:rPr>
                <w:rFonts w:eastAsia="Times New Roman"/>
                <w:sz w:val="20"/>
                <w:szCs w:val="20"/>
              </w:rPr>
              <w:t>188,128</w:t>
            </w:r>
          </w:p>
        </w:tc>
        <w:tc>
          <w:tcPr>
            <w:tcW w:w="50" w:type="pct"/>
            <w:shd w:val="clear" w:color="auto" w:fill="CCEEFF"/>
            <w:tcMar>
              <w:top w:w="0" w:type="dxa"/>
              <w:left w:w="0" w:type="dxa"/>
              <w:bottom w:w="45" w:type="dxa"/>
              <w:right w:w="0" w:type="dxa"/>
            </w:tcMar>
            <w:vAlign w:val="bottom"/>
            <w:hideMark/>
          </w:tcPr>
          <w:p w14:paraId="037B132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9A53ED"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2926AA2"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7611CA40" w14:textId="77777777" w:rsidR="00000000" w:rsidRDefault="00527094">
            <w:pPr>
              <w:jc w:val="right"/>
              <w:rPr>
                <w:rFonts w:eastAsia="Times New Roman"/>
                <w:sz w:val="20"/>
                <w:szCs w:val="20"/>
              </w:rPr>
            </w:pPr>
            <w:r>
              <w:rPr>
                <w:rFonts w:eastAsia="Times New Roman"/>
                <w:sz w:val="20"/>
                <w:szCs w:val="20"/>
              </w:rPr>
              <w:t>280,353</w:t>
            </w:r>
          </w:p>
        </w:tc>
        <w:tc>
          <w:tcPr>
            <w:tcW w:w="50" w:type="pct"/>
            <w:shd w:val="clear" w:color="auto" w:fill="CCEEFF"/>
            <w:tcMar>
              <w:top w:w="0" w:type="dxa"/>
              <w:left w:w="0" w:type="dxa"/>
              <w:bottom w:w="45" w:type="dxa"/>
              <w:right w:w="0" w:type="dxa"/>
            </w:tcMar>
            <w:vAlign w:val="bottom"/>
            <w:hideMark/>
          </w:tcPr>
          <w:p w14:paraId="2388EDC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163D1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B3165E2"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11E4521" w14:textId="77777777" w:rsidR="00000000" w:rsidRDefault="00527094">
            <w:pPr>
              <w:jc w:val="right"/>
              <w:rPr>
                <w:rFonts w:eastAsia="Times New Roman"/>
                <w:sz w:val="20"/>
                <w:szCs w:val="20"/>
              </w:rPr>
            </w:pPr>
            <w:r>
              <w:rPr>
                <w:rFonts w:eastAsia="Times New Roman"/>
                <w:sz w:val="20"/>
                <w:szCs w:val="20"/>
              </w:rPr>
              <w:t>(92,225</w:t>
            </w:r>
          </w:p>
        </w:tc>
        <w:tc>
          <w:tcPr>
            <w:tcW w:w="50" w:type="pct"/>
            <w:shd w:val="clear" w:color="auto" w:fill="CCEEFF"/>
            <w:tcMar>
              <w:top w:w="0" w:type="dxa"/>
              <w:left w:w="0" w:type="dxa"/>
              <w:bottom w:w="45" w:type="dxa"/>
              <w:right w:w="0" w:type="dxa"/>
            </w:tcMar>
            <w:vAlign w:val="bottom"/>
            <w:hideMark/>
          </w:tcPr>
          <w:p w14:paraId="014EB50B" w14:textId="77777777" w:rsidR="00000000" w:rsidRDefault="00527094">
            <w:pPr>
              <w:rPr>
                <w:rFonts w:eastAsia="Times New Roman"/>
                <w:sz w:val="20"/>
                <w:szCs w:val="20"/>
              </w:rPr>
            </w:pPr>
            <w:r>
              <w:rPr>
                <w:rFonts w:eastAsia="Times New Roman"/>
                <w:sz w:val="20"/>
                <w:szCs w:val="20"/>
              </w:rPr>
              <w:t>)</w:t>
            </w:r>
          </w:p>
        </w:tc>
      </w:tr>
      <w:tr w:rsidR="00000000" w14:paraId="36373EC2" w14:textId="77777777">
        <w:trPr>
          <w:tblCellSpacing w:w="0" w:type="dxa"/>
        </w:trPr>
        <w:tc>
          <w:tcPr>
            <w:tcW w:w="1650" w:type="pct"/>
            <w:shd w:val="clear" w:color="auto" w:fill="FFFFFF"/>
            <w:vAlign w:val="bottom"/>
            <w:hideMark/>
          </w:tcPr>
          <w:p w14:paraId="3FE6DAE2" w14:textId="77777777" w:rsidR="00000000" w:rsidRDefault="00527094">
            <w:pPr>
              <w:pStyle w:val="a3"/>
              <w:spacing w:before="0" w:beforeAutospacing="0" w:after="0" w:afterAutospacing="0"/>
              <w:rPr>
                <w:sz w:val="20"/>
                <w:szCs w:val="20"/>
              </w:rPr>
            </w:pPr>
            <w:r>
              <w:rPr>
                <w:sz w:val="20"/>
                <w:szCs w:val="20"/>
              </w:rPr>
              <w:t>Net income available to the Company:</w:t>
            </w:r>
          </w:p>
        </w:tc>
        <w:tc>
          <w:tcPr>
            <w:tcW w:w="50" w:type="pct"/>
            <w:shd w:val="clear" w:color="auto" w:fill="FFFFFF"/>
            <w:vAlign w:val="bottom"/>
            <w:hideMark/>
          </w:tcPr>
          <w:p w14:paraId="1667F54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38A0B2"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0799D9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9F63E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C94C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7EDBDC"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7C5722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B8CC8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8A739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822673"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0609F08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5C5FE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D7EEF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F86A74"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318B85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65818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28002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9A8A4B" w14:textId="77777777" w:rsidR="00000000" w:rsidRDefault="00527094">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FB84D0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6F705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35840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1628B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72545E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F7A30F" w14:textId="77777777" w:rsidR="00000000" w:rsidRDefault="00527094">
            <w:pPr>
              <w:rPr>
                <w:rFonts w:eastAsia="Times New Roman"/>
                <w:sz w:val="20"/>
                <w:szCs w:val="20"/>
              </w:rPr>
            </w:pPr>
            <w:r>
              <w:rPr>
                <w:rFonts w:eastAsia="Times New Roman"/>
                <w:sz w:val="20"/>
                <w:szCs w:val="20"/>
              </w:rPr>
              <w:t> </w:t>
            </w:r>
          </w:p>
        </w:tc>
      </w:tr>
      <w:tr w:rsidR="00000000" w14:paraId="0B12510E" w14:textId="77777777">
        <w:trPr>
          <w:tblCellSpacing w:w="0" w:type="dxa"/>
        </w:trPr>
        <w:tc>
          <w:tcPr>
            <w:tcW w:w="1650" w:type="pct"/>
            <w:shd w:val="clear" w:color="auto" w:fill="CCEEFF"/>
            <w:vAlign w:val="bottom"/>
            <w:hideMark/>
          </w:tcPr>
          <w:p w14:paraId="006F56D2" w14:textId="77777777" w:rsidR="00000000" w:rsidRDefault="00527094">
            <w:pPr>
              <w:pStyle w:val="a3"/>
              <w:spacing w:before="0" w:beforeAutospacing="0" w:after="0" w:afterAutospacing="0"/>
              <w:ind w:left="360"/>
              <w:rPr>
                <w:sz w:val="20"/>
                <w:szCs w:val="20"/>
              </w:rPr>
            </w:pPr>
            <w:r>
              <w:rPr>
                <w:sz w:val="20"/>
                <w:szCs w:val="20"/>
              </w:rPr>
              <w:t>Diluted per common share</w:t>
            </w:r>
          </w:p>
        </w:tc>
        <w:tc>
          <w:tcPr>
            <w:tcW w:w="50" w:type="pct"/>
            <w:shd w:val="clear" w:color="auto" w:fill="CCEEFF"/>
            <w:vAlign w:val="bottom"/>
            <w:hideMark/>
          </w:tcPr>
          <w:p w14:paraId="4A626E8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D384D9A"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3405D03B" w14:textId="77777777" w:rsidR="00000000" w:rsidRDefault="00527094">
            <w:pPr>
              <w:jc w:val="right"/>
              <w:rPr>
                <w:rFonts w:eastAsia="Times New Roman"/>
                <w:sz w:val="20"/>
                <w:szCs w:val="20"/>
              </w:rPr>
            </w:pPr>
            <w:r>
              <w:rPr>
                <w:rFonts w:eastAsia="Times New Roman"/>
                <w:sz w:val="20"/>
                <w:szCs w:val="20"/>
              </w:rPr>
              <w:t>0.20</w:t>
            </w:r>
          </w:p>
        </w:tc>
        <w:tc>
          <w:tcPr>
            <w:tcW w:w="50" w:type="pct"/>
            <w:shd w:val="clear" w:color="auto" w:fill="CCEEFF"/>
            <w:tcMar>
              <w:top w:w="0" w:type="dxa"/>
              <w:left w:w="0" w:type="dxa"/>
              <w:bottom w:w="45" w:type="dxa"/>
              <w:right w:w="0" w:type="dxa"/>
            </w:tcMar>
            <w:vAlign w:val="bottom"/>
            <w:hideMark/>
          </w:tcPr>
          <w:p w14:paraId="5E12459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05A49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988787E"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43835DCE"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CCEEFF"/>
            <w:tcMar>
              <w:top w:w="0" w:type="dxa"/>
              <w:left w:w="0" w:type="dxa"/>
              <w:bottom w:w="45" w:type="dxa"/>
              <w:right w:w="0" w:type="dxa"/>
            </w:tcMar>
            <w:vAlign w:val="bottom"/>
            <w:hideMark/>
          </w:tcPr>
          <w:p w14:paraId="21B26E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375D4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802213E"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14C2270F" w14:textId="77777777" w:rsidR="00000000" w:rsidRDefault="00527094">
            <w:pPr>
              <w:jc w:val="right"/>
              <w:rPr>
                <w:rFonts w:eastAsia="Times New Roman"/>
                <w:sz w:val="20"/>
                <w:szCs w:val="20"/>
              </w:rPr>
            </w:pPr>
            <w:r>
              <w:rPr>
                <w:rFonts w:eastAsia="Times New Roman"/>
                <w:sz w:val="20"/>
                <w:szCs w:val="20"/>
              </w:rPr>
              <w:t>(0.16</w:t>
            </w:r>
          </w:p>
        </w:tc>
        <w:tc>
          <w:tcPr>
            <w:tcW w:w="50" w:type="pct"/>
            <w:shd w:val="clear" w:color="auto" w:fill="CCEEFF"/>
            <w:tcMar>
              <w:top w:w="0" w:type="dxa"/>
              <w:left w:w="0" w:type="dxa"/>
              <w:bottom w:w="45" w:type="dxa"/>
              <w:right w:w="0" w:type="dxa"/>
            </w:tcMar>
            <w:vAlign w:val="bottom"/>
            <w:hideMark/>
          </w:tcPr>
          <w:p w14:paraId="776134A0"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672CD795"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E5759E7"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3820C68A" w14:textId="77777777" w:rsidR="00000000" w:rsidRDefault="00527094">
            <w:pPr>
              <w:jc w:val="right"/>
              <w:rPr>
                <w:rFonts w:eastAsia="Times New Roman"/>
                <w:sz w:val="20"/>
                <w:szCs w:val="20"/>
              </w:rPr>
            </w:pPr>
            <w:r>
              <w:rPr>
                <w:rFonts w:eastAsia="Times New Roman"/>
                <w:sz w:val="20"/>
                <w:szCs w:val="20"/>
              </w:rPr>
              <w:t>0.44</w:t>
            </w:r>
          </w:p>
        </w:tc>
        <w:tc>
          <w:tcPr>
            <w:tcW w:w="50" w:type="pct"/>
            <w:shd w:val="clear" w:color="auto" w:fill="CCEEFF"/>
            <w:tcMar>
              <w:top w:w="0" w:type="dxa"/>
              <w:left w:w="0" w:type="dxa"/>
              <w:bottom w:w="45" w:type="dxa"/>
              <w:right w:w="0" w:type="dxa"/>
            </w:tcMar>
            <w:vAlign w:val="bottom"/>
            <w:hideMark/>
          </w:tcPr>
          <w:p w14:paraId="5C6D6AE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AA3644"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8F0CA8F" w14:textId="77777777" w:rsidR="00000000" w:rsidRDefault="00527094">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CCEEFF"/>
            <w:vAlign w:val="bottom"/>
            <w:hideMark/>
          </w:tcPr>
          <w:p w14:paraId="2897B388" w14:textId="77777777" w:rsidR="00000000" w:rsidRDefault="00527094">
            <w:pPr>
              <w:jc w:val="right"/>
              <w:rPr>
                <w:rFonts w:eastAsia="Times New Roman"/>
                <w:sz w:val="20"/>
                <w:szCs w:val="20"/>
              </w:rPr>
            </w:pPr>
            <w:r>
              <w:rPr>
                <w:rFonts w:eastAsia="Times New Roman"/>
                <w:sz w:val="20"/>
                <w:szCs w:val="20"/>
              </w:rPr>
              <w:t>0.66</w:t>
            </w:r>
          </w:p>
        </w:tc>
        <w:tc>
          <w:tcPr>
            <w:tcW w:w="50" w:type="pct"/>
            <w:shd w:val="clear" w:color="auto" w:fill="CCEEFF"/>
            <w:tcMar>
              <w:top w:w="0" w:type="dxa"/>
              <w:left w:w="0" w:type="dxa"/>
              <w:bottom w:w="45" w:type="dxa"/>
              <w:right w:w="0" w:type="dxa"/>
            </w:tcMar>
            <w:vAlign w:val="bottom"/>
            <w:hideMark/>
          </w:tcPr>
          <w:p w14:paraId="5ECF2B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BAC443"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40816E8"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5639095" w14:textId="77777777" w:rsidR="00000000" w:rsidRDefault="00527094">
            <w:pPr>
              <w:jc w:val="right"/>
              <w:rPr>
                <w:rFonts w:eastAsia="Times New Roman"/>
                <w:sz w:val="20"/>
                <w:szCs w:val="20"/>
              </w:rPr>
            </w:pPr>
            <w:r>
              <w:rPr>
                <w:rFonts w:eastAsia="Times New Roman"/>
                <w:sz w:val="20"/>
                <w:szCs w:val="20"/>
              </w:rPr>
              <w:t>(0.22</w:t>
            </w:r>
          </w:p>
        </w:tc>
        <w:tc>
          <w:tcPr>
            <w:tcW w:w="50" w:type="pct"/>
            <w:shd w:val="clear" w:color="auto" w:fill="CCEEFF"/>
            <w:tcMar>
              <w:top w:w="0" w:type="dxa"/>
              <w:left w:w="0" w:type="dxa"/>
              <w:bottom w:w="45" w:type="dxa"/>
              <w:right w:w="0" w:type="dxa"/>
            </w:tcMar>
            <w:vAlign w:val="bottom"/>
            <w:hideMark/>
          </w:tcPr>
          <w:p w14:paraId="47AE76D9" w14:textId="77777777" w:rsidR="00000000" w:rsidRDefault="00527094">
            <w:pPr>
              <w:rPr>
                <w:rFonts w:eastAsia="Times New Roman"/>
                <w:sz w:val="20"/>
                <w:szCs w:val="20"/>
              </w:rPr>
            </w:pPr>
            <w:r>
              <w:rPr>
                <w:rFonts w:eastAsia="Times New Roman"/>
                <w:sz w:val="20"/>
                <w:szCs w:val="20"/>
              </w:rPr>
              <w:t>)</w:t>
            </w:r>
          </w:p>
        </w:tc>
      </w:tr>
    </w:tbl>
    <w:p w14:paraId="58BC40FA" w14:textId="77777777" w:rsidR="00000000" w:rsidRDefault="0052709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75B86CA" w14:textId="77777777">
        <w:trPr>
          <w:tblCellSpacing w:w="0" w:type="dxa"/>
        </w:trPr>
        <w:tc>
          <w:tcPr>
            <w:tcW w:w="360" w:type="dxa"/>
            <w:vAlign w:val="center"/>
            <w:hideMark/>
          </w:tcPr>
          <w:p w14:paraId="4915AE2E" w14:textId="77777777" w:rsidR="00000000" w:rsidRDefault="00527094">
            <w:pPr>
              <w:rPr>
                <w:rFonts w:eastAsia="Times New Roman"/>
                <w:sz w:val="20"/>
                <w:szCs w:val="20"/>
              </w:rPr>
            </w:pPr>
            <w:r>
              <w:rPr>
                <w:rFonts w:eastAsia="Times New Roman"/>
                <w:sz w:val="20"/>
                <w:szCs w:val="20"/>
              </w:rPr>
              <w:t> </w:t>
            </w:r>
          </w:p>
        </w:tc>
        <w:tc>
          <w:tcPr>
            <w:tcW w:w="360" w:type="dxa"/>
            <w:hideMark/>
          </w:tcPr>
          <w:p w14:paraId="5FC8021C" w14:textId="77777777" w:rsidR="00000000" w:rsidRDefault="00527094">
            <w:pPr>
              <w:pStyle w:val="a3"/>
              <w:spacing w:before="0" w:beforeAutospacing="0" w:after="0" w:afterAutospacing="0"/>
              <w:jc w:val="both"/>
              <w:rPr>
                <w:sz w:val="20"/>
                <w:szCs w:val="20"/>
              </w:rPr>
            </w:pPr>
            <w:r>
              <w:rPr>
                <w:sz w:val="20"/>
                <w:szCs w:val="20"/>
              </w:rPr>
              <w:t>(1)</w:t>
            </w:r>
          </w:p>
        </w:tc>
        <w:tc>
          <w:tcPr>
            <w:tcW w:w="0" w:type="auto"/>
            <w:hideMark/>
          </w:tcPr>
          <w:p w14:paraId="1705DF7D" w14:textId="77777777" w:rsidR="00000000" w:rsidRDefault="00527094">
            <w:pPr>
              <w:pStyle w:val="a3"/>
              <w:spacing w:before="0" w:beforeAutospacing="0" w:after="0" w:afterAutospacing="0"/>
              <w:ind w:right="720"/>
              <w:jc w:val="both"/>
              <w:rPr>
                <w:sz w:val="20"/>
                <w:szCs w:val="20"/>
              </w:rPr>
            </w:pPr>
            <w:r>
              <w:rPr>
                <w:sz w:val="20"/>
                <w:szCs w:val="20"/>
              </w:rPr>
              <w:t>Upon the adoption of Topic 842, the Company reclassified $61.2 million and $124.9 million of Reimbursement income, respectively, and $5.5 million and $11.1 million of Other rental property income, respectively, to Revenues from rental properties, net on th</w:t>
            </w:r>
            <w:r>
              <w:rPr>
                <w:sz w:val="20"/>
                <w:szCs w:val="20"/>
              </w:rPr>
              <w:t>e Company’s Condensed Consolidated Statements of Income for the three and six months ended June 30, 2018. See Footnote 2 to the Notes to the Company’s Condensed Consolidated Financial Statements for additional disclosure.</w:t>
            </w:r>
          </w:p>
        </w:tc>
      </w:tr>
    </w:tbl>
    <w:p w14:paraId="6D4EDF0D"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764030E" w14:textId="77777777">
        <w:trPr>
          <w:tblCellSpacing w:w="0" w:type="dxa"/>
        </w:trPr>
        <w:tc>
          <w:tcPr>
            <w:tcW w:w="360" w:type="dxa"/>
            <w:vAlign w:val="center"/>
            <w:hideMark/>
          </w:tcPr>
          <w:p w14:paraId="05CFF69A" w14:textId="77777777" w:rsidR="00000000" w:rsidRDefault="00527094">
            <w:pPr>
              <w:rPr>
                <w:rFonts w:eastAsia="Times New Roman"/>
                <w:sz w:val="20"/>
                <w:szCs w:val="20"/>
              </w:rPr>
            </w:pPr>
            <w:r>
              <w:rPr>
                <w:rFonts w:eastAsia="Times New Roman"/>
                <w:sz w:val="20"/>
                <w:szCs w:val="20"/>
              </w:rPr>
              <w:t> </w:t>
            </w:r>
          </w:p>
        </w:tc>
        <w:tc>
          <w:tcPr>
            <w:tcW w:w="360" w:type="dxa"/>
            <w:hideMark/>
          </w:tcPr>
          <w:p w14:paraId="1634359C" w14:textId="77777777" w:rsidR="00000000" w:rsidRDefault="00527094">
            <w:pPr>
              <w:pStyle w:val="a3"/>
              <w:spacing w:before="0" w:beforeAutospacing="0" w:after="0" w:afterAutospacing="0"/>
              <w:jc w:val="both"/>
              <w:rPr>
                <w:sz w:val="20"/>
                <w:szCs w:val="20"/>
              </w:rPr>
            </w:pPr>
            <w:r>
              <w:rPr>
                <w:sz w:val="20"/>
                <w:szCs w:val="20"/>
              </w:rPr>
              <w:t>(2)</w:t>
            </w:r>
          </w:p>
        </w:tc>
        <w:tc>
          <w:tcPr>
            <w:tcW w:w="0" w:type="auto"/>
            <w:hideMark/>
          </w:tcPr>
          <w:p w14:paraId="6BF955F8" w14:textId="77777777" w:rsidR="00000000" w:rsidRDefault="00527094">
            <w:pPr>
              <w:pStyle w:val="a3"/>
              <w:spacing w:before="0" w:beforeAutospacing="0" w:after="0" w:afterAutospacing="0"/>
              <w:ind w:right="720"/>
              <w:jc w:val="both"/>
              <w:rPr>
                <w:sz w:val="20"/>
                <w:szCs w:val="20"/>
              </w:rPr>
            </w:pPr>
            <w:r>
              <w:rPr>
                <w:sz w:val="20"/>
                <w:szCs w:val="20"/>
              </w:rPr>
              <w:t>Rent expense relates to ground lease payments for which the Company is the lessee.</w:t>
            </w:r>
          </w:p>
        </w:tc>
      </w:tr>
    </w:tbl>
    <w:p w14:paraId="32D60295"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19E5207" w14:textId="77777777">
        <w:trPr>
          <w:tblCellSpacing w:w="0" w:type="dxa"/>
        </w:trPr>
        <w:tc>
          <w:tcPr>
            <w:tcW w:w="360" w:type="dxa"/>
            <w:vAlign w:val="center"/>
            <w:hideMark/>
          </w:tcPr>
          <w:p w14:paraId="572DE771" w14:textId="77777777" w:rsidR="00000000" w:rsidRDefault="00527094">
            <w:pPr>
              <w:rPr>
                <w:rFonts w:eastAsia="Times New Roman"/>
                <w:sz w:val="20"/>
                <w:szCs w:val="20"/>
              </w:rPr>
            </w:pPr>
            <w:r>
              <w:rPr>
                <w:rFonts w:eastAsia="Times New Roman"/>
                <w:sz w:val="20"/>
                <w:szCs w:val="20"/>
              </w:rPr>
              <w:t> </w:t>
            </w:r>
          </w:p>
        </w:tc>
        <w:tc>
          <w:tcPr>
            <w:tcW w:w="360" w:type="dxa"/>
            <w:hideMark/>
          </w:tcPr>
          <w:p w14:paraId="1714C7AC" w14:textId="77777777" w:rsidR="00000000" w:rsidRDefault="00527094">
            <w:pPr>
              <w:pStyle w:val="a3"/>
              <w:spacing w:before="0" w:beforeAutospacing="0" w:after="0" w:afterAutospacing="0"/>
              <w:jc w:val="both"/>
              <w:rPr>
                <w:sz w:val="20"/>
                <w:szCs w:val="20"/>
              </w:rPr>
            </w:pPr>
            <w:r>
              <w:rPr>
                <w:sz w:val="20"/>
                <w:szCs w:val="20"/>
              </w:rPr>
              <w:t>(3)</w:t>
            </w:r>
          </w:p>
        </w:tc>
        <w:tc>
          <w:tcPr>
            <w:tcW w:w="0" w:type="auto"/>
            <w:hideMark/>
          </w:tcPr>
          <w:p w14:paraId="133CE15C" w14:textId="77777777" w:rsidR="00000000" w:rsidRDefault="00527094">
            <w:pPr>
              <w:pStyle w:val="a3"/>
              <w:spacing w:before="0" w:beforeAutospacing="0" w:after="0" w:afterAutospacing="0"/>
              <w:ind w:right="720"/>
              <w:jc w:val="both"/>
              <w:rPr>
                <w:sz w:val="20"/>
                <w:szCs w:val="20"/>
              </w:rPr>
            </w:pPr>
            <w:r>
              <w:rPr>
                <w:sz w:val="20"/>
                <w:szCs w:val="20"/>
              </w:rPr>
              <w:t>Operating and maintenance expense consists of property related costs including repairs and maintenance costs, roof repair, landscaping, parking lot repair, snow remo</w:t>
            </w:r>
            <w:r>
              <w:rPr>
                <w:sz w:val="20"/>
                <w:szCs w:val="20"/>
              </w:rPr>
              <w:t>val, utilities, property insurance costs, security and various other property related expenses.</w:t>
            </w:r>
          </w:p>
        </w:tc>
      </w:tr>
    </w:tbl>
    <w:p w14:paraId="51BD9495"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0565E8E" w14:textId="77777777">
        <w:trPr>
          <w:tblCellSpacing w:w="0" w:type="dxa"/>
        </w:trPr>
        <w:tc>
          <w:tcPr>
            <w:tcW w:w="360" w:type="dxa"/>
            <w:vAlign w:val="center"/>
            <w:hideMark/>
          </w:tcPr>
          <w:p w14:paraId="70FA0140" w14:textId="77777777" w:rsidR="00000000" w:rsidRDefault="00527094">
            <w:pPr>
              <w:rPr>
                <w:rFonts w:eastAsia="Times New Roman"/>
                <w:sz w:val="20"/>
                <w:szCs w:val="20"/>
              </w:rPr>
            </w:pPr>
            <w:r>
              <w:rPr>
                <w:rFonts w:eastAsia="Times New Roman"/>
                <w:sz w:val="20"/>
                <w:szCs w:val="20"/>
              </w:rPr>
              <w:t> </w:t>
            </w:r>
          </w:p>
        </w:tc>
        <w:tc>
          <w:tcPr>
            <w:tcW w:w="360" w:type="dxa"/>
            <w:hideMark/>
          </w:tcPr>
          <w:p w14:paraId="420EEE62" w14:textId="77777777" w:rsidR="00000000" w:rsidRDefault="00527094">
            <w:pPr>
              <w:pStyle w:val="a3"/>
              <w:spacing w:before="0" w:beforeAutospacing="0" w:after="0" w:afterAutospacing="0"/>
              <w:jc w:val="both"/>
              <w:rPr>
                <w:sz w:val="20"/>
                <w:szCs w:val="20"/>
              </w:rPr>
            </w:pPr>
            <w:r>
              <w:rPr>
                <w:sz w:val="20"/>
                <w:szCs w:val="20"/>
              </w:rPr>
              <w:t>(4)</w:t>
            </w:r>
          </w:p>
        </w:tc>
        <w:tc>
          <w:tcPr>
            <w:tcW w:w="0" w:type="auto"/>
            <w:hideMark/>
          </w:tcPr>
          <w:p w14:paraId="51DC0270" w14:textId="77777777" w:rsidR="00000000" w:rsidRDefault="00527094">
            <w:pPr>
              <w:pStyle w:val="a3"/>
              <w:spacing w:before="0" w:beforeAutospacing="0" w:after="0" w:afterAutospacing="0"/>
              <w:jc w:val="both"/>
              <w:rPr>
                <w:sz w:val="20"/>
                <w:szCs w:val="20"/>
              </w:rPr>
            </w:pPr>
            <w:r>
              <w:rPr>
                <w:sz w:val="20"/>
                <w:szCs w:val="20"/>
              </w:rPr>
              <w:t>General and administrative expense includes employee-related expenses (including salaries, bonuses, equity awards, benefits, severance costs and payroll</w:t>
            </w:r>
            <w:r>
              <w:rPr>
                <w:sz w:val="20"/>
                <w:szCs w:val="20"/>
              </w:rPr>
              <w:t xml:space="preserve"> taxes), professional fees, office rent, travel expense and other company-specific expenses.</w:t>
            </w:r>
          </w:p>
        </w:tc>
      </w:tr>
    </w:tbl>
    <w:p w14:paraId="0C76153A" w14:textId="77777777" w:rsidR="00000000" w:rsidRDefault="00527094">
      <w:pPr>
        <w:pStyle w:val="a3"/>
        <w:spacing w:before="0" w:beforeAutospacing="0" w:after="0" w:afterAutospacing="0"/>
        <w:jc w:val="both"/>
        <w:rPr>
          <w:sz w:val="20"/>
          <w:szCs w:val="20"/>
        </w:rPr>
      </w:pPr>
      <w:r>
        <w:rPr>
          <w:sz w:val="20"/>
          <w:szCs w:val="20"/>
        </w:rPr>
        <w:t> </w:t>
      </w:r>
    </w:p>
    <w:p w14:paraId="291908EC" w14:textId="77777777" w:rsidR="00000000" w:rsidRDefault="00527094">
      <w:pPr>
        <w:pStyle w:val="a3"/>
        <w:spacing w:before="0" w:beforeAutospacing="0" w:after="0" w:afterAutospacing="0"/>
        <w:ind w:firstLine="360"/>
        <w:jc w:val="both"/>
        <w:rPr>
          <w:sz w:val="20"/>
          <w:szCs w:val="20"/>
        </w:rPr>
      </w:pPr>
      <w:r>
        <w:rPr>
          <w:sz w:val="20"/>
          <w:szCs w:val="20"/>
        </w:rPr>
        <w:t>Net income available to the Company’s common shareholders was $86.5 million for the three months ended June 30, 2019, as compared to $150.9 million for the comp</w:t>
      </w:r>
      <w:r>
        <w:rPr>
          <w:sz w:val="20"/>
          <w:szCs w:val="20"/>
        </w:rPr>
        <w:t>arable period in 2018. On a diluted per share basis, net income available to the Company for the three months ended June 30, 2019, was $0.20 as compared to $0.36 for the comparable period in 2018.</w:t>
      </w:r>
    </w:p>
    <w:p w14:paraId="40780617" w14:textId="77777777" w:rsidR="00000000" w:rsidRDefault="00527094">
      <w:pPr>
        <w:pStyle w:val="a3"/>
        <w:spacing w:before="0" w:beforeAutospacing="0" w:after="0" w:afterAutospacing="0"/>
        <w:ind w:firstLine="360"/>
        <w:jc w:val="both"/>
        <w:rPr>
          <w:sz w:val="20"/>
          <w:szCs w:val="20"/>
        </w:rPr>
      </w:pPr>
      <w:r>
        <w:rPr>
          <w:sz w:val="20"/>
          <w:szCs w:val="20"/>
        </w:rPr>
        <w:t> </w:t>
      </w:r>
    </w:p>
    <w:p w14:paraId="578E6C12" w14:textId="77777777" w:rsidR="00000000" w:rsidRDefault="00527094">
      <w:pPr>
        <w:pStyle w:val="a3"/>
        <w:spacing w:before="0" w:beforeAutospacing="0" w:after="0" w:afterAutospacing="0"/>
        <w:ind w:firstLine="360"/>
        <w:jc w:val="both"/>
        <w:rPr>
          <w:sz w:val="20"/>
          <w:szCs w:val="20"/>
        </w:rPr>
      </w:pPr>
      <w:r>
        <w:rPr>
          <w:sz w:val="20"/>
          <w:szCs w:val="20"/>
        </w:rPr>
        <w:t xml:space="preserve">Net income available to the Company’s common shareholders was $188.1 million for the six months ended June 30, 2019, as compared to $280.4 million for the comparable period in 2018. On a diluted per share basis, net income available to the Company for the </w:t>
      </w:r>
      <w:r>
        <w:rPr>
          <w:sz w:val="20"/>
          <w:szCs w:val="20"/>
        </w:rPr>
        <w:t>six months ended June 30, 2019, was $0.44 as compared to $0.66 for the comparable period in 2018.</w:t>
      </w:r>
    </w:p>
    <w:p w14:paraId="0DD4CA41" w14:textId="77777777" w:rsidR="00000000" w:rsidRDefault="00527094">
      <w:pPr>
        <w:pStyle w:val="a3"/>
        <w:spacing w:before="0" w:beforeAutospacing="0" w:after="0" w:afterAutospacing="0"/>
        <w:ind w:firstLine="360"/>
        <w:jc w:val="both"/>
        <w:rPr>
          <w:sz w:val="20"/>
          <w:szCs w:val="20"/>
        </w:rPr>
      </w:pPr>
      <w:r>
        <w:rPr>
          <w:sz w:val="20"/>
          <w:szCs w:val="20"/>
        </w:rPr>
        <w:t> </w:t>
      </w:r>
    </w:p>
    <w:p w14:paraId="375FDFAE" w14:textId="77777777" w:rsidR="00000000" w:rsidRDefault="00527094">
      <w:pPr>
        <w:jc w:val="center"/>
        <w:divId w:val="1227841918"/>
        <w:rPr>
          <w:rFonts w:eastAsia="Times New Roman"/>
          <w:sz w:val="20"/>
          <w:szCs w:val="20"/>
        </w:rPr>
      </w:pPr>
      <w:r>
        <w:rPr>
          <w:rFonts w:eastAsia="Times New Roman"/>
          <w:sz w:val="20"/>
          <w:szCs w:val="20"/>
        </w:rPr>
        <w:t xml:space="preserve">24 </w:t>
      </w:r>
    </w:p>
    <w:p w14:paraId="7414D54C" w14:textId="77777777" w:rsidR="00000000" w:rsidRDefault="00527094">
      <w:pPr>
        <w:divId w:val="1227841918"/>
        <w:rPr>
          <w:rFonts w:eastAsia="Times New Roman"/>
          <w:sz w:val="20"/>
          <w:szCs w:val="20"/>
        </w:rPr>
      </w:pPr>
      <w:r>
        <w:rPr>
          <w:rFonts w:eastAsia="Times New Roman"/>
          <w:sz w:val="20"/>
          <w:szCs w:val="20"/>
        </w:rPr>
        <w:pict w14:anchorId="2FCD4276">
          <v:rect id="_x0000_i1052" style="width:0;height:1.5pt" o:hralign="center" o:hrstd="t" o:hr="t" fillcolor="#a0a0a0" stroked="f"/>
        </w:pict>
      </w:r>
    </w:p>
    <w:p w14:paraId="5E47C290" w14:textId="77777777" w:rsidR="00000000" w:rsidRDefault="00527094">
      <w:pPr>
        <w:divId w:val="122784191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FFF531" w14:textId="77777777" w:rsidR="00000000" w:rsidRDefault="00527094">
      <w:pPr>
        <w:pStyle w:val="a3"/>
        <w:spacing w:before="0" w:beforeAutospacing="0" w:after="0" w:afterAutospacing="0"/>
        <w:rPr>
          <w:sz w:val="20"/>
          <w:szCs w:val="20"/>
        </w:rPr>
      </w:pPr>
      <w:r>
        <w:rPr>
          <w:sz w:val="20"/>
          <w:szCs w:val="20"/>
        </w:rPr>
        <w:t> </w:t>
      </w:r>
    </w:p>
    <w:p w14:paraId="536E1B56" w14:textId="77777777" w:rsidR="00000000" w:rsidRDefault="00527094">
      <w:pPr>
        <w:pStyle w:val="a3"/>
        <w:spacing w:before="0" w:beforeAutospacing="0" w:after="0" w:afterAutospacing="0"/>
        <w:ind w:firstLine="360"/>
        <w:jc w:val="both"/>
        <w:rPr>
          <w:sz w:val="20"/>
          <w:szCs w:val="20"/>
        </w:rPr>
      </w:pPr>
      <w:r>
        <w:rPr>
          <w:sz w:val="20"/>
          <w:szCs w:val="20"/>
        </w:rPr>
        <w:t>The following describes the changes of certain line items included in</w:t>
      </w:r>
      <w:r>
        <w:rPr>
          <w:sz w:val="20"/>
          <w:szCs w:val="20"/>
        </w:rPr>
        <w:t xml:space="preserve"> Net income available to the Company’s common shareholders on the Company’s Condensed Consolidated Statements of Income, which it believes represent items that have significant changes during the three and six months ended June 30, 2019, as compared to the</w:t>
      </w:r>
      <w:r>
        <w:rPr>
          <w:sz w:val="20"/>
          <w:szCs w:val="20"/>
        </w:rPr>
        <w:t xml:space="preserve"> corresponding periods in 2018:</w:t>
      </w:r>
    </w:p>
    <w:p w14:paraId="421B9779" w14:textId="77777777" w:rsidR="00000000" w:rsidRDefault="00527094">
      <w:pPr>
        <w:pStyle w:val="a3"/>
        <w:spacing w:before="0" w:beforeAutospacing="0" w:after="0" w:afterAutospacing="0"/>
        <w:ind w:firstLine="450"/>
        <w:jc w:val="both"/>
        <w:rPr>
          <w:sz w:val="20"/>
          <w:szCs w:val="20"/>
        </w:rPr>
      </w:pPr>
      <w:r>
        <w:rPr>
          <w:sz w:val="20"/>
          <w:szCs w:val="20"/>
        </w:rPr>
        <w:t> </w:t>
      </w:r>
    </w:p>
    <w:p w14:paraId="378ED6A6" w14:textId="77777777" w:rsidR="00000000" w:rsidRDefault="00527094">
      <w:pPr>
        <w:pStyle w:val="a3"/>
        <w:spacing w:before="0" w:beforeAutospacing="0" w:after="0" w:afterAutospacing="0"/>
        <w:jc w:val="both"/>
        <w:rPr>
          <w:sz w:val="20"/>
          <w:szCs w:val="20"/>
        </w:rPr>
      </w:pPr>
      <w:r>
        <w:rPr>
          <w:i/>
          <w:iCs/>
          <w:sz w:val="20"/>
          <w:szCs w:val="20"/>
        </w:rPr>
        <w:t>Revenue from rental properties, net –</w:t>
      </w:r>
    </w:p>
    <w:p w14:paraId="7DCD6209" w14:textId="77777777" w:rsidR="00000000" w:rsidRDefault="00527094">
      <w:pPr>
        <w:pStyle w:val="a3"/>
        <w:spacing w:before="0" w:beforeAutospacing="0" w:after="0" w:afterAutospacing="0"/>
        <w:jc w:val="both"/>
        <w:rPr>
          <w:sz w:val="20"/>
          <w:szCs w:val="20"/>
        </w:rPr>
      </w:pPr>
      <w:r>
        <w:rPr>
          <w:sz w:val="20"/>
          <w:szCs w:val="20"/>
        </w:rPr>
        <w:t> </w:t>
      </w:r>
    </w:p>
    <w:p w14:paraId="4B36FB44" w14:textId="77777777" w:rsidR="00000000" w:rsidRDefault="00527094">
      <w:pPr>
        <w:pStyle w:val="a3"/>
        <w:spacing w:before="0" w:beforeAutospacing="0" w:after="0" w:afterAutospacing="0"/>
        <w:ind w:firstLine="360"/>
        <w:jc w:val="both"/>
        <w:rPr>
          <w:sz w:val="20"/>
          <w:szCs w:val="20"/>
        </w:rPr>
      </w:pPr>
      <w:r>
        <w:rPr>
          <w:sz w:val="20"/>
          <w:szCs w:val="20"/>
        </w:rPr>
        <w:t xml:space="preserve">The decrease in Revenues from rental properties, net of $8.7 million for the three months ended June 30, 2019, as compared to the corresponding period in 2018, is primarily from (i) </w:t>
      </w:r>
      <w:r>
        <w:rPr>
          <w:sz w:val="20"/>
          <w:szCs w:val="20"/>
        </w:rPr>
        <w:t>a decrease in revenues of $18.8 million due to properties sold during 2019 and 2018, partially offset by (ii) the completion of certain redevelopment and development projects, acquisitions, tenant buyouts and net growth in the current portfolio, which prov</w:t>
      </w:r>
      <w:r>
        <w:rPr>
          <w:sz w:val="20"/>
          <w:szCs w:val="20"/>
        </w:rPr>
        <w:t>ided incremental revenues for the three months ended June 30, 2019 of $10.1 million, as compared to the corresponding period in 2018.</w:t>
      </w:r>
    </w:p>
    <w:p w14:paraId="17522D42" w14:textId="77777777" w:rsidR="00000000" w:rsidRDefault="00527094">
      <w:pPr>
        <w:pStyle w:val="a3"/>
        <w:spacing w:before="0" w:beforeAutospacing="0" w:after="0" w:afterAutospacing="0"/>
        <w:ind w:firstLine="360"/>
        <w:jc w:val="both"/>
        <w:rPr>
          <w:sz w:val="20"/>
          <w:szCs w:val="20"/>
        </w:rPr>
      </w:pPr>
      <w:r>
        <w:rPr>
          <w:sz w:val="20"/>
          <w:szCs w:val="20"/>
        </w:rPr>
        <w:t> </w:t>
      </w:r>
    </w:p>
    <w:p w14:paraId="469EF061" w14:textId="77777777" w:rsidR="00000000" w:rsidRDefault="00527094">
      <w:pPr>
        <w:pStyle w:val="a3"/>
        <w:spacing w:before="0" w:beforeAutospacing="0" w:after="0" w:afterAutospacing="0"/>
        <w:ind w:firstLine="360"/>
        <w:jc w:val="both"/>
        <w:rPr>
          <w:sz w:val="20"/>
          <w:szCs w:val="20"/>
        </w:rPr>
      </w:pPr>
      <w:r>
        <w:rPr>
          <w:sz w:val="20"/>
          <w:szCs w:val="20"/>
        </w:rPr>
        <w:t>The decrease in Revenues from rental properties, net of $17.8 million for the six months ended June 30, 2019, as compare</w:t>
      </w:r>
      <w:r>
        <w:rPr>
          <w:sz w:val="20"/>
          <w:szCs w:val="20"/>
        </w:rPr>
        <w:t>d to the corresponding period in 2018, is primarily from (i) a decrease in revenues of $40.6 million due to properties sold during 2019 and 2018, partially offset by (ii) the completion of certain redevelopment and development projects, acquisitions, tenan</w:t>
      </w:r>
      <w:r>
        <w:rPr>
          <w:sz w:val="20"/>
          <w:szCs w:val="20"/>
        </w:rPr>
        <w:t>t buyouts and net growth in the current portfolio, which provided incremental revenues for the six months ended June 30, 2019 of $22.8 million, as compared to the corresponding period in 2018.</w:t>
      </w:r>
    </w:p>
    <w:p w14:paraId="5A7883F1" w14:textId="77777777" w:rsidR="00000000" w:rsidRDefault="00527094">
      <w:pPr>
        <w:pStyle w:val="a3"/>
        <w:spacing w:before="0" w:beforeAutospacing="0" w:after="0" w:afterAutospacing="0"/>
        <w:jc w:val="both"/>
        <w:rPr>
          <w:sz w:val="20"/>
          <w:szCs w:val="20"/>
        </w:rPr>
      </w:pPr>
      <w:r>
        <w:rPr>
          <w:sz w:val="20"/>
          <w:szCs w:val="20"/>
        </w:rPr>
        <w:t> </w:t>
      </w:r>
    </w:p>
    <w:p w14:paraId="5C6A920F" w14:textId="77777777" w:rsidR="00000000" w:rsidRDefault="00527094">
      <w:pPr>
        <w:pStyle w:val="a3"/>
        <w:spacing w:before="0" w:beforeAutospacing="0" w:after="0" w:afterAutospacing="0"/>
        <w:jc w:val="both"/>
        <w:rPr>
          <w:sz w:val="20"/>
          <w:szCs w:val="20"/>
        </w:rPr>
      </w:pPr>
      <w:r>
        <w:rPr>
          <w:i/>
          <w:iCs/>
          <w:sz w:val="20"/>
          <w:szCs w:val="20"/>
        </w:rPr>
        <w:t xml:space="preserve">Impairment charges – </w:t>
      </w:r>
    </w:p>
    <w:p w14:paraId="7F723DA9" w14:textId="77777777" w:rsidR="00000000" w:rsidRDefault="00527094">
      <w:pPr>
        <w:pStyle w:val="a3"/>
        <w:spacing w:before="0" w:beforeAutospacing="0" w:after="0" w:afterAutospacing="0"/>
        <w:jc w:val="both"/>
        <w:rPr>
          <w:sz w:val="20"/>
          <w:szCs w:val="20"/>
        </w:rPr>
      </w:pPr>
      <w:r>
        <w:rPr>
          <w:i/>
          <w:iCs/>
          <w:sz w:val="20"/>
          <w:szCs w:val="20"/>
        </w:rPr>
        <w:t> </w:t>
      </w:r>
    </w:p>
    <w:p w14:paraId="5CB47208" w14:textId="77777777" w:rsidR="00000000" w:rsidRDefault="00527094">
      <w:pPr>
        <w:pStyle w:val="a3"/>
        <w:spacing w:before="0" w:beforeAutospacing="0" w:after="0" w:afterAutospacing="0"/>
        <w:ind w:firstLine="360"/>
        <w:jc w:val="both"/>
        <w:rPr>
          <w:sz w:val="20"/>
          <w:szCs w:val="20"/>
        </w:rPr>
      </w:pPr>
      <w:r>
        <w:rPr>
          <w:sz w:val="20"/>
          <w:szCs w:val="20"/>
        </w:rPr>
        <w:t xml:space="preserve">During the six months ended June 30, </w:t>
      </w:r>
      <w:r>
        <w:rPr>
          <w:sz w:val="20"/>
          <w:szCs w:val="20"/>
        </w:rPr>
        <w:t>2019 and 2018, the Company recognized impairment charges related to adjustments to property carrying values of $21.6 million and $30.5 million, respectively, for which the Company’s estimated fair values were primarily based upon (i) signed contracts or le</w:t>
      </w:r>
      <w:r>
        <w:rPr>
          <w:sz w:val="20"/>
          <w:szCs w:val="20"/>
        </w:rPr>
        <w:t>tters of intent from third party offers or (ii) discounted cash flow models. These adjustments to property carrying values were recognized in connection with the Company’s efforts to market certain properties and management’s assessment as to the likelihoo</w:t>
      </w:r>
      <w:r>
        <w:rPr>
          <w:sz w:val="20"/>
          <w:szCs w:val="20"/>
        </w:rPr>
        <w:t>d and timing of such potential transactions. Certain of the calculations to determine fair value utilized unobservable inputs and as such are classified as Level 3 of the fair value hierarchy.</w:t>
      </w:r>
    </w:p>
    <w:p w14:paraId="11877DA4" w14:textId="77777777" w:rsidR="00000000" w:rsidRDefault="00527094">
      <w:pPr>
        <w:pStyle w:val="a3"/>
        <w:spacing w:before="0" w:beforeAutospacing="0" w:after="0" w:afterAutospacing="0"/>
        <w:ind w:firstLine="360"/>
        <w:jc w:val="both"/>
        <w:rPr>
          <w:sz w:val="20"/>
          <w:szCs w:val="20"/>
        </w:rPr>
      </w:pPr>
      <w:r>
        <w:rPr>
          <w:sz w:val="20"/>
          <w:szCs w:val="20"/>
        </w:rPr>
        <w:t> </w:t>
      </w:r>
    </w:p>
    <w:p w14:paraId="15EBC32A" w14:textId="77777777" w:rsidR="00000000" w:rsidRDefault="00527094">
      <w:pPr>
        <w:pStyle w:val="a3"/>
        <w:spacing w:before="0" w:beforeAutospacing="0" w:after="0" w:afterAutospacing="0"/>
        <w:jc w:val="both"/>
        <w:rPr>
          <w:sz w:val="20"/>
          <w:szCs w:val="20"/>
        </w:rPr>
      </w:pPr>
      <w:r>
        <w:rPr>
          <w:i/>
          <w:iCs/>
          <w:sz w:val="20"/>
          <w:szCs w:val="20"/>
        </w:rPr>
        <w:t xml:space="preserve">Depreciation and amortization – </w:t>
      </w:r>
    </w:p>
    <w:p w14:paraId="10AAD9C8" w14:textId="77777777" w:rsidR="00000000" w:rsidRDefault="00527094">
      <w:pPr>
        <w:pStyle w:val="a3"/>
        <w:spacing w:before="0" w:beforeAutospacing="0" w:after="0" w:afterAutospacing="0"/>
        <w:jc w:val="both"/>
        <w:rPr>
          <w:sz w:val="20"/>
          <w:szCs w:val="20"/>
        </w:rPr>
      </w:pPr>
      <w:r>
        <w:rPr>
          <w:i/>
          <w:iCs/>
          <w:sz w:val="20"/>
          <w:szCs w:val="20"/>
        </w:rPr>
        <w:t> </w:t>
      </w:r>
    </w:p>
    <w:p w14:paraId="057197FD" w14:textId="77777777" w:rsidR="00000000" w:rsidRDefault="00527094">
      <w:pPr>
        <w:pStyle w:val="a3"/>
        <w:spacing w:before="0" w:beforeAutospacing="0" w:after="0" w:afterAutospacing="0"/>
        <w:ind w:firstLine="360"/>
        <w:jc w:val="both"/>
        <w:rPr>
          <w:sz w:val="20"/>
          <w:szCs w:val="20"/>
        </w:rPr>
      </w:pPr>
      <w:r>
        <w:rPr>
          <w:sz w:val="20"/>
          <w:szCs w:val="20"/>
        </w:rPr>
        <w:t>The decrease in Depreciation and amortization of $10.8 million for the three months ended June 30, 2019, as compared to the corresponding period in 2018, is primarily due to (i) a decrease of $5.1 million resulting from property dispositions in 2019 and 20</w:t>
      </w:r>
      <w:r>
        <w:rPr>
          <w:sz w:val="20"/>
          <w:szCs w:val="20"/>
        </w:rPr>
        <w:t>18, (ii) a decrease of $5.1 million related to the acceleration of depreciable lives of assets within the Company’s redevelopment projects during the three months ended June 30, 2018 and (iii) a decrease related to tenant vacates and write-offs of deprecia</w:t>
      </w:r>
      <w:r>
        <w:rPr>
          <w:sz w:val="20"/>
          <w:szCs w:val="20"/>
        </w:rPr>
        <w:t>ble assets of $0.6 million.</w:t>
      </w:r>
    </w:p>
    <w:p w14:paraId="71E07F94" w14:textId="77777777" w:rsidR="00000000" w:rsidRDefault="00527094">
      <w:pPr>
        <w:pStyle w:val="a3"/>
        <w:spacing w:before="0" w:beforeAutospacing="0" w:after="0" w:afterAutospacing="0"/>
        <w:ind w:left="144" w:right="144"/>
        <w:jc w:val="both"/>
        <w:rPr>
          <w:sz w:val="20"/>
          <w:szCs w:val="20"/>
        </w:rPr>
      </w:pPr>
      <w:r>
        <w:rPr>
          <w:sz w:val="20"/>
          <w:szCs w:val="20"/>
        </w:rPr>
        <w:t> </w:t>
      </w:r>
    </w:p>
    <w:p w14:paraId="4C8B3339" w14:textId="77777777" w:rsidR="00000000" w:rsidRDefault="00527094">
      <w:pPr>
        <w:pStyle w:val="a3"/>
        <w:spacing w:before="0" w:beforeAutospacing="0" w:after="0" w:afterAutospacing="0"/>
        <w:ind w:firstLine="360"/>
        <w:jc w:val="both"/>
        <w:rPr>
          <w:sz w:val="20"/>
          <w:szCs w:val="20"/>
        </w:rPr>
      </w:pPr>
      <w:r>
        <w:rPr>
          <w:sz w:val="20"/>
          <w:szCs w:val="20"/>
        </w:rPr>
        <w:t>The decrease in Depreciation and amortization of $20.6 million for the six months ended June 30, 2019, as compared to the corresponding period in 2018, is primarily due to (i) a decrease of $11.6 million resulting from property dispositions in 2019 and 201</w:t>
      </w:r>
      <w:r>
        <w:rPr>
          <w:sz w:val="20"/>
          <w:szCs w:val="20"/>
        </w:rPr>
        <w:t>8, (ii) a decrease of $7.4 million related to the acceleration of depreciable lives of assets within the Company’s redevelopment projects during the six months ended June 30, 2018 and (iii) a decrease related to tenant vacates and write-offs of depreciable</w:t>
      </w:r>
      <w:r>
        <w:rPr>
          <w:sz w:val="20"/>
          <w:szCs w:val="20"/>
        </w:rPr>
        <w:t xml:space="preserve"> assets of $1.6 million.</w:t>
      </w:r>
    </w:p>
    <w:p w14:paraId="1338DF43" w14:textId="77777777" w:rsidR="00000000" w:rsidRDefault="00527094">
      <w:pPr>
        <w:pStyle w:val="a3"/>
        <w:spacing w:before="0" w:beforeAutospacing="0" w:after="0" w:afterAutospacing="0"/>
        <w:jc w:val="both"/>
        <w:rPr>
          <w:sz w:val="20"/>
          <w:szCs w:val="20"/>
        </w:rPr>
      </w:pPr>
      <w:r>
        <w:rPr>
          <w:i/>
          <w:iCs/>
          <w:sz w:val="20"/>
          <w:szCs w:val="20"/>
        </w:rPr>
        <w:t> </w:t>
      </w:r>
    </w:p>
    <w:p w14:paraId="07D9C0BF" w14:textId="77777777" w:rsidR="00000000" w:rsidRDefault="00527094">
      <w:pPr>
        <w:pStyle w:val="a3"/>
        <w:spacing w:before="0" w:beforeAutospacing="0" w:after="0" w:afterAutospacing="0"/>
        <w:jc w:val="both"/>
        <w:rPr>
          <w:sz w:val="20"/>
          <w:szCs w:val="20"/>
        </w:rPr>
      </w:pPr>
      <w:r>
        <w:rPr>
          <w:i/>
          <w:iCs/>
          <w:sz w:val="20"/>
          <w:szCs w:val="20"/>
        </w:rPr>
        <w:t xml:space="preserve">Gain on sale of properties/change in control of interests – </w:t>
      </w:r>
    </w:p>
    <w:p w14:paraId="47C403BA" w14:textId="77777777" w:rsidR="00000000" w:rsidRDefault="00527094">
      <w:pPr>
        <w:pStyle w:val="a3"/>
        <w:spacing w:before="0" w:beforeAutospacing="0" w:after="0" w:afterAutospacing="0"/>
        <w:ind w:firstLine="360"/>
        <w:jc w:val="both"/>
        <w:rPr>
          <w:sz w:val="20"/>
          <w:szCs w:val="20"/>
        </w:rPr>
      </w:pPr>
      <w:r>
        <w:rPr>
          <w:i/>
          <w:iCs/>
          <w:sz w:val="20"/>
          <w:szCs w:val="20"/>
        </w:rPr>
        <w:t> </w:t>
      </w:r>
    </w:p>
    <w:p w14:paraId="45CFD415" w14:textId="77777777" w:rsidR="00000000" w:rsidRDefault="00527094">
      <w:pPr>
        <w:pStyle w:val="a3"/>
        <w:spacing w:before="0" w:beforeAutospacing="0" w:after="0" w:afterAutospacing="0"/>
        <w:ind w:firstLine="360"/>
        <w:jc w:val="both"/>
        <w:rPr>
          <w:sz w:val="20"/>
          <w:szCs w:val="20"/>
        </w:rPr>
      </w:pPr>
      <w:r>
        <w:rPr>
          <w:sz w:val="20"/>
          <w:szCs w:val="20"/>
        </w:rPr>
        <w:t>During the six months ended June 30, 2019, the Company disposed of seven operating properties and five out-parcels, in separate transactions, for an aggregate sales p</w:t>
      </w:r>
      <w:r>
        <w:rPr>
          <w:sz w:val="20"/>
          <w:szCs w:val="20"/>
        </w:rPr>
        <w:t>rice of $110.1 million. These transactions resulted in aggregate gains of $38.4 million.</w:t>
      </w:r>
    </w:p>
    <w:p w14:paraId="5107F77B" w14:textId="77777777" w:rsidR="00000000" w:rsidRDefault="00527094">
      <w:pPr>
        <w:pStyle w:val="a3"/>
        <w:spacing w:before="0" w:beforeAutospacing="0" w:after="0" w:afterAutospacing="0"/>
        <w:ind w:firstLine="360"/>
        <w:jc w:val="both"/>
        <w:rPr>
          <w:sz w:val="20"/>
          <w:szCs w:val="20"/>
        </w:rPr>
      </w:pPr>
      <w:r>
        <w:rPr>
          <w:sz w:val="20"/>
          <w:szCs w:val="20"/>
        </w:rPr>
        <w:t> </w:t>
      </w:r>
    </w:p>
    <w:p w14:paraId="39ADF8F5" w14:textId="77777777" w:rsidR="00000000" w:rsidRDefault="00527094">
      <w:pPr>
        <w:pStyle w:val="a3"/>
        <w:spacing w:before="0" w:beforeAutospacing="0" w:after="0" w:afterAutospacing="0"/>
        <w:ind w:firstLine="360"/>
        <w:jc w:val="both"/>
        <w:rPr>
          <w:sz w:val="20"/>
          <w:szCs w:val="20"/>
        </w:rPr>
      </w:pPr>
      <w:r>
        <w:rPr>
          <w:sz w:val="20"/>
          <w:szCs w:val="20"/>
        </w:rPr>
        <w:t>During the six months ended June 30, 2018, the Company disposed of 35 operating properties (including the deconsolidation of one operating property) and two out-parc</w:t>
      </w:r>
      <w:r>
        <w:rPr>
          <w:sz w:val="20"/>
          <w:szCs w:val="20"/>
        </w:rPr>
        <w:t>els, in separate transactions, for an aggregate sales price of $833.1 million. These transactions resulted in aggregate gains of $152.2 million.</w:t>
      </w:r>
    </w:p>
    <w:p w14:paraId="6234AF96" w14:textId="77777777" w:rsidR="00000000" w:rsidRDefault="00527094">
      <w:pPr>
        <w:pStyle w:val="a3"/>
        <w:spacing w:before="0" w:beforeAutospacing="0" w:after="0" w:afterAutospacing="0"/>
        <w:ind w:firstLine="360"/>
        <w:jc w:val="both"/>
        <w:rPr>
          <w:sz w:val="20"/>
          <w:szCs w:val="20"/>
        </w:rPr>
      </w:pPr>
      <w:r>
        <w:rPr>
          <w:sz w:val="20"/>
          <w:szCs w:val="20"/>
        </w:rPr>
        <w:t> </w:t>
      </w:r>
    </w:p>
    <w:p w14:paraId="1A40EC81" w14:textId="77777777" w:rsidR="00000000" w:rsidRDefault="00527094">
      <w:pPr>
        <w:pStyle w:val="a3"/>
        <w:spacing w:before="0" w:beforeAutospacing="0" w:after="0" w:afterAutospacing="0"/>
        <w:jc w:val="both"/>
        <w:rPr>
          <w:sz w:val="20"/>
          <w:szCs w:val="20"/>
        </w:rPr>
      </w:pPr>
      <w:r>
        <w:rPr>
          <w:i/>
          <w:iCs/>
          <w:sz w:val="20"/>
          <w:szCs w:val="20"/>
        </w:rPr>
        <w:t xml:space="preserve">Other income, net – </w:t>
      </w:r>
    </w:p>
    <w:p w14:paraId="47BDD0A1" w14:textId="77777777" w:rsidR="00000000" w:rsidRDefault="00527094">
      <w:pPr>
        <w:pStyle w:val="a3"/>
        <w:spacing w:before="0" w:beforeAutospacing="0" w:after="0" w:afterAutospacing="0"/>
        <w:jc w:val="both"/>
        <w:rPr>
          <w:sz w:val="20"/>
          <w:szCs w:val="20"/>
        </w:rPr>
      </w:pPr>
      <w:r>
        <w:rPr>
          <w:i/>
          <w:iCs/>
          <w:sz w:val="20"/>
          <w:szCs w:val="20"/>
        </w:rPr>
        <w:t> </w:t>
      </w:r>
    </w:p>
    <w:p w14:paraId="57F97A11" w14:textId="77777777" w:rsidR="00000000" w:rsidRDefault="00527094">
      <w:pPr>
        <w:pStyle w:val="a3"/>
        <w:spacing w:before="0" w:beforeAutospacing="0" w:after="0" w:afterAutospacing="0"/>
        <w:ind w:firstLine="360"/>
        <w:jc w:val="both"/>
        <w:rPr>
          <w:sz w:val="20"/>
          <w:szCs w:val="20"/>
        </w:rPr>
      </w:pPr>
      <w:r>
        <w:rPr>
          <w:sz w:val="20"/>
          <w:szCs w:val="20"/>
        </w:rPr>
        <w:t>The decrease in Other income, net of $4.9 million for the six months ended June 30, 20</w:t>
      </w:r>
      <w:r>
        <w:rPr>
          <w:sz w:val="20"/>
          <w:szCs w:val="20"/>
        </w:rPr>
        <w:t>19, as compared to the corresponding period in 2018, is primarily due to (i) the recognition of gain on forgiveness of debt of $4.3 million and relief of accrued interest expense of $3.4 million resulting from the foreclosure of an encumbered property duri</w:t>
      </w:r>
      <w:r>
        <w:rPr>
          <w:sz w:val="20"/>
          <w:szCs w:val="20"/>
        </w:rPr>
        <w:t xml:space="preserve">ng the six months ended June 30, 2018, and (ii) the recognition of a gain on land sales of $2.1 million during the six months ended June 30, 2018, partially offset by (iii) an increase in net gains on changes in fair value of available-for-sale marketable </w:t>
      </w:r>
      <w:r>
        <w:rPr>
          <w:sz w:val="20"/>
          <w:szCs w:val="20"/>
        </w:rPr>
        <w:t>securities of $3.1 million for the six months ended June 30, 2019, as compared to the corresponding period in 2018 and (iv) the recognition of $2.0 million in income relating to the Company’s Puerto Rico properties, resulting from the receipt of casualty i</w:t>
      </w:r>
      <w:r>
        <w:rPr>
          <w:sz w:val="20"/>
          <w:szCs w:val="20"/>
        </w:rPr>
        <w:t>nsurance claims in excess of the value of the assets written-off during the six months ended June 30, 2019.</w:t>
      </w:r>
    </w:p>
    <w:p w14:paraId="18CCC641" w14:textId="77777777" w:rsidR="00000000" w:rsidRDefault="00527094">
      <w:pPr>
        <w:pStyle w:val="a3"/>
        <w:spacing w:before="0" w:beforeAutospacing="0" w:after="0" w:afterAutospacing="0"/>
        <w:jc w:val="both"/>
        <w:rPr>
          <w:sz w:val="20"/>
          <w:szCs w:val="20"/>
        </w:rPr>
      </w:pPr>
      <w:r>
        <w:rPr>
          <w:sz w:val="20"/>
          <w:szCs w:val="20"/>
        </w:rPr>
        <w:t> </w:t>
      </w:r>
    </w:p>
    <w:p w14:paraId="02DE6A8F" w14:textId="77777777" w:rsidR="00000000" w:rsidRDefault="00527094">
      <w:pPr>
        <w:pStyle w:val="a3"/>
        <w:spacing w:before="0" w:beforeAutospacing="0" w:after="0" w:afterAutospacing="0"/>
        <w:jc w:val="both"/>
        <w:rPr>
          <w:sz w:val="20"/>
          <w:szCs w:val="20"/>
        </w:rPr>
      </w:pPr>
      <w:r>
        <w:rPr>
          <w:i/>
          <w:iCs/>
          <w:sz w:val="20"/>
          <w:szCs w:val="20"/>
        </w:rPr>
        <w:t xml:space="preserve">Interest expense – </w:t>
      </w:r>
    </w:p>
    <w:p w14:paraId="29AA933E" w14:textId="77777777" w:rsidR="00000000" w:rsidRDefault="00527094">
      <w:pPr>
        <w:pStyle w:val="a3"/>
        <w:spacing w:before="0" w:beforeAutospacing="0" w:after="0" w:afterAutospacing="0"/>
        <w:ind w:firstLine="360"/>
        <w:jc w:val="both"/>
        <w:rPr>
          <w:sz w:val="20"/>
          <w:szCs w:val="20"/>
        </w:rPr>
      </w:pPr>
      <w:r>
        <w:rPr>
          <w:i/>
          <w:iCs/>
          <w:sz w:val="20"/>
          <w:szCs w:val="20"/>
        </w:rPr>
        <w:t> </w:t>
      </w:r>
    </w:p>
    <w:p w14:paraId="0FDF7A36" w14:textId="77777777" w:rsidR="00000000" w:rsidRDefault="00527094">
      <w:pPr>
        <w:pStyle w:val="a3"/>
        <w:spacing w:before="0" w:beforeAutospacing="0" w:after="0" w:afterAutospacing="0"/>
        <w:ind w:firstLine="360"/>
        <w:jc w:val="both"/>
        <w:rPr>
          <w:sz w:val="20"/>
          <w:szCs w:val="20"/>
        </w:rPr>
      </w:pPr>
      <w:r>
        <w:rPr>
          <w:sz w:val="20"/>
          <w:szCs w:val="20"/>
        </w:rPr>
        <w:t>The decrease in Interest expense of $7.9 million for the six months ended June 30, 2019, as compared to the corresponding pe</w:t>
      </w:r>
      <w:r>
        <w:rPr>
          <w:sz w:val="20"/>
          <w:szCs w:val="20"/>
        </w:rPr>
        <w:t>riod in 2018, is primarily the result of the repayment of maturing debt during 2019 and 2018 and lower levels of borrowings during the six months ended June 30, 2019, as compared to the corresponding period in 2018.</w:t>
      </w:r>
    </w:p>
    <w:p w14:paraId="0B601514" w14:textId="77777777" w:rsidR="00000000" w:rsidRDefault="00527094">
      <w:pPr>
        <w:pStyle w:val="a3"/>
        <w:spacing w:before="0" w:beforeAutospacing="0" w:after="0" w:afterAutospacing="0"/>
        <w:ind w:firstLine="360"/>
        <w:jc w:val="both"/>
        <w:rPr>
          <w:sz w:val="20"/>
          <w:szCs w:val="20"/>
        </w:rPr>
      </w:pPr>
      <w:r>
        <w:rPr>
          <w:sz w:val="20"/>
          <w:szCs w:val="20"/>
        </w:rPr>
        <w:t> </w:t>
      </w:r>
    </w:p>
    <w:p w14:paraId="0015613C" w14:textId="77777777" w:rsidR="00000000" w:rsidRDefault="00527094">
      <w:pPr>
        <w:jc w:val="center"/>
        <w:divId w:val="1317998590"/>
        <w:rPr>
          <w:rFonts w:eastAsia="Times New Roman"/>
          <w:sz w:val="20"/>
          <w:szCs w:val="20"/>
        </w:rPr>
      </w:pPr>
      <w:r>
        <w:rPr>
          <w:rFonts w:eastAsia="Times New Roman"/>
          <w:sz w:val="20"/>
          <w:szCs w:val="20"/>
        </w:rPr>
        <w:t xml:space="preserve">25 </w:t>
      </w:r>
    </w:p>
    <w:p w14:paraId="4F3FDA6B" w14:textId="77777777" w:rsidR="00000000" w:rsidRDefault="00527094">
      <w:pPr>
        <w:divId w:val="1317998590"/>
        <w:rPr>
          <w:rFonts w:eastAsia="Times New Roman"/>
          <w:sz w:val="20"/>
          <w:szCs w:val="20"/>
        </w:rPr>
      </w:pPr>
      <w:r>
        <w:rPr>
          <w:rFonts w:eastAsia="Times New Roman"/>
          <w:sz w:val="20"/>
          <w:szCs w:val="20"/>
        </w:rPr>
        <w:pict w14:anchorId="707B7AD6">
          <v:rect id="_x0000_i1053" style="width:0;height:1.5pt" o:hralign="center" o:hrstd="t" o:hr="t" fillcolor="#a0a0a0" stroked="f"/>
        </w:pict>
      </w:r>
    </w:p>
    <w:p w14:paraId="5FAB075F" w14:textId="77777777" w:rsidR="00000000" w:rsidRDefault="00527094">
      <w:pPr>
        <w:divId w:val="13179985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F46C072" w14:textId="77777777" w:rsidR="00000000" w:rsidRDefault="00527094">
      <w:pPr>
        <w:pStyle w:val="a3"/>
        <w:spacing w:before="0" w:beforeAutospacing="0" w:after="0" w:afterAutospacing="0"/>
        <w:rPr>
          <w:sz w:val="20"/>
          <w:szCs w:val="20"/>
        </w:rPr>
      </w:pPr>
      <w:r>
        <w:rPr>
          <w:sz w:val="20"/>
          <w:szCs w:val="20"/>
        </w:rPr>
        <w:t> </w:t>
      </w:r>
    </w:p>
    <w:p w14:paraId="1851B5B3" w14:textId="77777777" w:rsidR="00000000" w:rsidRDefault="00527094">
      <w:pPr>
        <w:pStyle w:val="a3"/>
        <w:spacing w:before="0" w:beforeAutospacing="0" w:after="0" w:afterAutospacing="0"/>
        <w:jc w:val="both"/>
        <w:rPr>
          <w:sz w:val="20"/>
          <w:szCs w:val="20"/>
        </w:rPr>
      </w:pPr>
      <w:r>
        <w:rPr>
          <w:i/>
          <w:iCs/>
          <w:sz w:val="20"/>
          <w:szCs w:val="20"/>
        </w:rPr>
        <w:t xml:space="preserve">Equity in income of joint ventures, net – </w:t>
      </w:r>
    </w:p>
    <w:p w14:paraId="11B4572B" w14:textId="77777777" w:rsidR="00000000" w:rsidRDefault="00527094">
      <w:pPr>
        <w:pStyle w:val="a3"/>
        <w:spacing w:before="0" w:beforeAutospacing="0" w:after="0" w:afterAutospacing="0"/>
        <w:ind w:firstLine="360"/>
        <w:jc w:val="both"/>
        <w:rPr>
          <w:sz w:val="20"/>
          <w:szCs w:val="20"/>
        </w:rPr>
      </w:pPr>
      <w:r>
        <w:rPr>
          <w:i/>
          <w:iCs/>
          <w:sz w:val="20"/>
          <w:szCs w:val="20"/>
        </w:rPr>
        <w:t> </w:t>
      </w:r>
    </w:p>
    <w:p w14:paraId="4E80B681" w14:textId="77777777" w:rsidR="00000000" w:rsidRDefault="00527094">
      <w:pPr>
        <w:pStyle w:val="a3"/>
        <w:spacing w:before="0" w:beforeAutospacing="0" w:after="0" w:afterAutospacing="0"/>
        <w:ind w:firstLine="360"/>
        <w:jc w:val="both"/>
        <w:rPr>
          <w:sz w:val="20"/>
          <w:szCs w:val="20"/>
        </w:rPr>
      </w:pPr>
      <w:r>
        <w:rPr>
          <w:sz w:val="20"/>
          <w:szCs w:val="20"/>
        </w:rPr>
        <w:t>The increase in Equity in income of joint ventures, net of $3.5 million for the three months ended June 30, 2019, as compared to the corresponding period in 2018, is primarily due to an increase in net gains resulting from the sale of properties and capita</w:t>
      </w:r>
      <w:r>
        <w:rPr>
          <w:sz w:val="20"/>
          <w:szCs w:val="20"/>
        </w:rPr>
        <w:t>l transactions within various joint venture investments during 2019, as compared to the corresponding period in 2018.</w:t>
      </w:r>
    </w:p>
    <w:p w14:paraId="3AE6614F" w14:textId="77777777" w:rsidR="00000000" w:rsidRDefault="00527094">
      <w:pPr>
        <w:pStyle w:val="a3"/>
        <w:spacing w:before="0" w:beforeAutospacing="0" w:after="0" w:afterAutospacing="0"/>
        <w:ind w:firstLine="360"/>
        <w:jc w:val="both"/>
        <w:rPr>
          <w:sz w:val="20"/>
          <w:szCs w:val="20"/>
        </w:rPr>
      </w:pPr>
      <w:r>
        <w:rPr>
          <w:sz w:val="20"/>
          <w:szCs w:val="20"/>
        </w:rPr>
        <w:t> </w:t>
      </w:r>
    </w:p>
    <w:p w14:paraId="332FE380" w14:textId="77777777" w:rsidR="00000000" w:rsidRDefault="00527094">
      <w:pPr>
        <w:pStyle w:val="a3"/>
        <w:spacing w:before="0" w:beforeAutospacing="0" w:after="0" w:afterAutospacing="0"/>
        <w:ind w:firstLine="360"/>
        <w:jc w:val="both"/>
        <w:rPr>
          <w:sz w:val="20"/>
          <w:szCs w:val="20"/>
        </w:rPr>
      </w:pPr>
      <w:r>
        <w:rPr>
          <w:sz w:val="20"/>
          <w:szCs w:val="20"/>
        </w:rPr>
        <w:t>The increase in Equity in income of joint ventures, net of $5.3 million for the six months ended June 30, 2019, as compared to the corre</w:t>
      </w:r>
      <w:r>
        <w:rPr>
          <w:sz w:val="20"/>
          <w:szCs w:val="20"/>
        </w:rPr>
        <w:t xml:space="preserve">sponding period in 2018, is primarily due to (i) an increase in net gains of $6.1 million resulting from the sale of properties and capital transactions within various joint venture investments during 2019, as compared to the corresponding period in 2018, </w:t>
      </w:r>
      <w:r>
        <w:rPr>
          <w:sz w:val="20"/>
          <w:szCs w:val="20"/>
        </w:rPr>
        <w:t>and (ii) higher equity in income of $0.6 million within various joint venture investments during 2019 as compared to the corresponding period in 2018, partially offset by (iii) an increase in impairment charges of $1.4 million recognized during 2019, as co</w:t>
      </w:r>
      <w:r>
        <w:rPr>
          <w:sz w:val="20"/>
          <w:szCs w:val="20"/>
        </w:rPr>
        <w:t>mpared to the corresponding period in 2018.</w:t>
      </w:r>
    </w:p>
    <w:p w14:paraId="4F376A22" w14:textId="77777777" w:rsidR="00000000" w:rsidRDefault="00527094">
      <w:pPr>
        <w:pStyle w:val="a3"/>
        <w:spacing w:before="0" w:beforeAutospacing="0" w:after="0" w:afterAutospacing="0"/>
        <w:jc w:val="both"/>
        <w:rPr>
          <w:sz w:val="20"/>
          <w:szCs w:val="20"/>
        </w:rPr>
      </w:pPr>
      <w:r>
        <w:rPr>
          <w:sz w:val="20"/>
          <w:szCs w:val="20"/>
        </w:rPr>
        <w:t> </w:t>
      </w:r>
    </w:p>
    <w:p w14:paraId="1BEF82E1" w14:textId="77777777" w:rsidR="00000000" w:rsidRDefault="00527094">
      <w:pPr>
        <w:pStyle w:val="a3"/>
        <w:spacing w:before="0" w:beforeAutospacing="0" w:after="0" w:afterAutospacing="0"/>
        <w:jc w:val="both"/>
        <w:rPr>
          <w:sz w:val="20"/>
          <w:szCs w:val="20"/>
        </w:rPr>
      </w:pPr>
      <w:r>
        <w:rPr>
          <w:i/>
          <w:iCs/>
          <w:sz w:val="20"/>
          <w:szCs w:val="20"/>
        </w:rPr>
        <w:t xml:space="preserve">Equity in income of other real estate investments, net – </w:t>
      </w:r>
    </w:p>
    <w:p w14:paraId="4E7CB420" w14:textId="77777777" w:rsidR="00000000" w:rsidRDefault="00527094">
      <w:pPr>
        <w:pStyle w:val="a3"/>
        <w:spacing w:before="0" w:beforeAutospacing="0" w:after="0" w:afterAutospacing="0"/>
        <w:jc w:val="both"/>
        <w:rPr>
          <w:sz w:val="20"/>
          <w:szCs w:val="20"/>
        </w:rPr>
      </w:pPr>
      <w:r>
        <w:rPr>
          <w:i/>
          <w:iCs/>
          <w:sz w:val="20"/>
          <w:szCs w:val="20"/>
        </w:rPr>
        <w:t> </w:t>
      </w:r>
    </w:p>
    <w:p w14:paraId="211706EB" w14:textId="77777777" w:rsidR="00000000" w:rsidRDefault="00527094">
      <w:pPr>
        <w:pStyle w:val="a3"/>
        <w:spacing w:before="0" w:beforeAutospacing="0" w:after="0" w:afterAutospacing="0"/>
        <w:ind w:firstLine="360"/>
        <w:jc w:val="both"/>
        <w:rPr>
          <w:sz w:val="20"/>
          <w:szCs w:val="20"/>
        </w:rPr>
      </w:pPr>
      <w:r>
        <w:rPr>
          <w:sz w:val="20"/>
          <w:szCs w:val="20"/>
        </w:rPr>
        <w:t>The increase in Equity in income of other real estate investments, net of $3.7 million for the three months ended June 30, 2019, as compared to the co</w:t>
      </w:r>
      <w:r>
        <w:rPr>
          <w:sz w:val="20"/>
          <w:szCs w:val="20"/>
        </w:rPr>
        <w:t>rresponding period in 2018, is primarily due to an increase in earnings and profit participation from capital transactions related to the Company’s Preferred Equity Program during 2019, as compared to the corresponding period in 2018.</w:t>
      </w:r>
    </w:p>
    <w:p w14:paraId="0B71304E" w14:textId="77777777" w:rsidR="00000000" w:rsidRDefault="00527094">
      <w:pPr>
        <w:pStyle w:val="a3"/>
        <w:spacing w:before="0" w:beforeAutospacing="0" w:after="0" w:afterAutospacing="0"/>
        <w:jc w:val="both"/>
        <w:rPr>
          <w:sz w:val="20"/>
          <w:szCs w:val="20"/>
        </w:rPr>
      </w:pPr>
      <w:r>
        <w:rPr>
          <w:sz w:val="20"/>
          <w:szCs w:val="20"/>
        </w:rPr>
        <w:t> </w:t>
      </w:r>
    </w:p>
    <w:p w14:paraId="1056C607" w14:textId="77777777" w:rsidR="00000000" w:rsidRDefault="00527094">
      <w:pPr>
        <w:pStyle w:val="a3"/>
        <w:spacing w:before="0" w:beforeAutospacing="0" w:after="0" w:afterAutospacing="0"/>
        <w:jc w:val="both"/>
        <w:rPr>
          <w:sz w:val="20"/>
          <w:szCs w:val="20"/>
        </w:rPr>
      </w:pPr>
      <w:r>
        <w:rPr>
          <w:sz w:val="20"/>
          <w:szCs w:val="20"/>
        </w:rPr>
        <w:t> </w:t>
      </w:r>
      <w:r>
        <w:rPr>
          <w:sz w:val="20"/>
          <w:szCs w:val="20"/>
          <w:u w:val="single"/>
        </w:rPr>
        <w:t>Tenant Concentrati</w:t>
      </w:r>
      <w:r>
        <w:rPr>
          <w:sz w:val="20"/>
          <w:szCs w:val="20"/>
          <w:u w:val="single"/>
        </w:rPr>
        <w:t>on</w:t>
      </w:r>
    </w:p>
    <w:p w14:paraId="6BF7BC07" w14:textId="77777777" w:rsidR="00000000" w:rsidRDefault="00527094">
      <w:pPr>
        <w:pStyle w:val="a3"/>
        <w:spacing w:before="0" w:beforeAutospacing="0" w:after="0" w:afterAutospacing="0"/>
        <w:jc w:val="both"/>
        <w:rPr>
          <w:sz w:val="20"/>
          <w:szCs w:val="20"/>
        </w:rPr>
      </w:pPr>
      <w:r>
        <w:rPr>
          <w:sz w:val="20"/>
          <w:szCs w:val="20"/>
        </w:rPr>
        <w:t> </w:t>
      </w:r>
    </w:p>
    <w:p w14:paraId="19F54F4F" w14:textId="77777777" w:rsidR="00000000" w:rsidRDefault="00527094">
      <w:pPr>
        <w:pStyle w:val="a3"/>
        <w:spacing w:before="0" w:beforeAutospacing="0" w:after="0" w:afterAutospacing="0"/>
        <w:ind w:firstLine="360"/>
        <w:jc w:val="both"/>
        <w:rPr>
          <w:sz w:val="20"/>
          <w:szCs w:val="20"/>
        </w:rPr>
      </w:pPr>
      <w:r>
        <w:rPr>
          <w:sz w:val="20"/>
          <w:szCs w:val="20"/>
        </w:rPr>
        <w:t>The Company seeks to reduce its operating and leasing risks through diversification achieved by the geographic distribution of its properties and a large tenant base. At June 30, 2019, the Company’s five largest tenants were TJX Companies, Home Depot,</w:t>
      </w:r>
      <w:r>
        <w:rPr>
          <w:sz w:val="20"/>
          <w:szCs w:val="20"/>
        </w:rPr>
        <w:t xml:space="preserve"> Ahold Delhaize USA, Albertsons and PetSmart, which represented 3.8%, 2.5%, 2.2%, 2.0% and 1.9%, respectively, of the Company’s annualized base rental revenues, including the proportionate share of base rental revenues from properties in which the Company </w:t>
      </w:r>
      <w:r>
        <w:rPr>
          <w:sz w:val="20"/>
          <w:szCs w:val="20"/>
        </w:rPr>
        <w:t>has less than a 100% economic interest.</w:t>
      </w:r>
    </w:p>
    <w:p w14:paraId="72F0396D" w14:textId="77777777" w:rsidR="00000000" w:rsidRDefault="00527094">
      <w:pPr>
        <w:pStyle w:val="a3"/>
        <w:spacing w:before="0" w:beforeAutospacing="0" w:after="0" w:afterAutospacing="0"/>
        <w:jc w:val="both"/>
        <w:rPr>
          <w:sz w:val="20"/>
          <w:szCs w:val="20"/>
        </w:rPr>
      </w:pPr>
      <w:r>
        <w:rPr>
          <w:sz w:val="20"/>
          <w:szCs w:val="20"/>
        </w:rPr>
        <w:t> </w:t>
      </w:r>
    </w:p>
    <w:p w14:paraId="04D7FF7D" w14:textId="77777777" w:rsidR="00000000" w:rsidRDefault="00527094">
      <w:pPr>
        <w:pStyle w:val="a3"/>
        <w:spacing w:before="0" w:beforeAutospacing="0" w:after="0" w:afterAutospacing="0"/>
        <w:jc w:val="both"/>
        <w:rPr>
          <w:sz w:val="20"/>
          <w:szCs w:val="20"/>
        </w:rPr>
      </w:pPr>
      <w:r>
        <w:rPr>
          <w:sz w:val="20"/>
          <w:szCs w:val="20"/>
          <w:u w:val="single"/>
        </w:rPr>
        <w:t>Liquidity and Capital Resources</w:t>
      </w:r>
    </w:p>
    <w:p w14:paraId="6D711FAC" w14:textId="77777777" w:rsidR="00000000" w:rsidRDefault="00527094">
      <w:pPr>
        <w:pStyle w:val="a3"/>
        <w:spacing w:before="0" w:beforeAutospacing="0" w:after="0" w:afterAutospacing="0"/>
        <w:jc w:val="both"/>
        <w:rPr>
          <w:sz w:val="20"/>
          <w:szCs w:val="20"/>
        </w:rPr>
      </w:pPr>
      <w:r>
        <w:rPr>
          <w:sz w:val="20"/>
          <w:szCs w:val="20"/>
        </w:rPr>
        <w:t> </w:t>
      </w:r>
    </w:p>
    <w:p w14:paraId="27D8EB58" w14:textId="77777777" w:rsidR="00000000" w:rsidRDefault="00527094">
      <w:pPr>
        <w:pStyle w:val="a3"/>
        <w:spacing w:before="0" w:beforeAutospacing="0" w:after="0" w:afterAutospacing="0"/>
        <w:ind w:firstLine="360"/>
        <w:jc w:val="both"/>
        <w:rPr>
          <w:sz w:val="20"/>
          <w:szCs w:val="20"/>
        </w:rPr>
      </w:pPr>
      <w:r>
        <w:rPr>
          <w:sz w:val="20"/>
          <w:szCs w:val="20"/>
        </w:rPr>
        <w:t>The Company’s capital resources include accessing the public debt and equity capital markets, mortgages and construction loan financing, and immediate access to an unsecured revolv</w:t>
      </w:r>
      <w:r>
        <w:rPr>
          <w:sz w:val="20"/>
          <w:szCs w:val="20"/>
        </w:rPr>
        <w:t>ing credit facility (the “Credit Facility”) with bank commitments of $2.25 billion which can be increased to $2.75 billion through an accordion feature.</w:t>
      </w:r>
    </w:p>
    <w:p w14:paraId="47C94B23" w14:textId="77777777" w:rsidR="00000000" w:rsidRDefault="00527094">
      <w:pPr>
        <w:pStyle w:val="a3"/>
        <w:spacing w:before="0" w:beforeAutospacing="0" w:after="0" w:afterAutospacing="0"/>
        <w:jc w:val="both"/>
        <w:rPr>
          <w:sz w:val="20"/>
          <w:szCs w:val="20"/>
        </w:rPr>
      </w:pPr>
      <w:r>
        <w:rPr>
          <w:sz w:val="20"/>
          <w:szCs w:val="20"/>
        </w:rPr>
        <w:t> </w:t>
      </w:r>
    </w:p>
    <w:p w14:paraId="10545216" w14:textId="77777777" w:rsidR="00000000" w:rsidRDefault="00527094">
      <w:pPr>
        <w:pStyle w:val="a3"/>
        <w:spacing w:before="0" w:beforeAutospacing="0" w:after="0" w:afterAutospacing="0"/>
        <w:ind w:firstLine="360"/>
        <w:jc w:val="both"/>
        <w:rPr>
          <w:sz w:val="20"/>
          <w:szCs w:val="20"/>
        </w:rPr>
      </w:pPr>
      <w:r>
        <w:rPr>
          <w:sz w:val="20"/>
          <w:szCs w:val="20"/>
        </w:rPr>
        <w:t>The Company’s cash flow activities are summarized as follows (in thousands): </w:t>
      </w:r>
    </w:p>
    <w:p w14:paraId="0DDDDDB4"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5713E994" w14:textId="77777777">
        <w:trPr>
          <w:tblCellSpacing w:w="0" w:type="dxa"/>
        </w:trPr>
        <w:tc>
          <w:tcPr>
            <w:tcW w:w="0" w:type="auto"/>
            <w:vAlign w:val="bottom"/>
            <w:hideMark/>
          </w:tcPr>
          <w:p w14:paraId="138EEF5A"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6D810292"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094C81B2" w14:textId="77777777" w:rsidR="00000000" w:rsidRDefault="00527094">
            <w:pPr>
              <w:pStyle w:val="a3"/>
              <w:spacing w:before="0" w:beforeAutospacing="0" w:after="0" w:afterAutospacing="0"/>
              <w:jc w:val="center"/>
              <w:rPr>
                <w:sz w:val="20"/>
                <w:szCs w:val="20"/>
              </w:rPr>
            </w:pPr>
            <w:r>
              <w:rPr>
                <w:b/>
                <w:bCs/>
                <w:sz w:val="20"/>
                <w:szCs w:val="20"/>
              </w:rPr>
              <w:t xml:space="preserve">Six Months Ended </w:t>
            </w:r>
            <w:r>
              <w:rPr>
                <w:b/>
                <w:bCs/>
                <w:sz w:val="20"/>
                <w:szCs w:val="20"/>
              </w:rPr>
              <w:t>June 30,</w:t>
            </w:r>
          </w:p>
        </w:tc>
        <w:tc>
          <w:tcPr>
            <w:tcW w:w="0" w:type="auto"/>
            <w:tcMar>
              <w:top w:w="0" w:type="dxa"/>
              <w:left w:w="0" w:type="dxa"/>
              <w:bottom w:w="15" w:type="dxa"/>
              <w:right w:w="0" w:type="dxa"/>
            </w:tcMar>
            <w:vAlign w:val="bottom"/>
            <w:hideMark/>
          </w:tcPr>
          <w:p w14:paraId="57183772" w14:textId="77777777" w:rsidR="00000000" w:rsidRDefault="00527094">
            <w:pPr>
              <w:rPr>
                <w:rFonts w:eastAsia="Times New Roman"/>
                <w:sz w:val="20"/>
                <w:szCs w:val="20"/>
              </w:rPr>
            </w:pPr>
            <w:r>
              <w:rPr>
                <w:rFonts w:eastAsia="Times New Roman"/>
                <w:sz w:val="20"/>
                <w:szCs w:val="20"/>
              </w:rPr>
              <w:t> </w:t>
            </w:r>
          </w:p>
        </w:tc>
      </w:tr>
      <w:tr w:rsidR="00000000" w14:paraId="61D34503" w14:textId="77777777">
        <w:trPr>
          <w:tblCellSpacing w:w="0" w:type="dxa"/>
        </w:trPr>
        <w:tc>
          <w:tcPr>
            <w:tcW w:w="0" w:type="auto"/>
            <w:vAlign w:val="bottom"/>
            <w:hideMark/>
          </w:tcPr>
          <w:p w14:paraId="31F4B27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36EBDE5"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A77C50C"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FCF227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8693506"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723F748"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9D23F4E" w14:textId="77777777" w:rsidR="00000000" w:rsidRDefault="00527094">
            <w:pPr>
              <w:rPr>
                <w:rFonts w:eastAsia="Times New Roman"/>
                <w:sz w:val="20"/>
                <w:szCs w:val="20"/>
              </w:rPr>
            </w:pPr>
            <w:r>
              <w:rPr>
                <w:rFonts w:eastAsia="Times New Roman"/>
                <w:sz w:val="20"/>
                <w:szCs w:val="20"/>
              </w:rPr>
              <w:t> </w:t>
            </w:r>
          </w:p>
        </w:tc>
      </w:tr>
      <w:tr w:rsidR="00000000" w14:paraId="293C461C" w14:textId="77777777">
        <w:trPr>
          <w:tblCellSpacing w:w="0" w:type="dxa"/>
        </w:trPr>
        <w:tc>
          <w:tcPr>
            <w:tcW w:w="3100" w:type="pct"/>
            <w:shd w:val="clear" w:color="auto" w:fill="CCEEFF"/>
            <w:vAlign w:val="bottom"/>
            <w:hideMark/>
          </w:tcPr>
          <w:p w14:paraId="010B6E58" w14:textId="77777777" w:rsidR="00000000" w:rsidRDefault="00527094">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vAlign w:val="bottom"/>
            <w:hideMark/>
          </w:tcPr>
          <w:p w14:paraId="2E94C8D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E898CD" w14:textId="77777777" w:rsidR="00000000" w:rsidRDefault="00527094">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223AA928" w14:textId="77777777" w:rsidR="00000000" w:rsidRDefault="00527094">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14:paraId="3F7839F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546D12"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BE90D79" w14:textId="77777777" w:rsidR="00000000" w:rsidRDefault="00527094">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36B6D52B" w14:textId="77777777" w:rsidR="00000000" w:rsidRDefault="00527094">
            <w:pPr>
              <w:jc w:val="right"/>
              <w:rPr>
                <w:rFonts w:eastAsia="Times New Roman"/>
                <w:sz w:val="20"/>
                <w:szCs w:val="20"/>
              </w:rPr>
            </w:pPr>
            <w:r>
              <w:rPr>
                <w:rFonts w:eastAsia="Times New Roman"/>
                <w:sz w:val="20"/>
                <w:szCs w:val="20"/>
              </w:rPr>
              <w:t>238,513</w:t>
            </w:r>
          </w:p>
        </w:tc>
        <w:tc>
          <w:tcPr>
            <w:tcW w:w="50" w:type="pct"/>
            <w:shd w:val="clear" w:color="auto" w:fill="CCEEFF"/>
            <w:tcMar>
              <w:top w:w="0" w:type="dxa"/>
              <w:left w:w="0" w:type="dxa"/>
              <w:bottom w:w="15" w:type="dxa"/>
              <w:right w:w="0" w:type="dxa"/>
            </w:tcMar>
            <w:vAlign w:val="bottom"/>
            <w:hideMark/>
          </w:tcPr>
          <w:p w14:paraId="1F1CA6EB" w14:textId="77777777" w:rsidR="00000000" w:rsidRDefault="00527094">
            <w:pPr>
              <w:rPr>
                <w:rFonts w:eastAsia="Times New Roman"/>
                <w:sz w:val="20"/>
                <w:szCs w:val="20"/>
              </w:rPr>
            </w:pPr>
            <w:r>
              <w:rPr>
                <w:rFonts w:eastAsia="Times New Roman"/>
                <w:sz w:val="20"/>
                <w:szCs w:val="20"/>
              </w:rPr>
              <w:t> </w:t>
            </w:r>
          </w:p>
        </w:tc>
      </w:tr>
      <w:tr w:rsidR="00000000" w14:paraId="7145F84B" w14:textId="77777777">
        <w:trPr>
          <w:tblCellSpacing w:w="0" w:type="dxa"/>
        </w:trPr>
        <w:tc>
          <w:tcPr>
            <w:tcW w:w="0" w:type="auto"/>
            <w:shd w:val="clear" w:color="auto" w:fill="FFFFFF"/>
            <w:vAlign w:val="bottom"/>
            <w:hideMark/>
          </w:tcPr>
          <w:p w14:paraId="085A779E" w14:textId="77777777" w:rsidR="00000000" w:rsidRDefault="00527094">
            <w:pPr>
              <w:pStyle w:val="a3"/>
              <w:spacing w:before="0" w:beforeAutospacing="0" w:after="0" w:afterAutospacing="0"/>
              <w:ind w:left="180"/>
              <w:rPr>
                <w:sz w:val="20"/>
                <w:szCs w:val="20"/>
              </w:rPr>
            </w:pPr>
            <w:r>
              <w:rPr>
                <w:sz w:val="20"/>
                <w:szCs w:val="20"/>
              </w:rPr>
              <w:t>Net cash flow provided by operating activities</w:t>
            </w:r>
          </w:p>
        </w:tc>
        <w:tc>
          <w:tcPr>
            <w:tcW w:w="50" w:type="pct"/>
            <w:tcBorders>
              <w:bottom w:val="nil"/>
            </w:tcBorders>
            <w:shd w:val="clear" w:color="auto" w:fill="FFFFFF"/>
            <w:vAlign w:val="bottom"/>
            <w:hideMark/>
          </w:tcPr>
          <w:p w14:paraId="11AB9AE7"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F6253B9"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7A32EF2B" w14:textId="77777777" w:rsidR="00000000" w:rsidRDefault="00527094">
            <w:pPr>
              <w:jc w:val="right"/>
              <w:rPr>
                <w:rFonts w:eastAsia="Times New Roman"/>
                <w:sz w:val="20"/>
                <w:szCs w:val="20"/>
              </w:rPr>
            </w:pPr>
            <w:r>
              <w:rPr>
                <w:rFonts w:eastAsia="Times New Roman"/>
                <w:sz w:val="20"/>
                <w:szCs w:val="20"/>
              </w:rPr>
              <w:t>313,529</w:t>
            </w:r>
          </w:p>
        </w:tc>
        <w:tc>
          <w:tcPr>
            <w:tcW w:w="50" w:type="pct"/>
            <w:tcBorders>
              <w:bottom w:val="nil"/>
            </w:tcBorders>
            <w:shd w:val="clear" w:color="auto" w:fill="FFFFFF"/>
            <w:vAlign w:val="bottom"/>
            <w:hideMark/>
          </w:tcPr>
          <w:p w14:paraId="0F0E3458"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2EFAC0D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64C53D77" w14:textId="77777777" w:rsidR="00000000" w:rsidRDefault="00527094">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7DD3E900" w14:textId="77777777" w:rsidR="00000000" w:rsidRDefault="00527094">
            <w:pPr>
              <w:jc w:val="right"/>
              <w:rPr>
                <w:rFonts w:eastAsia="Times New Roman"/>
                <w:sz w:val="20"/>
                <w:szCs w:val="20"/>
              </w:rPr>
            </w:pPr>
            <w:r>
              <w:rPr>
                <w:rFonts w:eastAsia="Times New Roman"/>
                <w:sz w:val="20"/>
                <w:szCs w:val="20"/>
              </w:rPr>
              <w:t>351,986</w:t>
            </w:r>
          </w:p>
        </w:tc>
        <w:tc>
          <w:tcPr>
            <w:tcW w:w="50" w:type="pct"/>
            <w:tcBorders>
              <w:bottom w:val="nil"/>
            </w:tcBorders>
            <w:shd w:val="clear" w:color="auto" w:fill="FFFFFF"/>
            <w:vAlign w:val="bottom"/>
            <w:hideMark/>
          </w:tcPr>
          <w:p w14:paraId="459E9EFC" w14:textId="77777777" w:rsidR="00000000" w:rsidRDefault="00527094">
            <w:pPr>
              <w:rPr>
                <w:rFonts w:eastAsia="Times New Roman"/>
                <w:sz w:val="20"/>
                <w:szCs w:val="20"/>
              </w:rPr>
            </w:pPr>
            <w:r>
              <w:rPr>
                <w:rFonts w:eastAsia="Times New Roman"/>
                <w:sz w:val="20"/>
                <w:szCs w:val="20"/>
              </w:rPr>
              <w:t> </w:t>
            </w:r>
          </w:p>
        </w:tc>
      </w:tr>
      <w:tr w:rsidR="00000000" w14:paraId="1666DE01" w14:textId="77777777">
        <w:trPr>
          <w:tblCellSpacing w:w="0" w:type="dxa"/>
        </w:trPr>
        <w:tc>
          <w:tcPr>
            <w:tcW w:w="0" w:type="auto"/>
            <w:shd w:val="clear" w:color="auto" w:fill="CCEEFF"/>
            <w:vAlign w:val="bottom"/>
            <w:hideMark/>
          </w:tcPr>
          <w:p w14:paraId="245351C7" w14:textId="77777777" w:rsidR="00000000" w:rsidRDefault="00527094">
            <w:pPr>
              <w:pStyle w:val="a3"/>
              <w:spacing w:before="0" w:beforeAutospacing="0" w:after="0" w:afterAutospacing="0"/>
              <w:ind w:left="180"/>
              <w:rPr>
                <w:sz w:val="20"/>
                <w:szCs w:val="20"/>
              </w:rPr>
            </w:pPr>
            <w:r>
              <w:rPr>
                <w:sz w:val="20"/>
                <w:szCs w:val="20"/>
              </w:rPr>
              <w:t>Net cash flow (used for)/provided by investing activities</w:t>
            </w:r>
          </w:p>
        </w:tc>
        <w:tc>
          <w:tcPr>
            <w:tcW w:w="50" w:type="pct"/>
            <w:shd w:val="clear" w:color="auto" w:fill="CCEEFF"/>
            <w:vAlign w:val="bottom"/>
            <w:hideMark/>
          </w:tcPr>
          <w:p w14:paraId="2B7514F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B10644"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34A38B1" w14:textId="77777777" w:rsidR="00000000" w:rsidRDefault="00527094">
            <w:pPr>
              <w:jc w:val="right"/>
              <w:rPr>
                <w:rFonts w:eastAsia="Times New Roman"/>
                <w:sz w:val="20"/>
                <w:szCs w:val="20"/>
              </w:rPr>
            </w:pPr>
            <w:r>
              <w:rPr>
                <w:rFonts w:eastAsia="Times New Roman"/>
                <w:sz w:val="20"/>
                <w:szCs w:val="20"/>
              </w:rPr>
              <w:t>(100,519</w:t>
            </w:r>
          </w:p>
        </w:tc>
        <w:tc>
          <w:tcPr>
            <w:tcW w:w="50" w:type="pct"/>
            <w:shd w:val="clear" w:color="auto" w:fill="CCEEFF"/>
            <w:vAlign w:val="bottom"/>
            <w:hideMark/>
          </w:tcPr>
          <w:p w14:paraId="416DBDE9"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A1B64C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F68EB8" w14:textId="77777777" w:rsidR="00000000" w:rsidRDefault="0052709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8CE13EB" w14:textId="77777777" w:rsidR="00000000" w:rsidRDefault="00527094">
            <w:pPr>
              <w:jc w:val="right"/>
              <w:rPr>
                <w:rFonts w:eastAsia="Times New Roman"/>
                <w:sz w:val="20"/>
                <w:szCs w:val="20"/>
              </w:rPr>
            </w:pPr>
            <w:r>
              <w:rPr>
                <w:rFonts w:eastAsia="Times New Roman"/>
                <w:sz w:val="20"/>
                <w:szCs w:val="20"/>
              </w:rPr>
              <w:t>228,151</w:t>
            </w:r>
          </w:p>
        </w:tc>
        <w:tc>
          <w:tcPr>
            <w:tcW w:w="50" w:type="pct"/>
            <w:shd w:val="clear" w:color="auto" w:fill="CCEEFF"/>
            <w:vAlign w:val="bottom"/>
            <w:hideMark/>
          </w:tcPr>
          <w:p w14:paraId="24DEE794" w14:textId="77777777" w:rsidR="00000000" w:rsidRDefault="00527094">
            <w:pPr>
              <w:rPr>
                <w:rFonts w:eastAsia="Times New Roman"/>
                <w:sz w:val="20"/>
                <w:szCs w:val="20"/>
              </w:rPr>
            </w:pPr>
            <w:r>
              <w:rPr>
                <w:rFonts w:eastAsia="Times New Roman"/>
                <w:sz w:val="20"/>
                <w:szCs w:val="20"/>
              </w:rPr>
              <w:t> </w:t>
            </w:r>
          </w:p>
        </w:tc>
      </w:tr>
      <w:tr w:rsidR="00000000" w14:paraId="47234D68" w14:textId="77777777">
        <w:trPr>
          <w:tblCellSpacing w:w="0" w:type="dxa"/>
        </w:trPr>
        <w:tc>
          <w:tcPr>
            <w:tcW w:w="0" w:type="auto"/>
            <w:shd w:val="clear" w:color="auto" w:fill="FFFFFF"/>
            <w:vAlign w:val="bottom"/>
            <w:hideMark/>
          </w:tcPr>
          <w:p w14:paraId="035F798D" w14:textId="77777777" w:rsidR="00000000" w:rsidRDefault="00527094">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14:paraId="00C6B7A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27FE8DD"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01561C4" w14:textId="77777777" w:rsidR="00000000" w:rsidRDefault="00527094">
            <w:pPr>
              <w:jc w:val="right"/>
              <w:rPr>
                <w:rFonts w:eastAsia="Times New Roman"/>
                <w:sz w:val="20"/>
                <w:szCs w:val="20"/>
              </w:rPr>
            </w:pPr>
            <w:r>
              <w:rPr>
                <w:rFonts w:eastAsia="Times New Roman"/>
                <w:sz w:val="20"/>
                <w:szCs w:val="20"/>
              </w:rPr>
              <w:t>(242,600</w:t>
            </w:r>
          </w:p>
        </w:tc>
        <w:tc>
          <w:tcPr>
            <w:tcW w:w="50" w:type="pct"/>
            <w:shd w:val="clear" w:color="auto" w:fill="FFFFFF"/>
            <w:tcMar>
              <w:top w:w="0" w:type="dxa"/>
              <w:left w:w="0" w:type="dxa"/>
              <w:bottom w:w="15" w:type="dxa"/>
              <w:right w:w="0" w:type="dxa"/>
            </w:tcMar>
            <w:vAlign w:val="bottom"/>
            <w:hideMark/>
          </w:tcPr>
          <w:p w14:paraId="2F548EB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59F30B1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BFE708A"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4B303486" w14:textId="77777777" w:rsidR="00000000" w:rsidRDefault="00527094">
            <w:pPr>
              <w:jc w:val="right"/>
              <w:rPr>
                <w:rFonts w:eastAsia="Times New Roman"/>
                <w:sz w:val="20"/>
                <w:szCs w:val="20"/>
              </w:rPr>
            </w:pPr>
            <w:r>
              <w:rPr>
                <w:rFonts w:eastAsia="Times New Roman"/>
                <w:sz w:val="20"/>
                <w:szCs w:val="20"/>
              </w:rPr>
              <w:t>(513,073</w:t>
            </w:r>
          </w:p>
        </w:tc>
        <w:tc>
          <w:tcPr>
            <w:tcW w:w="50" w:type="pct"/>
            <w:shd w:val="clear" w:color="auto" w:fill="FFFFFF"/>
            <w:tcMar>
              <w:top w:w="0" w:type="dxa"/>
              <w:left w:w="0" w:type="dxa"/>
              <w:bottom w:w="15" w:type="dxa"/>
              <w:right w:w="0" w:type="dxa"/>
            </w:tcMar>
            <w:vAlign w:val="bottom"/>
            <w:hideMark/>
          </w:tcPr>
          <w:p w14:paraId="135BE315" w14:textId="77777777" w:rsidR="00000000" w:rsidRDefault="00527094">
            <w:pPr>
              <w:rPr>
                <w:rFonts w:eastAsia="Times New Roman"/>
                <w:sz w:val="20"/>
                <w:szCs w:val="20"/>
              </w:rPr>
            </w:pPr>
            <w:r>
              <w:rPr>
                <w:rFonts w:eastAsia="Times New Roman"/>
                <w:sz w:val="20"/>
                <w:szCs w:val="20"/>
              </w:rPr>
              <w:t>)</w:t>
            </w:r>
          </w:p>
        </w:tc>
      </w:tr>
      <w:tr w:rsidR="00000000" w14:paraId="68F842B0" w14:textId="77777777">
        <w:trPr>
          <w:tblCellSpacing w:w="0" w:type="dxa"/>
        </w:trPr>
        <w:tc>
          <w:tcPr>
            <w:tcW w:w="0" w:type="auto"/>
            <w:shd w:val="clear" w:color="auto" w:fill="CCEEFF"/>
            <w:vAlign w:val="bottom"/>
            <w:hideMark/>
          </w:tcPr>
          <w:p w14:paraId="305D7223" w14:textId="77777777" w:rsidR="00000000" w:rsidRDefault="00527094">
            <w:pPr>
              <w:pStyle w:val="a3"/>
              <w:spacing w:before="0" w:beforeAutospacing="0" w:after="0" w:afterAutospacing="0"/>
              <w:ind w:left="360"/>
              <w:rPr>
                <w:sz w:val="20"/>
                <w:szCs w:val="20"/>
              </w:rPr>
            </w:pPr>
            <w:r>
              <w:rPr>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14:paraId="0BF07D0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3F89CD4"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13A54876" w14:textId="77777777" w:rsidR="00000000" w:rsidRDefault="00527094">
            <w:pPr>
              <w:jc w:val="right"/>
              <w:rPr>
                <w:rFonts w:eastAsia="Times New Roman"/>
                <w:sz w:val="20"/>
                <w:szCs w:val="20"/>
              </w:rPr>
            </w:pPr>
            <w:r>
              <w:rPr>
                <w:rFonts w:eastAsia="Times New Roman"/>
                <w:sz w:val="20"/>
                <w:szCs w:val="20"/>
              </w:rPr>
              <w:t>(29,590</w:t>
            </w:r>
          </w:p>
        </w:tc>
        <w:tc>
          <w:tcPr>
            <w:tcW w:w="50" w:type="pct"/>
            <w:shd w:val="clear" w:color="auto" w:fill="CCEEFF"/>
            <w:tcMar>
              <w:top w:w="0" w:type="dxa"/>
              <w:left w:w="0" w:type="dxa"/>
              <w:bottom w:w="15" w:type="dxa"/>
              <w:right w:w="0" w:type="dxa"/>
            </w:tcMar>
            <w:vAlign w:val="bottom"/>
            <w:hideMark/>
          </w:tcPr>
          <w:p w14:paraId="46D9895E"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277C55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7D9C363" w14:textId="77777777" w:rsidR="00000000" w:rsidRDefault="0052709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28299CAF" w14:textId="77777777" w:rsidR="00000000" w:rsidRDefault="00527094">
            <w:pPr>
              <w:jc w:val="right"/>
              <w:rPr>
                <w:rFonts w:eastAsia="Times New Roman"/>
                <w:sz w:val="20"/>
                <w:szCs w:val="20"/>
              </w:rPr>
            </w:pPr>
            <w:r>
              <w:rPr>
                <w:rFonts w:eastAsia="Times New Roman"/>
                <w:sz w:val="20"/>
                <w:szCs w:val="20"/>
              </w:rPr>
              <w:t>67,064</w:t>
            </w:r>
          </w:p>
        </w:tc>
        <w:tc>
          <w:tcPr>
            <w:tcW w:w="50" w:type="pct"/>
            <w:shd w:val="clear" w:color="auto" w:fill="CCEEFF"/>
            <w:tcMar>
              <w:top w:w="0" w:type="dxa"/>
              <w:left w:w="0" w:type="dxa"/>
              <w:bottom w:w="15" w:type="dxa"/>
              <w:right w:w="0" w:type="dxa"/>
            </w:tcMar>
            <w:vAlign w:val="bottom"/>
            <w:hideMark/>
          </w:tcPr>
          <w:p w14:paraId="5F6CB8BE" w14:textId="77777777" w:rsidR="00000000" w:rsidRDefault="00527094">
            <w:pPr>
              <w:rPr>
                <w:rFonts w:eastAsia="Times New Roman"/>
                <w:sz w:val="20"/>
                <w:szCs w:val="20"/>
              </w:rPr>
            </w:pPr>
            <w:r>
              <w:rPr>
                <w:rFonts w:eastAsia="Times New Roman"/>
                <w:sz w:val="20"/>
                <w:szCs w:val="20"/>
              </w:rPr>
              <w:t> </w:t>
            </w:r>
          </w:p>
        </w:tc>
      </w:tr>
      <w:tr w:rsidR="00000000" w14:paraId="1E6986A4" w14:textId="77777777">
        <w:trPr>
          <w:tblCellSpacing w:w="0" w:type="dxa"/>
        </w:trPr>
        <w:tc>
          <w:tcPr>
            <w:tcW w:w="0" w:type="auto"/>
            <w:shd w:val="clear" w:color="auto" w:fill="FFFFFF"/>
            <w:vAlign w:val="bottom"/>
            <w:hideMark/>
          </w:tcPr>
          <w:p w14:paraId="172348D6" w14:textId="77777777" w:rsidR="00000000" w:rsidRDefault="00527094">
            <w:pPr>
              <w:pStyle w:val="a3"/>
              <w:spacing w:before="0" w:beforeAutospacing="0" w:after="0" w:afterAutospacing="0"/>
              <w:rPr>
                <w:sz w:val="20"/>
                <w:szCs w:val="20"/>
              </w:rPr>
            </w:pPr>
            <w:r>
              <w:rPr>
                <w:sz w:val="20"/>
                <w:szCs w:val="20"/>
              </w:rPr>
              <w:t>Cash and cash equivalents, end of the period</w:t>
            </w:r>
          </w:p>
        </w:tc>
        <w:tc>
          <w:tcPr>
            <w:tcW w:w="50" w:type="pct"/>
            <w:shd w:val="clear" w:color="auto" w:fill="FFFFFF"/>
            <w:vAlign w:val="bottom"/>
            <w:hideMark/>
          </w:tcPr>
          <w:p w14:paraId="3FADE6A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D755A66" w14:textId="77777777" w:rsidR="00000000" w:rsidRDefault="0052709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A19BF76" w14:textId="77777777" w:rsidR="00000000" w:rsidRDefault="00527094">
            <w:pPr>
              <w:jc w:val="right"/>
              <w:rPr>
                <w:rFonts w:eastAsia="Times New Roman"/>
                <w:sz w:val="20"/>
                <w:szCs w:val="20"/>
              </w:rPr>
            </w:pPr>
            <w:r>
              <w:rPr>
                <w:rFonts w:eastAsia="Times New Roman"/>
                <w:sz w:val="20"/>
                <w:szCs w:val="20"/>
              </w:rPr>
              <w:t>113,991</w:t>
            </w:r>
          </w:p>
        </w:tc>
        <w:tc>
          <w:tcPr>
            <w:tcW w:w="50" w:type="pct"/>
            <w:shd w:val="clear" w:color="auto" w:fill="FFFFFF"/>
            <w:tcMar>
              <w:top w:w="0" w:type="dxa"/>
              <w:left w:w="0" w:type="dxa"/>
              <w:bottom w:w="45" w:type="dxa"/>
              <w:right w:w="0" w:type="dxa"/>
            </w:tcMar>
            <w:vAlign w:val="bottom"/>
            <w:hideMark/>
          </w:tcPr>
          <w:p w14:paraId="78D30BD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7A78F2"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C7EB229" w14:textId="77777777" w:rsidR="00000000" w:rsidRDefault="0052709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438584FE" w14:textId="77777777" w:rsidR="00000000" w:rsidRDefault="00527094">
            <w:pPr>
              <w:jc w:val="right"/>
              <w:rPr>
                <w:rFonts w:eastAsia="Times New Roman"/>
                <w:sz w:val="20"/>
                <w:szCs w:val="20"/>
              </w:rPr>
            </w:pPr>
            <w:r>
              <w:rPr>
                <w:rFonts w:eastAsia="Times New Roman"/>
                <w:sz w:val="20"/>
                <w:szCs w:val="20"/>
              </w:rPr>
              <w:t>305,577</w:t>
            </w:r>
          </w:p>
        </w:tc>
        <w:tc>
          <w:tcPr>
            <w:tcW w:w="50" w:type="pct"/>
            <w:shd w:val="clear" w:color="auto" w:fill="FFFFFF"/>
            <w:tcMar>
              <w:top w:w="0" w:type="dxa"/>
              <w:left w:w="0" w:type="dxa"/>
              <w:bottom w:w="45" w:type="dxa"/>
              <w:right w:w="0" w:type="dxa"/>
            </w:tcMar>
            <w:vAlign w:val="bottom"/>
            <w:hideMark/>
          </w:tcPr>
          <w:p w14:paraId="744BE3A7" w14:textId="77777777" w:rsidR="00000000" w:rsidRDefault="00527094">
            <w:pPr>
              <w:rPr>
                <w:rFonts w:eastAsia="Times New Roman"/>
                <w:sz w:val="20"/>
                <w:szCs w:val="20"/>
              </w:rPr>
            </w:pPr>
            <w:r>
              <w:rPr>
                <w:rFonts w:eastAsia="Times New Roman"/>
                <w:sz w:val="20"/>
                <w:szCs w:val="20"/>
              </w:rPr>
              <w:t> </w:t>
            </w:r>
          </w:p>
        </w:tc>
      </w:tr>
    </w:tbl>
    <w:p w14:paraId="515EF68D" w14:textId="77777777" w:rsidR="00000000" w:rsidRDefault="00527094">
      <w:pPr>
        <w:pStyle w:val="a3"/>
        <w:spacing w:before="0" w:beforeAutospacing="0" w:after="0" w:afterAutospacing="0"/>
        <w:jc w:val="both"/>
        <w:rPr>
          <w:sz w:val="20"/>
          <w:szCs w:val="20"/>
        </w:rPr>
      </w:pPr>
      <w:r>
        <w:rPr>
          <w:sz w:val="20"/>
          <w:szCs w:val="20"/>
        </w:rPr>
        <w:t> </w:t>
      </w:r>
    </w:p>
    <w:p w14:paraId="4325692C" w14:textId="77777777" w:rsidR="00000000" w:rsidRDefault="00527094">
      <w:pPr>
        <w:pStyle w:val="a3"/>
        <w:spacing w:before="0" w:beforeAutospacing="0" w:after="0" w:afterAutospacing="0"/>
        <w:jc w:val="both"/>
        <w:rPr>
          <w:sz w:val="20"/>
          <w:szCs w:val="20"/>
        </w:rPr>
      </w:pPr>
      <w:r>
        <w:rPr>
          <w:sz w:val="20"/>
          <w:szCs w:val="20"/>
          <w:u w:val="single"/>
        </w:rPr>
        <w:t>Operating Activities</w:t>
      </w:r>
    </w:p>
    <w:p w14:paraId="0D4090AF" w14:textId="77777777" w:rsidR="00000000" w:rsidRDefault="00527094">
      <w:pPr>
        <w:pStyle w:val="a3"/>
        <w:spacing w:before="0" w:beforeAutospacing="0" w:after="0" w:afterAutospacing="0"/>
        <w:jc w:val="both"/>
        <w:rPr>
          <w:sz w:val="20"/>
          <w:szCs w:val="20"/>
        </w:rPr>
      </w:pPr>
      <w:r>
        <w:rPr>
          <w:sz w:val="20"/>
          <w:szCs w:val="20"/>
        </w:rPr>
        <w:t> </w:t>
      </w:r>
    </w:p>
    <w:p w14:paraId="00FB38EF" w14:textId="77777777" w:rsidR="00000000" w:rsidRDefault="00527094">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w:t>
      </w:r>
      <w:r>
        <w:rPr>
          <w:sz w:val="20"/>
          <w:szCs w:val="20"/>
        </w:rPr>
        <w:t>equired by the Company.  </w:t>
      </w:r>
    </w:p>
    <w:p w14:paraId="40C3D482" w14:textId="77777777" w:rsidR="00000000" w:rsidRDefault="00527094">
      <w:pPr>
        <w:pStyle w:val="a3"/>
        <w:spacing w:before="0" w:beforeAutospacing="0" w:after="0" w:afterAutospacing="0"/>
        <w:ind w:firstLine="360"/>
        <w:jc w:val="both"/>
        <w:rPr>
          <w:sz w:val="20"/>
          <w:szCs w:val="20"/>
        </w:rPr>
      </w:pPr>
      <w:r>
        <w:rPr>
          <w:sz w:val="20"/>
          <w:szCs w:val="20"/>
        </w:rPr>
        <w:t> </w:t>
      </w:r>
    </w:p>
    <w:p w14:paraId="33BC5519" w14:textId="77777777" w:rsidR="00000000" w:rsidRDefault="00527094">
      <w:pPr>
        <w:pStyle w:val="a3"/>
        <w:spacing w:before="0" w:beforeAutospacing="0" w:after="0" w:afterAutospacing="0"/>
        <w:ind w:firstLine="360"/>
        <w:jc w:val="both"/>
        <w:rPr>
          <w:sz w:val="20"/>
          <w:szCs w:val="20"/>
        </w:rPr>
      </w:pPr>
      <w:r>
        <w:rPr>
          <w:sz w:val="20"/>
          <w:szCs w:val="20"/>
        </w:rPr>
        <w:t xml:space="preserve">Net cash flow provided by operating activities for the six months ended June 30, 2019, was $313.5 million, as compared to $352.0 million for the comparable period in 2018. The decrease of $38.5 million is primarily attributable </w:t>
      </w:r>
      <w:r>
        <w:rPr>
          <w:sz w:val="20"/>
          <w:szCs w:val="20"/>
        </w:rPr>
        <w:t>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0DE350C" w14:textId="77777777">
        <w:trPr>
          <w:tblCellSpacing w:w="0" w:type="dxa"/>
        </w:trPr>
        <w:tc>
          <w:tcPr>
            <w:tcW w:w="720" w:type="dxa"/>
            <w:vAlign w:val="center"/>
            <w:hideMark/>
          </w:tcPr>
          <w:p w14:paraId="5B19652A" w14:textId="77777777" w:rsidR="00000000" w:rsidRDefault="00527094">
            <w:pPr>
              <w:rPr>
                <w:rFonts w:eastAsia="Times New Roman"/>
                <w:sz w:val="20"/>
                <w:szCs w:val="20"/>
              </w:rPr>
            </w:pPr>
            <w:r>
              <w:rPr>
                <w:rFonts w:eastAsia="Times New Roman"/>
                <w:sz w:val="20"/>
                <w:szCs w:val="20"/>
              </w:rPr>
              <w:t> </w:t>
            </w:r>
          </w:p>
        </w:tc>
        <w:tc>
          <w:tcPr>
            <w:tcW w:w="360" w:type="dxa"/>
            <w:hideMark/>
          </w:tcPr>
          <w:p w14:paraId="784AE83A"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6CBBEF74" w14:textId="77777777" w:rsidR="00000000" w:rsidRDefault="00527094">
            <w:pPr>
              <w:pStyle w:val="a3"/>
              <w:spacing w:before="0" w:beforeAutospacing="0" w:after="0" w:afterAutospacing="0"/>
              <w:jc w:val="both"/>
              <w:rPr>
                <w:sz w:val="20"/>
                <w:szCs w:val="20"/>
              </w:rPr>
            </w:pPr>
            <w:r>
              <w:rPr>
                <w:sz w:val="20"/>
                <w:szCs w:val="20"/>
              </w:rPr>
              <w:t>changes in operating assets and liabilities due to timing of receipts and payments;</w:t>
            </w:r>
          </w:p>
        </w:tc>
      </w:tr>
    </w:tbl>
    <w:p w14:paraId="67A5C33B"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12D0C90" w14:textId="77777777">
        <w:trPr>
          <w:tblCellSpacing w:w="0" w:type="dxa"/>
        </w:trPr>
        <w:tc>
          <w:tcPr>
            <w:tcW w:w="720" w:type="dxa"/>
            <w:vAlign w:val="center"/>
            <w:hideMark/>
          </w:tcPr>
          <w:p w14:paraId="5D3F9F46" w14:textId="77777777" w:rsidR="00000000" w:rsidRDefault="00527094">
            <w:pPr>
              <w:rPr>
                <w:rFonts w:eastAsia="Times New Roman"/>
                <w:sz w:val="20"/>
                <w:szCs w:val="20"/>
              </w:rPr>
            </w:pPr>
            <w:r>
              <w:rPr>
                <w:rFonts w:eastAsia="Times New Roman"/>
                <w:sz w:val="20"/>
                <w:szCs w:val="20"/>
              </w:rPr>
              <w:t> </w:t>
            </w:r>
          </w:p>
        </w:tc>
        <w:tc>
          <w:tcPr>
            <w:tcW w:w="360" w:type="dxa"/>
            <w:hideMark/>
          </w:tcPr>
          <w:p w14:paraId="6CCE3ADC"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3EB5027B" w14:textId="77777777" w:rsidR="00000000" w:rsidRDefault="00527094">
            <w:pPr>
              <w:pStyle w:val="a3"/>
              <w:spacing w:before="0" w:beforeAutospacing="0" w:after="0" w:afterAutospacing="0"/>
              <w:jc w:val="both"/>
              <w:rPr>
                <w:sz w:val="20"/>
                <w:szCs w:val="20"/>
              </w:rPr>
            </w:pPr>
            <w:r>
              <w:rPr>
                <w:sz w:val="20"/>
                <w:szCs w:val="20"/>
              </w:rPr>
              <w:t>the disposition of operating properties in 2019 and 2018; and</w:t>
            </w:r>
          </w:p>
        </w:tc>
      </w:tr>
    </w:tbl>
    <w:p w14:paraId="7847CF05"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2C60248" w14:textId="77777777">
        <w:trPr>
          <w:tblCellSpacing w:w="0" w:type="dxa"/>
        </w:trPr>
        <w:tc>
          <w:tcPr>
            <w:tcW w:w="720" w:type="dxa"/>
            <w:vAlign w:val="center"/>
            <w:hideMark/>
          </w:tcPr>
          <w:p w14:paraId="75DDE36E" w14:textId="77777777" w:rsidR="00000000" w:rsidRDefault="00527094">
            <w:pPr>
              <w:rPr>
                <w:rFonts w:eastAsia="Times New Roman"/>
                <w:sz w:val="20"/>
                <w:szCs w:val="20"/>
              </w:rPr>
            </w:pPr>
            <w:r>
              <w:rPr>
                <w:rFonts w:eastAsia="Times New Roman"/>
                <w:sz w:val="20"/>
                <w:szCs w:val="20"/>
              </w:rPr>
              <w:t> </w:t>
            </w:r>
          </w:p>
        </w:tc>
        <w:tc>
          <w:tcPr>
            <w:tcW w:w="360" w:type="dxa"/>
            <w:hideMark/>
          </w:tcPr>
          <w:p w14:paraId="5C6AF376"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0E0AE37E" w14:textId="77777777" w:rsidR="00000000" w:rsidRDefault="00527094">
            <w:pPr>
              <w:pStyle w:val="a3"/>
              <w:spacing w:before="0" w:beforeAutospacing="0" w:after="0" w:afterAutospacing="0"/>
              <w:jc w:val="both"/>
              <w:rPr>
                <w:sz w:val="20"/>
                <w:szCs w:val="20"/>
              </w:rPr>
            </w:pPr>
            <w:r>
              <w:rPr>
                <w:sz w:val="20"/>
                <w:szCs w:val="20"/>
              </w:rPr>
              <w:t>a decrease in distributions from the Company’</w:t>
            </w:r>
            <w:r>
              <w:rPr>
                <w:sz w:val="20"/>
                <w:szCs w:val="20"/>
              </w:rPr>
              <w:t>s joint venture programs; partially offset by</w:t>
            </w:r>
          </w:p>
        </w:tc>
      </w:tr>
    </w:tbl>
    <w:p w14:paraId="11527620"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61389B2" w14:textId="77777777">
        <w:trPr>
          <w:tblCellSpacing w:w="0" w:type="dxa"/>
        </w:trPr>
        <w:tc>
          <w:tcPr>
            <w:tcW w:w="720" w:type="dxa"/>
            <w:vAlign w:val="center"/>
            <w:hideMark/>
          </w:tcPr>
          <w:p w14:paraId="238A67AB" w14:textId="77777777" w:rsidR="00000000" w:rsidRDefault="00527094">
            <w:pPr>
              <w:rPr>
                <w:rFonts w:eastAsia="Times New Roman"/>
                <w:sz w:val="20"/>
                <w:szCs w:val="20"/>
              </w:rPr>
            </w:pPr>
            <w:r>
              <w:rPr>
                <w:rFonts w:eastAsia="Times New Roman"/>
                <w:sz w:val="20"/>
                <w:szCs w:val="20"/>
              </w:rPr>
              <w:t> </w:t>
            </w:r>
          </w:p>
        </w:tc>
        <w:tc>
          <w:tcPr>
            <w:tcW w:w="360" w:type="dxa"/>
            <w:hideMark/>
          </w:tcPr>
          <w:p w14:paraId="0FB7CDE3"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19622AE0" w14:textId="77777777" w:rsidR="00000000" w:rsidRDefault="00527094">
            <w:pPr>
              <w:pStyle w:val="a3"/>
              <w:spacing w:before="0" w:beforeAutospacing="0" w:after="0" w:afterAutospacing="0"/>
              <w:jc w:val="both"/>
              <w:rPr>
                <w:sz w:val="20"/>
                <w:szCs w:val="20"/>
              </w:rPr>
            </w:pPr>
            <w:r>
              <w:rPr>
                <w:sz w:val="20"/>
                <w:szCs w:val="20"/>
              </w:rPr>
              <w:t>new leasing, expansion and re-tenanting of core portfolio properties; and</w:t>
            </w:r>
          </w:p>
        </w:tc>
      </w:tr>
    </w:tbl>
    <w:p w14:paraId="169665F5"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5D1D357" w14:textId="77777777">
        <w:trPr>
          <w:tblCellSpacing w:w="0" w:type="dxa"/>
        </w:trPr>
        <w:tc>
          <w:tcPr>
            <w:tcW w:w="720" w:type="dxa"/>
            <w:vAlign w:val="center"/>
            <w:hideMark/>
          </w:tcPr>
          <w:p w14:paraId="22D217E3" w14:textId="77777777" w:rsidR="00000000" w:rsidRDefault="00527094">
            <w:pPr>
              <w:rPr>
                <w:rFonts w:eastAsia="Times New Roman"/>
                <w:sz w:val="20"/>
                <w:szCs w:val="20"/>
              </w:rPr>
            </w:pPr>
            <w:r>
              <w:rPr>
                <w:rFonts w:eastAsia="Times New Roman"/>
                <w:sz w:val="20"/>
                <w:szCs w:val="20"/>
              </w:rPr>
              <w:t> </w:t>
            </w:r>
          </w:p>
        </w:tc>
        <w:tc>
          <w:tcPr>
            <w:tcW w:w="360" w:type="dxa"/>
            <w:hideMark/>
          </w:tcPr>
          <w:p w14:paraId="70EB158F"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05A714B3" w14:textId="77777777" w:rsidR="00000000" w:rsidRDefault="00527094">
            <w:pPr>
              <w:pStyle w:val="a3"/>
              <w:spacing w:before="0" w:beforeAutospacing="0" w:after="0" w:afterAutospacing="0"/>
              <w:jc w:val="both"/>
              <w:rPr>
                <w:sz w:val="20"/>
                <w:szCs w:val="20"/>
              </w:rPr>
            </w:pPr>
            <w:r>
              <w:rPr>
                <w:sz w:val="20"/>
                <w:szCs w:val="20"/>
              </w:rPr>
              <w:t>the acquisition of operating properties during 2019.</w:t>
            </w:r>
          </w:p>
        </w:tc>
      </w:tr>
    </w:tbl>
    <w:p w14:paraId="0DA5B947" w14:textId="77777777" w:rsidR="00000000" w:rsidRDefault="00527094">
      <w:pPr>
        <w:pStyle w:val="a3"/>
        <w:spacing w:before="0" w:beforeAutospacing="0" w:after="0" w:afterAutospacing="0"/>
        <w:jc w:val="both"/>
        <w:rPr>
          <w:sz w:val="20"/>
          <w:szCs w:val="20"/>
        </w:rPr>
      </w:pPr>
      <w:r>
        <w:rPr>
          <w:sz w:val="20"/>
          <w:szCs w:val="20"/>
        </w:rPr>
        <w:t> </w:t>
      </w:r>
    </w:p>
    <w:p w14:paraId="29C19842" w14:textId="77777777" w:rsidR="00000000" w:rsidRDefault="00527094">
      <w:pPr>
        <w:pStyle w:val="a3"/>
        <w:spacing w:before="0" w:beforeAutospacing="0" w:after="0" w:afterAutospacing="0"/>
        <w:ind w:firstLine="360"/>
        <w:jc w:val="both"/>
        <w:rPr>
          <w:sz w:val="20"/>
          <w:szCs w:val="20"/>
        </w:rPr>
      </w:pPr>
      <w:r>
        <w:rPr>
          <w:sz w:val="20"/>
          <w:szCs w:val="20"/>
        </w:rPr>
        <w:t>During the six months ended June 30, 2019 and 2018, the Company capi</w:t>
      </w:r>
      <w:r>
        <w:rPr>
          <w:sz w:val="20"/>
          <w:szCs w:val="20"/>
        </w:rPr>
        <w:t>talized personnel costs of $1.4 million and $6.4 million, respectively, relating to deferred leasing costs.</w:t>
      </w:r>
    </w:p>
    <w:p w14:paraId="02FAF00D" w14:textId="77777777" w:rsidR="00000000" w:rsidRDefault="00527094">
      <w:pPr>
        <w:pStyle w:val="a3"/>
        <w:spacing w:before="0" w:beforeAutospacing="0" w:after="0" w:afterAutospacing="0"/>
        <w:jc w:val="both"/>
        <w:rPr>
          <w:sz w:val="20"/>
          <w:szCs w:val="20"/>
        </w:rPr>
      </w:pPr>
      <w:r>
        <w:rPr>
          <w:sz w:val="20"/>
          <w:szCs w:val="20"/>
        </w:rPr>
        <w:t> </w:t>
      </w:r>
    </w:p>
    <w:p w14:paraId="6FD7CE8E" w14:textId="77777777" w:rsidR="00000000" w:rsidRDefault="00527094">
      <w:pPr>
        <w:jc w:val="center"/>
        <w:divId w:val="1411392417"/>
        <w:rPr>
          <w:rFonts w:eastAsia="Times New Roman"/>
          <w:sz w:val="20"/>
          <w:szCs w:val="20"/>
        </w:rPr>
      </w:pPr>
      <w:r>
        <w:rPr>
          <w:rFonts w:eastAsia="Times New Roman"/>
          <w:sz w:val="20"/>
          <w:szCs w:val="20"/>
        </w:rPr>
        <w:t xml:space="preserve">26 </w:t>
      </w:r>
    </w:p>
    <w:p w14:paraId="451C0165" w14:textId="77777777" w:rsidR="00000000" w:rsidRDefault="00527094">
      <w:pPr>
        <w:divId w:val="1411392417"/>
        <w:rPr>
          <w:rFonts w:eastAsia="Times New Roman"/>
          <w:sz w:val="20"/>
          <w:szCs w:val="20"/>
        </w:rPr>
      </w:pPr>
      <w:r>
        <w:rPr>
          <w:rFonts w:eastAsia="Times New Roman"/>
          <w:sz w:val="20"/>
          <w:szCs w:val="20"/>
        </w:rPr>
        <w:pict w14:anchorId="4C245901">
          <v:rect id="_x0000_i1054" style="width:0;height:1.5pt" o:hralign="center" o:hrstd="t" o:hr="t" fillcolor="#a0a0a0" stroked="f"/>
        </w:pict>
      </w:r>
    </w:p>
    <w:p w14:paraId="5E6E4825" w14:textId="77777777" w:rsidR="00000000" w:rsidRDefault="00527094">
      <w:pPr>
        <w:divId w:val="14113924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7D2A615" w14:textId="77777777" w:rsidR="00000000" w:rsidRDefault="00527094">
      <w:pPr>
        <w:pStyle w:val="a3"/>
        <w:spacing w:before="0" w:beforeAutospacing="0" w:after="0" w:afterAutospacing="0"/>
        <w:rPr>
          <w:sz w:val="20"/>
          <w:szCs w:val="20"/>
        </w:rPr>
      </w:pPr>
      <w:r>
        <w:rPr>
          <w:sz w:val="20"/>
          <w:szCs w:val="20"/>
        </w:rPr>
        <w:t> </w:t>
      </w:r>
    </w:p>
    <w:p w14:paraId="773A4A05" w14:textId="77777777" w:rsidR="00000000" w:rsidRDefault="00527094">
      <w:pPr>
        <w:pStyle w:val="a3"/>
        <w:spacing w:before="0" w:beforeAutospacing="0" w:after="0" w:afterAutospacing="0"/>
        <w:jc w:val="both"/>
        <w:rPr>
          <w:sz w:val="20"/>
          <w:szCs w:val="20"/>
        </w:rPr>
      </w:pPr>
      <w:r>
        <w:rPr>
          <w:sz w:val="20"/>
          <w:szCs w:val="20"/>
          <w:u w:val="single"/>
        </w:rPr>
        <w:t>Investing Activities</w:t>
      </w:r>
    </w:p>
    <w:p w14:paraId="12368C38" w14:textId="77777777" w:rsidR="00000000" w:rsidRDefault="00527094">
      <w:pPr>
        <w:pStyle w:val="a3"/>
        <w:spacing w:before="0" w:beforeAutospacing="0" w:after="0" w:afterAutospacing="0"/>
        <w:ind w:firstLine="360"/>
        <w:jc w:val="both"/>
        <w:rPr>
          <w:sz w:val="20"/>
          <w:szCs w:val="20"/>
        </w:rPr>
      </w:pPr>
      <w:r>
        <w:rPr>
          <w:sz w:val="20"/>
          <w:szCs w:val="20"/>
        </w:rPr>
        <w:t> </w:t>
      </w:r>
    </w:p>
    <w:p w14:paraId="51ADF11F" w14:textId="77777777" w:rsidR="00000000" w:rsidRDefault="00527094">
      <w:pPr>
        <w:pStyle w:val="a3"/>
        <w:spacing w:before="0" w:beforeAutospacing="0" w:after="0" w:afterAutospacing="0"/>
        <w:ind w:firstLine="360"/>
        <w:jc w:val="both"/>
        <w:rPr>
          <w:sz w:val="20"/>
          <w:szCs w:val="20"/>
        </w:rPr>
      </w:pPr>
      <w:r>
        <w:rPr>
          <w:sz w:val="20"/>
          <w:szCs w:val="20"/>
        </w:rPr>
        <w:t>Net cash flow used for investing activities was $100.5 million for the six months ended June 30, 2019, as compared to net cash flow provided by invest</w:t>
      </w:r>
      <w:r>
        <w:rPr>
          <w:sz w:val="20"/>
          <w:szCs w:val="20"/>
        </w:rPr>
        <w:t>ing activities of $228.2 million for the comparable period in 2018.</w:t>
      </w:r>
    </w:p>
    <w:p w14:paraId="1908159F" w14:textId="77777777" w:rsidR="00000000" w:rsidRDefault="00527094">
      <w:pPr>
        <w:pStyle w:val="a3"/>
        <w:spacing w:before="0" w:beforeAutospacing="0" w:after="0" w:afterAutospacing="0"/>
        <w:ind w:firstLine="360"/>
        <w:jc w:val="both"/>
        <w:rPr>
          <w:sz w:val="20"/>
          <w:szCs w:val="20"/>
        </w:rPr>
      </w:pPr>
      <w:r>
        <w:rPr>
          <w:sz w:val="20"/>
          <w:szCs w:val="20"/>
        </w:rPr>
        <w:t> </w:t>
      </w:r>
    </w:p>
    <w:p w14:paraId="663222B1" w14:textId="77777777" w:rsidR="00000000" w:rsidRDefault="00527094">
      <w:pPr>
        <w:pStyle w:val="a3"/>
        <w:spacing w:before="0" w:beforeAutospacing="0" w:after="0" w:afterAutospacing="0"/>
        <w:ind w:firstLine="360"/>
        <w:jc w:val="both"/>
        <w:rPr>
          <w:sz w:val="20"/>
          <w:szCs w:val="20"/>
        </w:rPr>
      </w:pPr>
      <w:r>
        <w:rPr>
          <w:sz w:val="20"/>
          <w:szCs w:val="20"/>
        </w:rPr>
        <w:t>Investing activities during 2019 primarily consisted of:</w:t>
      </w:r>
    </w:p>
    <w:p w14:paraId="2C69C767" w14:textId="77777777" w:rsidR="00000000" w:rsidRDefault="00527094">
      <w:pPr>
        <w:pStyle w:val="a3"/>
        <w:spacing w:before="0" w:beforeAutospacing="0" w:after="0" w:afterAutospacing="0"/>
        <w:ind w:firstLine="540"/>
        <w:jc w:val="both"/>
        <w:rPr>
          <w:sz w:val="20"/>
          <w:szCs w:val="20"/>
        </w:rPr>
      </w:pPr>
      <w:r>
        <w:rPr>
          <w:sz w:val="20"/>
          <w:szCs w:val="20"/>
        </w:rPr>
        <w:t> </w:t>
      </w:r>
    </w:p>
    <w:p w14:paraId="711391DB" w14:textId="77777777" w:rsidR="00000000" w:rsidRDefault="00527094">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3A8CE8E" w14:textId="77777777">
        <w:trPr>
          <w:tblCellSpacing w:w="0" w:type="dxa"/>
        </w:trPr>
        <w:tc>
          <w:tcPr>
            <w:tcW w:w="720" w:type="dxa"/>
            <w:vAlign w:val="center"/>
            <w:hideMark/>
          </w:tcPr>
          <w:p w14:paraId="16CF7DCA" w14:textId="77777777" w:rsidR="00000000" w:rsidRDefault="00527094">
            <w:pPr>
              <w:rPr>
                <w:rFonts w:eastAsia="Times New Roman"/>
                <w:sz w:val="20"/>
                <w:szCs w:val="20"/>
              </w:rPr>
            </w:pPr>
            <w:r>
              <w:rPr>
                <w:rFonts w:eastAsia="Times New Roman"/>
                <w:sz w:val="20"/>
                <w:szCs w:val="20"/>
              </w:rPr>
              <w:t> </w:t>
            </w:r>
          </w:p>
        </w:tc>
        <w:tc>
          <w:tcPr>
            <w:tcW w:w="360" w:type="dxa"/>
            <w:hideMark/>
          </w:tcPr>
          <w:p w14:paraId="31197258"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38446A25" w14:textId="77777777" w:rsidR="00000000" w:rsidRDefault="00527094">
            <w:pPr>
              <w:pStyle w:val="a3"/>
              <w:spacing w:before="0" w:beforeAutospacing="0" w:after="0" w:afterAutospacing="0"/>
              <w:jc w:val="both"/>
              <w:rPr>
                <w:sz w:val="20"/>
                <w:szCs w:val="20"/>
              </w:rPr>
            </w:pPr>
            <w:r>
              <w:rPr>
                <w:sz w:val="20"/>
                <w:szCs w:val="20"/>
              </w:rPr>
              <w:t>$106.8 million in proceeds from the sale of seven consolidated operating properties and five out-parcels;</w:t>
            </w:r>
          </w:p>
        </w:tc>
      </w:tr>
    </w:tbl>
    <w:p w14:paraId="6E08F181"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FF71D6D" w14:textId="77777777">
        <w:trPr>
          <w:tblCellSpacing w:w="0" w:type="dxa"/>
        </w:trPr>
        <w:tc>
          <w:tcPr>
            <w:tcW w:w="720" w:type="dxa"/>
            <w:vAlign w:val="center"/>
            <w:hideMark/>
          </w:tcPr>
          <w:p w14:paraId="6825CC7C" w14:textId="77777777" w:rsidR="00000000" w:rsidRDefault="00527094">
            <w:pPr>
              <w:rPr>
                <w:rFonts w:eastAsia="Times New Roman"/>
                <w:sz w:val="20"/>
                <w:szCs w:val="20"/>
              </w:rPr>
            </w:pPr>
            <w:r>
              <w:rPr>
                <w:rFonts w:eastAsia="Times New Roman"/>
                <w:sz w:val="20"/>
                <w:szCs w:val="20"/>
              </w:rPr>
              <w:t> </w:t>
            </w:r>
          </w:p>
        </w:tc>
        <w:tc>
          <w:tcPr>
            <w:tcW w:w="360" w:type="dxa"/>
            <w:hideMark/>
          </w:tcPr>
          <w:p w14:paraId="0D229D2C"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03F45896" w14:textId="77777777" w:rsidR="00000000" w:rsidRDefault="00527094">
            <w:pPr>
              <w:pStyle w:val="a3"/>
              <w:spacing w:before="0" w:beforeAutospacing="0" w:after="0" w:afterAutospacing="0"/>
              <w:jc w:val="both"/>
              <w:rPr>
                <w:sz w:val="20"/>
                <w:szCs w:val="20"/>
              </w:rPr>
            </w:pPr>
            <w:r>
              <w:rPr>
                <w:sz w:val="20"/>
                <w:szCs w:val="20"/>
              </w:rPr>
              <w:t>$8.7 million in reimbursements of investments in and advances to real estate joint ventures and reimbursements of investments in and advances to other real estate investments, primarily related to the sale of properties within the Company’s joint ventu</w:t>
            </w:r>
            <w:r>
              <w:rPr>
                <w:sz w:val="20"/>
                <w:szCs w:val="20"/>
              </w:rPr>
              <w:t>re portfolio and Preferred Equity Program.</w:t>
            </w:r>
          </w:p>
        </w:tc>
      </w:tr>
    </w:tbl>
    <w:p w14:paraId="5630BB82"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E127056" w14:textId="77777777">
        <w:trPr>
          <w:tblCellSpacing w:w="0" w:type="dxa"/>
        </w:trPr>
        <w:tc>
          <w:tcPr>
            <w:tcW w:w="720" w:type="dxa"/>
            <w:vAlign w:val="center"/>
            <w:hideMark/>
          </w:tcPr>
          <w:p w14:paraId="26964D0F" w14:textId="77777777" w:rsidR="00000000" w:rsidRDefault="00527094">
            <w:pPr>
              <w:rPr>
                <w:rFonts w:eastAsia="Times New Roman"/>
                <w:sz w:val="20"/>
                <w:szCs w:val="20"/>
              </w:rPr>
            </w:pPr>
            <w:r>
              <w:rPr>
                <w:rFonts w:eastAsia="Times New Roman"/>
                <w:sz w:val="20"/>
                <w:szCs w:val="20"/>
              </w:rPr>
              <w:t> </w:t>
            </w:r>
          </w:p>
        </w:tc>
        <w:tc>
          <w:tcPr>
            <w:tcW w:w="360" w:type="dxa"/>
            <w:hideMark/>
          </w:tcPr>
          <w:p w14:paraId="6F170253"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60C12E19" w14:textId="77777777" w:rsidR="00000000" w:rsidRDefault="00527094">
            <w:pPr>
              <w:pStyle w:val="a3"/>
              <w:spacing w:before="0" w:beforeAutospacing="0" w:after="0" w:afterAutospacing="0"/>
              <w:jc w:val="both"/>
              <w:rPr>
                <w:sz w:val="20"/>
                <w:szCs w:val="20"/>
              </w:rPr>
            </w:pPr>
            <w:r>
              <w:rPr>
                <w:sz w:val="20"/>
                <w:szCs w:val="20"/>
              </w:rPr>
              <w:t>$5.4 million in collection of mortgage loans receivable; and</w:t>
            </w:r>
          </w:p>
        </w:tc>
      </w:tr>
    </w:tbl>
    <w:p w14:paraId="546C8BBA"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8D4E5C2" w14:textId="77777777">
        <w:trPr>
          <w:tblCellSpacing w:w="0" w:type="dxa"/>
        </w:trPr>
        <w:tc>
          <w:tcPr>
            <w:tcW w:w="720" w:type="dxa"/>
            <w:vAlign w:val="center"/>
            <w:hideMark/>
          </w:tcPr>
          <w:p w14:paraId="63393B68" w14:textId="77777777" w:rsidR="00000000" w:rsidRDefault="00527094">
            <w:pPr>
              <w:rPr>
                <w:rFonts w:eastAsia="Times New Roman"/>
                <w:sz w:val="20"/>
                <w:szCs w:val="20"/>
              </w:rPr>
            </w:pPr>
            <w:r>
              <w:rPr>
                <w:rFonts w:eastAsia="Times New Roman"/>
                <w:sz w:val="20"/>
                <w:szCs w:val="20"/>
              </w:rPr>
              <w:t> </w:t>
            </w:r>
          </w:p>
        </w:tc>
        <w:tc>
          <w:tcPr>
            <w:tcW w:w="360" w:type="dxa"/>
            <w:hideMark/>
          </w:tcPr>
          <w:p w14:paraId="25A8E0A5"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5ABEE7F1" w14:textId="77777777" w:rsidR="00000000" w:rsidRDefault="00527094">
            <w:pPr>
              <w:pStyle w:val="a3"/>
              <w:spacing w:before="0" w:beforeAutospacing="0" w:after="0" w:afterAutospacing="0"/>
              <w:jc w:val="both"/>
              <w:rPr>
                <w:sz w:val="20"/>
                <w:szCs w:val="20"/>
              </w:rPr>
            </w:pPr>
            <w:r>
              <w:rPr>
                <w:sz w:val="20"/>
                <w:szCs w:val="20"/>
              </w:rPr>
              <w:t>$2.0 million in proceeds from insurance casualty claims.</w:t>
            </w:r>
          </w:p>
        </w:tc>
      </w:tr>
    </w:tbl>
    <w:p w14:paraId="4A7F422E" w14:textId="77777777" w:rsidR="00000000" w:rsidRDefault="00527094">
      <w:pPr>
        <w:pStyle w:val="a3"/>
        <w:spacing w:before="0" w:beforeAutospacing="0" w:after="0" w:afterAutospacing="0"/>
        <w:ind w:left="1080"/>
        <w:jc w:val="both"/>
        <w:rPr>
          <w:sz w:val="20"/>
          <w:szCs w:val="20"/>
        </w:rPr>
      </w:pPr>
      <w:r>
        <w:rPr>
          <w:sz w:val="20"/>
          <w:szCs w:val="20"/>
        </w:rPr>
        <w:t> </w:t>
      </w:r>
    </w:p>
    <w:p w14:paraId="0F1ABE79" w14:textId="77777777" w:rsidR="00000000" w:rsidRDefault="00527094">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1282AF6" w14:textId="77777777">
        <w:trPr>
          <w:tblCellSpacing w:w="0" w:type="dxa"/>
        </w:trPr>
        <w:tc>
          <w:tcPr>
            <w:tcW w:w="720" w:type="dxa"/>
            <w:vAlign w:val="center"/>
            <w:hideMark/>
          </w:tcPr>
          <w:p w14:paraId="1009E0AE" w14:textId="77777777" w:rsidR="00000000" w:rsidRDefault="00527094">
            <w:pPr>
              <w:rPr>
                <w:rFonts w:eastAsia="Times New Roman"/>
                <w:sz w:val="20"/>
                <w:szCs w:val="20"/>
              </w:rPr>
            </w:pPr>
            <w:r>
              <w:rPr>
                <w:rFonts w:eastAsia="Times New Roman"/>
                <w:sz w:val="20"/>
                <w:szCs w:val="20"/>
              </w:rPr>
              <w:t> </w:t>
            </w:r>
          </w:p>
        </w:tc>
        <w:tc>
          <w:tcPr>
            <w:tcW w:w="360" w:type="dxa"/>
            <w:hideMark/>
          </w:tcPr>
          <w:p w14:paraId="65FD39F1"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3EA4BE5F" w14:textId="77777777" w:rsidR="00000000" w:rsidRDefault="00527094">
            <w:pPr>
              <w:pStyle w:val="a3"/>
              <w:spacing w:before="0" w:beforeAutospacing="0" w:after="0" w:afterAutospacing="0"/>
              <w:jc w:val="both"/>
              <w:rPr>
                <w:sz w:val="20"/>
                <w:szCs w:val="20"/>
              </w:rPr>
            </w:pPr>
            <w:r>
              <w:rPr>
                <w:sz w:val="20"/>
                <w:szCs w:val="20"/>
              </w:rPr>
              <w:t>$197.4 million for improvements to operating real estate prim</w:t>
            </w:r>
            <w:r>
              <w:rPr>
                <w:sz w:val="20"/>
                <w:szCs w:val="20"/>
              </w:rPr>
              <w:t>arily related to the Company’s active redevelopment pipeline and improvements to real estate under development; and</w:t>
            </w:r>
          </w:p>
        </w:tc>
      </w:tr>
    </w:tbl>
    <w:p w14:paraId="0D050127"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9614315" w14:textId="77777777">
        <w:trPr>
          <w:tblCellSpacing w:w="0" w:type="dxa"/>
        </w:trPr>
        <w:tc>
          <w:tcPr>
            <w:tcW w:w="720" w:type="dxa"/>
            <w:vAlign w:val="center"/>
            <w:hideMark/>
          </w:tcPr>
          <w:p w14:paraId="1409EA38" w14:textId="77777777" w:rsidR="00000000" w:rsidRDefault="00527094">
            <w:pPr>
              <w:rPr>
                <w:rFonts w:eastAsia="Times New Roman"/>
                <w:sz w:val="20"/>
                <w:szCs w:val="20"/>
              </w:rPr>
            </w:pPr>
            <w:r>
              <w:rPr>
                <w:rFonts w:eastAsia="Times New Roman"/>
                <w:sz w:val="20"/>
                <w:szCs w:val="20"/>
              </w:rPr>
              <w:t> </w:t>
            </w:r>
          </w:p>
        </w:tc>
        <w:tc>
          <w:tcPr>
            <w:tcW w:w="360" w:type="dxa"/>
            <w:hideMark/>
          </w:tcPr>
          <w:p w14:paraId="5B6B30E5"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3A3FB721" w14:textId="77777777" w:rsidR="00000000" w:rsidRDefault="00527094">
            <w:pPr>
              <w:pStyle w:val="a3"/>
              <w:spacing w:before="0" w:beforeAutospacing="0" w:after="0" w:afterAutospacing="0"/>
              <w:jc w:val="both"/>
              <w:rPr>
                <w:sz w:val="20"/>
                <w:szCs w:val="20"/>
              </w:rPr>
            </w:pPr>
            <w:r>
              <w:rPr>
                <w:sz w:val="20"/>
                <w:szCs w:val="20"/>
              </w:rPr>
              <w:t>$25.9 million for investments in and advances to real estate joint ventures, primarily related to a redevelopment project within the Company’s joint venture portfolio, and investments in other real estate investments, primarily related to repayment of a mo</w:t>
            </w:r>
            <w:r>
              <w:rPr>
                <w:sz w:val="20"/>
                <w:szCs w:val="20"/>
              </w:rPr>
              <w:t>rtgage within the Company’s Preferred Equity Program.</w:t>
            </w:r>
          </w:p>
        </w:tc>
      </w:tr>
    </w:tbl>
    <w:p w14:paraId="63574B27" w14:textId="77777777" w:rsidR="00000000" w:rsidRDefault="00527094">
      <w:pPr>
        <w:pStyle w:val="a3"/>
        <w:spacing w:before="0" w:beforeAutospacing="0" w:after="0" w:afterAutospacing="0"/>
        <w:ind w:left="720"/>
        <w:jc w:val="both"/>
        <w:rPr>
          <w:sz w:val="20"/>
          <w:szCs w:val="20"/>
        </w:rPr>
      </w:pPr>
      <w:r>
        <w:rPr>
          <w:sz w:val="20"/>
          <w:szCs w:val="20"/>
        </w:rPr>
        <w:t> </w:t>
      </w:r>
    </w:p>
    <w:p w14:paraId="26EAFECC" w14:textId="77777777" w:rsidR="00000000" w:rsidRDefault="00527094">
      <w:pPr>
        <w:pStyle w:val="a3"/>
        <w:spacing w:before="0" w:beforeAutospacing="0" w:after="0" w:afterAutospacing="0"/>
        <w:ind w:firstLine="360"/>
        <w:jc w:val="both"/>
        <w:rPr>
          <w:sz w:val="20"/>
          <w:szCs w:val="20"/>
        </w:rPr>
      </w:pPr>
      <w:r>
        <w:rPr>
          <w:sz w:val="20"/>
          <w:szCs w:val="20"/>
        </w:rPr>
        <w:t>Investing activities during 2018 primarily consisted of:</w:t>
      </w:r>
    </w:p>
    <w:p w14:paraId="203D939B" w14:textId="77777777" w:rsidR="00000000" w:rsidRDefault="00527094">
      <w:pPr>
        <w:pStyle w:val="a3"/>
        <w:spacing w:before="0" w:beforeAutospacing="0" w:after="0" w:afterAutospacing="0"/>
        <w:ind w:firstLine="360"/>
        <w:jc w:val="both"/>
        <w:rPr>
          <w:sz w:val="20"/>
          <w:szCs w:val="20"/>
        </w:rPr>
      </w:pPr>
      <w:r>
        <w:rPr>
          <w:sz w:val="20"/>
          <w:szCs w:val="20"/>
        </w:rPr>
        <w:t> </w:t>
      </w:r>
    </w:p>
    <w:p w14:paraId="75545D53" w14:textId="77777777" w:rsidR="00000000" w:rsidRDefault="00527094">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8A4DDE" w14:textId="77777777">
        <w:trPr>
          <w:tblCellSpacing w:w="0" w:type="dxa"/>
        </w:trPr>
        <w:tc>
          <w:tcPr>
            <w:tcW w:w="720" w:type="dxa"/>
            <w:vAlign w:val="center"/>
            <w:hideMark/>
          </w:tcPr>
          <w:p w14:paraId="408D25F3" w14:textId="77777777" w:rsidR="00000000" w:rsidRDefault="00527094">
            <w:pPr>
              <w:rPr>
                <w:rFonts w:eastAsia="Times New Roman"/>
                <w:sz w:val="20"/>
                <w:szCs w:val="20"/>
              </w:rPr>
            </w:pPr>
            <w:r>
              <w:rPr>
                <w:rFonts w:eastAsia="Times New Roman"/>
                <w:sz w:val="20"/>
                <w:szCs w:val="20"/>
              </w:rPr>
              <w:t> </w:t>
            </w:r>
          </w:p>
        </w:tc>
        <w:tc>
          <w:tcPr>
            <w:tcW w:w="360" w:type="dxa"/>
            <w:hideMark/>
          </w:tcPr>
          <w:p w14:paraId="01F5AB3B"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48B6A2A4" w14:textId="77777777" w:rsidR="00000000" w:rsidRDefault="00527094">
            <w:pPr>
              <w:pStyle w:val="a3"/>
              <w:spacing w:before="0" w:beforeAutospacing="0" w:after="0" w:afterAutospacing="0"/>
              <w:jc w:val="both"/>
              <w:rPr>
                <w:sz w:val="20"/>
                <w:szCs w:val="20"/>
              </w:rPr>
            </w:pPr>
            <w:r>
              <w:rPr>
                <w:sz w:val="20"/>
                <w:szCs w:val="20"/>
              </w:rPr>
              <w:t>$472.8 million in proceeds from the sale of 35 consolidated operating properties, two out-parcels and five land parcels;</w:t>
            </w:r>
          </w:p>
        </w:tc>
      </w:tr>
    </w:tbl>
    <w:p w14:paraId="51D9F16C"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1C9674C" w14:textId="77777777">
        <w:trPr>
          <w:tblCellSpacing w:w="0" w:type="dxa"/>
        </w:trPr>
        <w:tc>
          <w:tcPr>
            <w:tcW w:w="720" w:type="dxa"/>
            <w:vAlign w:val="center"/>
            <w:hideMark/>
          </w:tcPr>
          <w:p w14:paraId="310FA9C8" w14:textId="77777777" w:rsidR="00000000" w:rsidRDefault="00527094">
            <w:pPr>
              <w:rPr>
                <w:rFonts w:eastAsia="Times New Roman"/>
                <w:sz w:val="20"/>
                <w:szCs w:val="20"/>
              </w:rPr>
            </w:pPr>
            <w:r>
              <w:rPr>
                <w:rFonts w:eastAsia="Times New Roman"/>
                <w:sz w:val="20"/>
                <w:szCs w:val="20"/>
              </w:rPr>
              <w:t> </w:t>
            </w:r>
          </w:p>
        </w:tc>
        <w:tc>
          <w:tcPr>
            <w:tcW w:w="360" w:type="dxa"/>
            <w:hideMark/>
          </w:tcPr>
          <w:p w14:paraId="40F12690"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7E613208" w14:textId="77777777" w:rsidR="00000000" w:rsidRDefault="00527094">
            <w:pPr>
              <w:pStyle w:val="a3"/>
              <w:spacing w:before="0" w:beforeAutospacing="0" w:after="0" w:afterAutospacing="0"/>
              <w:jc w:val="both"/>
              <w:rPr>
                <w:sz w:val="20"/>
                <w:szCs w:val="20"/>
              </w:rPr>
            </w:pPr>
            <w:r>
              <w:rPr>
                <w:sz w:val="20"/>
                <w:szCs w:val="20"/>
              </w:rPr>
              <w:t>$15.7 million in reimbursements of investments in and advances to real estate joint ventures and reimbursements of investments in and advances to other real estate investments, primarily related to the sale of properties and loan refinancing within the joi</w:t>
            </w:r>
            <w:r>
              <w:rPr>
                <w:sz w:val="20"/>
                <w:szCs w:val="20"/>
              </w:rPr>
              <w:t>nt venture portfolio and the Company’s Preferred Equity Program;</w:t>
            </w:r>
          </w:p>
        </w:tc>
      </w:tr>
    </w:tbl>
    <w:p w14:paraId="568CBB54"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A762A83" w14:textId="77777777">
        <w:trPr>
          <w:tblCellSpacing w:w="0" w:type="dxa"/>
        </w:trPr>
        <w:tc>
          <w:tcPr>
            <w:tcW w:w="720" w:type="dxa"/>
            <w:vAlign w:val="center"/>
            <w:hideMark/>
          </w:tcPr>
          <w:p w14:paraId="6FFB74EE" w14:textId="77777777" w:rsidR="00000000" w:rsidRDefault="00527094">
            <w:pPr>
              <w:rPr>
                <w:rFonts w:eastAsia="Times New Roman"/>
                <w:sz w:val="20"/>
                <w:szCs w:val="20"/>
              </w:rPr>
            </w:pPr>
            <w:r>
              <w:rPr>
                <w:rFonts w:eastAsia="Times New Roman"/>
                <w:sz w:val="20"/>
                <w:szCs w:val="20"/>
              </w:rPr>
              <w:t> </w:t>
            </w:r>
          </w:p>
        </w:tc>
        <w:tc>
          <w:tcPr>
            <w:tcW w:w="360" w:type="dxa"/>
            <w:hideMark/>
          </w:tcPr>
          <w:p w14:paraId="1CC1D27D"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52B4BAFC" w14:textId="77777777" w:rsidR="00000000" w:rsidRDefault="00527094">
            <w:pPr>
              <w:pStyle w:val="a3"/>
              <w:spacing w:before="0" w:beforeAutospacing="0" w:after="0" w:afterAutospacing="0"/>
              <w:jc w:val="both"/>
              <w:rPr>
                <w:sz w:val="20"/>
                <w:szCs w:val="20"/>
              </w:rPr>
            </w:pPr>
            <w:r>
              <w:rPr>
                <w:sz w:val="20"/>
                <w:szCs w:val="20"/>
              </w:rPr>
              <w:t>$6.5 million in proceeds from insurance casualty claims; and</w:t>
            </w:r>
          </w:p>
        </w:tc>
      </w:tr>
    </w:tbl>
    <w:p w14:paraId="2249E30C"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131DB05" w14:textId="77777777">
        <w:trPr>
          <w:tblCellSpacing w:w="0" w:type="dxa"/>
        </w:trPr>
        <w:tc>
          <w:tcPr>
            <w:tcW w:w="720" w:type="dxa"/>
            <w:vAlign w:val="center"/>
            <w:hideMark/>
          </w:tcPr>
          <w:p w14:paraId="0797F5CA" w14:textId="77777777" w:rsidR="00000000" w:rsidRDefault="00527094">
            <w:pPr>
              <w:rPr>
                <w:rFonts w:eastAsia="Times New Roman"/>
                <w:sz w:val="20"/>
                <w:szCs w:val="20"/>
              </w:rPr>
            </w:pPr>
            <w:r>
              <w:rPr>
                <w:rFonts w:eastAsia="Times New Roman"/>
                <w:sz w:val="20"/>
                <w:szCs w:val="20"/>
              </w:rPr>
              <w:t> </w:t>
            </w:r>
          </w:p>
        </w:tc>
        <w:tc>
          <w:tcPr>
            <w:tcW w:w="360" w:type="dxa"/>
            <w:hideMark/>
          </w:tcPr>
          <w:p w14:paraId="6BBD0339"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4D318E6D" w14:textId="77777777" w:rsidR="00000000" w:rsidRDefault="00527094">
            <w:pPr>
              <w:pStyle w:val="a3"/>
              <w:spacing w:before="0" w:beforeAutospacing="0" w:after="0" w:afterAutospacing="0"/>
              <w:jc w:val="both"/>
              <w:rPr>
                <w:sz w:val="20"/>
                <w:szCs w:val="20"/>
              </w:rPr>
            </w:pPr>
            <w:r>
              <w:rPr>
                <w:sz w:val="20"/>
                <w:szCs w:val="20"/>
              </w:rPr>
              <w:t>$5.4 million in collection of mortgage loans receivable.</w:t>
            </w:r>
          </w:p>
        </w:tc>
      </w:tr>
    </w:tbl>
    <w:p w14:paraId="70AC061C" w14:textId="77777777" w:rsidR="00000000" w:rsidRDefault="00527094">
      <w:pPr>
        <w:pStyle w:val="a3"/>
        <w:spacing w:before="0" w:beforeAutospacing="0" w:after="0" w:afterAutospacing="0"/>
        <w:ind w:firstLine="540"/>
        <w:jc w:val="both"/>
        <w:rPr>
          <w:sz w:val="20"/>
          <w:szCs w:val="20"/>
        </w:rPr>
      </w:pPr>
      <w:r>
        <w:rPr>
          <w:sz w:val="20"/>
          <w:szCs w:val="20"/>
        </w:rPr>
        <w:t> </w:t>
      </w:r>
    </w:p>
    <w:p w14:paraId="12736254" w14:textId="77777777" w:rsidR="00000000" w:rsidRDefault="00527094">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3DCCBEA" w14:textId="77777777">
        <w:trPr>
          <w:tblCellSpacing w:w="0" w:type="dxa"/>
        </w:trPr>
        <w:tc>
          <w:tcPr>
            <w:tcW w:w="720" w:type="dxa"/>
            <w:vAlign w:val="center"/>
            <w:hideMark/>
          </w:tcPr>
          <w:p w14:paraId="6F8FDCCC" w14:textId="77777777" w:rsidR="00000000" w:rsidRDefault="00527094">
            <w:pPr>
              <w:rPr>
                <w:rFonts w:eastAsia="Times New Roman"/>
                <w:sz w:val="20"/>
                <w:szCs w:val="20"/>
              </w:rPr>
            </w:pPr>
            <w:r>
              <w:rPr>
                <w:rFonts w:eastAsia="Times New Roman"/>
                <w:sz w:val="20"/>
                <w:szCs w:val="20"/>
              </w:rPr>
              <w:t> </w:t>
            </w:r>
          </w:p>
        </w:tc>
        <w:tc>
          <w:tcPr>
            <w:tcW w:w="360" w:type="dxa"/>
            <w:hideMark/>
          </w:tcPr>
          <w:p w14:paraId="7D16655B"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5F3B5FF3" w14:textId="77777777" w:rsidR="00000000" w:rsidRDefault="00527094">
            <w:pPr>
              <w:pStyle w:val="a3"/>
              <w:spacing w:before="0" w:beforeAutospacing="0" w:after="0" w:afterAutospacing="0"/>
              <w:jc w:val="both"/>
              <w:rPr>
                <w:sz w:val="20"/>
                <w:szCs w:val="20"/>
              </w:rPr>
            </w:pPr>
            <w:r>
              <w:rPr>
                <w:sz w:val="20"/>
                <w:szCs w:val="20"/>
              </w:rPr>
              <w:t>$248.8 million for improvements to oper</w:t>
            </w:r>
            <w:r>
              <w:rPr>
                <w:sz w:val="20"/>
                <w:szCs w:val="20"/>
              </w:rPr>
              <w:t>ating real estate primarily related to the Company’s active redevelopment pipeline and improvements to real estate under development;</w:t>
            </w:r>
          </w:p>
        </w:tc>
      </w:tr>
    </w:tbl>
    <w:p w14:paraId="4887934B"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0EF0DCB" w14:textId="77777777">
        <w:trPr>
          <w:tblCellSpacing w:w="0" w:type="dxa"/>
        </w:trPr>
        <w:tc>
          <w:tcPr>
            <w:tcW w:w="720" w:type="dxa"/>
            <w:vAlign w:val="center"/>
            <w:hideMark/>
          </w:tcPr>
          <w:p w14:paraId="142A826F" w14:textId="77777777" w:rsidR="00000000" w:rsidRDefault="00527094">
            <w:pPr>
              <w:rPr>
                <w:rFonts w:eastAsia="Times New Roman"/>
                <w:sz w:val="20"/>
                <w:szCs w:val="20"/>
              </w:rPr>
            </w:pPr>
            <w:r>
              <w:rPr>
                <w:rFonts w:eastAsia="Times New Roman"/>
                <w:sz w:val="20"/>
                <w:szCs w:val="20"/>
              </w:rPr>
              <w:t> </w:t>
            </w:r>
          </w:p>
        </w:tc>
        <w:tc>
          <w:tcPr>
            <w:tcW w:w="360" w:type="dxa"/>
            <w:hideMark/>
          </w:tcPr>
          <w:p w14:paraId="3DDA9C2A"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06A5C7CF" w14:textId="77777777" w:rsidR="00000000" w:rsidRDefault="00527094">
            <w:pPr>
              <w:pStyle w:val="a3"/>
              <w:spacing w:before="0" w:beforeAutospacing="0" w:after="0" w:afterAutospacing="0"/>
              <w:jc w:val="both"/>
              <w:rPr>
                <w:sz w:val="20"/>
                <w:szCs w:val="20"/>
              </w:rPr>
            </w:pPr>
            <w:r>
              <w:rPr>
                <w:sz w:val="20"/>
                <w:szCs w:val="20"/>
              </w:rPr>
              <w:t>$15.2 million for investments in and advances to real estate joint ventures, primarily related to a redevelopment project within the Company’s joint venture portfolio; and</w:t>
            </w:r>
          </w:p>
        </w:tc>
      </w:tr>
    </w:tbl>
    <w:p w14:paraId="0DF0E410"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BDB9067" w14:textId="77777777">
        <w:trPr>
          <w:tblCellSpacing w:w="0" w:type="dxa"/>
        </w:trPr>
        <w:tc>
          <w:tcPr>
            <w:tcW w:w="720" w:type="dxa"/>
            <w:vAlign w:val="center"/>
            <w:hideMark/>
          </w:tcPr>
          <w:p w14:paraId="6D69FFF1" w14:textId="77777777" w:rsidR="00000000" w:rsidRDefault="00527094">
            <w:pPr>
              <w:rPr>
                <w:rFonts w:eastAsia="Times New Roman"/>
                <w:sz w:val="20"/>
                <w:szCs w:val="20"/>
              </w:rPr>
            </w:pPr>
            <w:r>
              <w:rPr>
                <w:rFonts w:eastAsia="Times New Roman"/>
                <w:sz w:val="20"/>
                <w:szCs w:val="20"/>
              </w:rPr>
              <w:t> </w:t>
            </w:r>
          </w:p>
        </w:tc>
        <w:tc>
          <w:tcPr>
            <w:tcW w:w="360" w:type="dxa"/>
            <w:hideMark/>
          </w:tcPr>
          <w:p w14:paraId="168CC15B"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30E27CD4" w14:textId="77777777" w:rsidR="00000000" w:rsidRDefault="00527094">
            <w:pPr>
              <w:pStyle w:val="a3"/>
              <w:spacing w:before="0" w:beforeAutospacing="0" w:after="0" w:afterAutospacing="0"/>
              <w:jc w:val="both"/>
              <w:rPr>
                <w:sz w:val="20"/>
                <w:szCs w:val="20"/>
              </w:rPr>
            </w:pPr>
            <w:r>
              <w:rPr>
                <w:sz w:val="20"/>
                <w:szCs w:val="20"/>
              </w:rPr>
              <w:t>$7.9 million for acquisition of operating real estate and other related net as</w:t>
            </w:r>
            <w:r>
              <w:rPr>
                <w:sz w:val="20"/>
                <w:szCs w:val="20"/>
              </w:rPr>
              <w:t>sets, including one land parcel, and acquisition of real estate under development related to one development project.</w:t>
            </w:r>
          </w:p>
        </w:tc>
      </w:tr>
    </w:tbl>
    <w:p w14:paraId="313FB2E2" w14:textId="77777777" w:rsidR="00000000" w:rsidRDefault="00527094">
      <w:pPr>
        <w:pStyle w:val="a3"/>
        <w:spacing w:before="0" w:beforeAutospacing="0" w:after="0" w:afterAutospacing="0"/>
        <w:jc w:val="both"/>
        <w:rPr>
          <w:sz w:val="20"/>
          <w:szCs w:val="20"/>
        </w:rPr>
      </w:pPr>
      <w:r>
        <w:rPr>
          <w:i/>
          <w:iCs/>
          <w:sz w:val="20"/>
          <w:szCs w:val="20"/>
        </w:rPr>
        <w:t> </w:t>
      </w:r>
    </w:p>
    <w:p w14:paraId="73BE5E7E" w14:textId="77777777" w:rsidR="00000000" w:rsidRDefault="00527094">
      <w:pPr>
        <w:pStyle w:val="a3"/>
        <w:spacing w:before="0" w:beforeAutospacing="0" w:after="0" w:afterAutospacing="0"/>
        <w:jc w:val="both"/>
        <w:rPr>
          <w:sz w:val="20"/>
          <w:szCs w:val="20"/>
        </w:rPr>
      </w:pPr>
      <w:r>
        <w:rPr>
          <w:i/>
          <w:iCs/>
          <w:sz w:val="20"/>
          <w:szCs w:val="20"/>
        </w:rPr>
        <w:t>Acquisitions of Operating Real Estate and Other Related Net Assets -</w:t>
      </w:r>
    </w:p>
    <w:p w14:paraId="693BF22B" w14:textId="77777777" w:rsidR="00000000" w:rsidRDefault="00527094">
      <w:pPr>
        <w:pStyle w:val="a3"/>
        <w:spacing w:before="0" w:beforeAutospacing="0" w:after="0" w:afterAutospacing="0"/>
        <w:jc w:val="both"/>
        <w:rPr>
          <w:sz w:val="20"/>
          <w:szCs w:val="20"/>
        </w:rPr>
      </w:pPr>
      <w:r>
        <w:rPr>
          <w:i/>
          <w:iCs/>
          <w:sz w:val="20"/>
          <w:szCs w:val="20"/>
        </w:rPr>
        <w:t> </w:t>
      </w:r>
    </w:p>
    <w:p w14:paraId="3BC65920" w14:textId="77777777" w:rsidR="00000000" w:rsidRDefault="00527094">
      <w:pPr>
        <w:pStyle w:val="a3"/>
        <w:spacing w:before="0" w:beforeAutospacing="0" w:after="0" w:afterAutospacing="0"/>
        <w:jc w:val="both"/>
        <w:rPr>
          <w:sz w:val="20"/>
          <w:szCs w:val="20"/>
        </w:rPr>
      </w:pPr>
      <w:r>
        <w:rPr>
          <w:sz w:val="20"/>
          <w:szCs w:val="20"/>
        </w:rPr>
        <w:t>       </w:t>
      </w:r>
      <w:r>
        <w:rPr>
          <w:sz w:val="20"/>
          <w:szCs w:val="20"/>
        </w:rPr>
        <w:t>During the six months ended June 30, 2019 and 2018, the Company expended $0 (after use of §1031 proceeds of $31.0 million) and $3.3 million, respectively, towards the acquisition of operating real estate properties and parcels adjacent to operating real es</w:t>
      </w:r>
      <w:r>
        <w:rPr>
          <w:sz w:val="20"/>
          <w:szCs w:val="20"/>
        </w:rPr>
        <w:t>tate properties. The Company anticipates spending approximately $5.0 million to $15.0 million towards the acquisition of operating properties for the remainder of 2019. The Company intends to fund these acquisitions with net cash flow provided by operating</w:t>
      </w:r>
      <w:r>
        <w:rPr>
          <w:sz w:val="20"/>
          <w:szCs w:val="20"/>
        </w:rPr>
        <w:t xml:space="preserve"> activities, proceeds from property dispositions and availability under its Credit Facility.</w:t>
      </w:r>
    </w:p>
    <w:p w14:paraId="435603FB" w14:textId="77777777" w:rsidR="00000000" w:rsidRDefault="00527094">
      <w:pPr>
        <w:pStyle w:val="a3"/>
        <w:spacing w:before="0" w:beforeAutospacing="0" w:after="0" w:afterAutospacing="0"/>
        <w:ind w:firstLine="360"/>
        <w:jc w:val="both"/>
        <w:rPr>
          <w:sz w:val="20"/>
          <w:szCs w:val="20"/>
        </w:rPr>
      </w:pPr>
      <w:r>
        <w:rPr>
          <w:sz w:val="20"/>
          <w:szCs w:val="20"/>
        </w:rPr>
        <w:t> </w:t>
      </w:r>
    </w:p>
    <w:p w14:paraId="55E3887A" w14:textId="77777777" w:rsidR="00000000" w:rsidRDefault="00527094">
      <w:pPr>
        <w:pStyle w:val="a3"/>
        <w:spacing w:before="0" w:beforeAutospacing="0" w:after="0" w:afterAutospacing="0"/>
        <w:jc w:val="both"/>
        <w:rPr>
          <w:sz w:val="20"/>
          <w:szCs w:val="20"/>
        </w:rPr>
      </w:pPr>
      <w:r>
        <w:rPr>
          <w:i/>
          <w:iCs/>
          <w:sz w:val="20"/>
          <w:szCs w:val="20"/>
        </w:rPr>
        <w:t>Improvements to Operating Real Estate -</w:t>
      </w:r>
    </w:p>
    <w:p w14:paraId="14F7976D" w14:textId="77777777" w:rsidR="00000000" w:rsidRDefault="00527094">
      <w:pPr>
        <w:pStyle w:val="a3"/>
        <w:spacing w:before="0" w:beforeAutospacing="0" w:after="0" w:afterAutospacing="0"/>
        <w:jc w:val="both"/>
        <w:rPr>
          <w:sz w:val="20"/>
          <w:szCs w:val="20"/>
        </w:rPr>
      </w:pPr>
      <w:r>
        <w:rPr>
          <w:sz w:val="20"/>
          <w:szCs w:val="20"/>
        </w:rPr>
        <w:t> </w:t>
      </w:r>
    </w:p>
    <w:p w14:paraId="7978E1AC" w14:textId="77777777" w:rsidR="00000000" w:rsidRDefault="00527094">
      <w:pPr>
        <w:pStyle w:val="a3"/>
        <w:spacing w:before="0" w:beforeAutospacing="0" w:after="0" w:afterAutospacing="0"/>
        <w:ind w:firstLine="360"/>
        <w:jc w:val="both"/>
        <w:rPr>
          <w:sz w:val="20"/>
          <w:szCs w:val="20"/>
        </w:rPr>
      </w:pPr>
      <w:r>
        <w:rPr>
          <w:sz w:val="20"/>
          <w:szCs w:val="20"/>
        </w:rPr>
        <w:t>During the six months ended June 30, 2019 and 2018, the Company expended $139.9 million and $127.4 million, respectivel</w:t>
      </w:r>
      <w:r>
        <w:rPr>
          <w:sz w:val="20"/>
          <w:szCs w:val="20"/>
        </w:rPr>
        <w:t>y, towards improvements to operating real estate. These amounts consist of the following (in thousands):</w:t>
      </w:r>
    </w:p>
    <w:p w14:paraId="2D7682B7" w14:textId="77777777" w:rsidR="00000000" w:rsidRDefault="00527094">
      <w:pPr>
        <w:pStyle w:val="a3"/>
        <w:spacing w:before="0" w:beforeAutospacing="0" w:after="0" w:afterAutospacing="0"/>
        <w:ind w:firstLine="720"/>
        <w:jc w:val="both"/>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0E7967E6" w14:textId="77777777">
        <w:trPr>
          <w:tblCellSpacing w:w="0" w:type="dxa"/>
        </w:trPr>
        <w:tc>
          <w:tcPr>
            <w:tcW w:w="0" w:type="auto"/>
            <w:vAlign w:val="bottom"/>
            <w:hideMark/>
          </w:tcPr>
          <w:p w14:paraId="36816A71"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DDD413A"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C1C0F2F" w14:textId="77777777" w:rsidR="00000000" w:rsidRDefault="0052709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6B7F51FE" w14:textId="77777777" w:rsidR="00000000" w:rsidRDefault="00527094">
            <w:pPr>
              <w:rPr>
                <w:rFonts w:eastAsia="Times New Roman"/>
                <w:sz w:val="20"/>
                <w:szCs w:val="20"/>
              </w:rPr>
            </w:pPr>
            <w:r>
              <w:rPr>
                <w:rFonts w:eastAsia="Times New Roman"/>
                <w:sz w:val="20"/>
                <w:szCs w:val="20"/>
              </w:rPr>
              <w:t> </w:t>
            </w:r>
          </w:p>
        </w:tc>
      </w:tr>
      <w:tr w:rsidR="00000000" w14:paraId="5248C54C" w14:textId="77777777">
        <w:trPr>
          <w:tblCellSpacing w:w="0" w:type="dxa"/>
        </w:trPr>
        <w:tc>
          <w:tcPr>
            <w:tcW w:w="0" w:type="auto"/>
            <w:vAlign w:val="bottom"/>
            <w:hideMark/>
          </w:tcPr>
          <w:p w14:paraId="6293A85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5ACE306"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48E2E7A"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D99DB3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527C4943"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5137F96"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81254B7" w14:textId="77777777" w:rsidR="00000000" w:rsidRDefault="00527094">
            <w:pPr>
              <w:rPr>
                <w:rFonts w:eastAsia="Times New Roman"/>
                <w:sz w:val="20"/>
                <w:szCs w:val="20"/>
              </w:rPr>
            </w:pPr>
            <w:r>
              <w:rPr>
                <w:rFonts w:eastAsia="Times New Roman"/>
                <w:sz w:val="20"/>
                <w:szCs w:val="20"/>
              </w:rPr>
              <w:t> </w:t>
            </w:r>
          </w:p>
        </w:tc>
      </w:tr>
      <w:tr w:rsidR="00000000" w14:paraId="376AA86D" w14:textId="77777777">
        <w:trPr>
          <w:tblCellSpacing w:w="0" w:type="dxa"/>
        </w:trPr>
        <w:tc>
          <w:tcPr>
            <w:tcW w:w="3400" w:type="pct"/>
            <w:shd w:val="clear" w:color="auto" w:fill="CCEEFF"/>
            <w:vAlign w:val="bottom"/>
            <w:hideMark/>
          </w:tcPr>
          <w:p w14:paraId="4CC5E620" w14:textId="77777777" w:rsidR="00000000" w:rsidRDefault="00527094">
            <w:pPr>
              <w:pStyle w:val="a3"/>
              <w:spacing w:before="0" w:beforeAutospacing="0" w:after="0" w:afterAutospacing="0"/>
              <w:rPr>
                <w:sz w:val="20"/>
                <w:szCs w:val="20"/>
              </w:rPr>
            </w:pPr>
            <w:r>
              <w:rPr>
                <w:sz w:val="20"/>
                <w:szCs w:val="20"/>
              </w:rPr>
              <w:t>Redevelopment and renovations</w:t>
            </w:r>
          </w:p>
        </w:tc>
        <w:tc>
          <w:tcPr>
            <w:tcW w:w="50" w:type="pct"/>
            <w:tcBorders>
              <w:bottom w:val="nil"/>
            </w:tcBorders>
            <w:shd w:val="clear" w:color="auto" w:fill="CCEEFF"/>
            <w:vAlign w:val="bottom"/>
            <w:hideMark/>
          </w:tcPr>
          <w:p w14:paraId="5F1A3A95"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C46419F" w14:textId="77777777" w:rsidR="00000000" w:rsidRDefault="00527094">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7E501BEB" w14:textId="77777777" w:rsidR="00000000" w:rsidRDefault="00527094">
            <w:pPr>
              <w:jc w:val="right"/>
              <w:rPr>
                <w:rFonts w:eastAsia="Times New Roman"/>
                <w:sz w:val="20"/>
                <w:szCs w:val="20"/>
              </w:rPr>
            </w:pPr>
            <w:r>
              <w:rPr>
                <w:rFonts w:eastAsia="Times New Roman"/>
                <w:sz w:val="20"/>
                <w:szCs w:val="20"/>
              </w:rPr>
              <w:t>103,477</w:t>
            </w:r>
          </w:p>
        </w:tc>
        <w:tc>
          <w:tcPr>
            <w:tcW w:w="50" w:type="pct"/>
            <w:tcBorders>
              <w:bottom w:val="nil"/>
            </w:tcBorders>
            <w:shd w:val="clear" w:color="auto" w:fill="CCEEFF"/>
            <w:vAlign w:val="bottom"/>
            <w:hideMark/>
          </w:tcPr>
          <w:p w14:paraId="624BF82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77D1FFC"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640B228" w14:textId="77777777" w:rsidR="00000000" w:rsidRDefault="00527094">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6AFF776E" w14:textId="77777777" w:rsidR="00000000" w:rsidRDefault="00527094">
            <w:pPr>
              <w:jc w:val="right"/>
              <w:rPr>
                <w:rFonts w:eastAsia="Times New Roman"/>
                <w:sz w:val="20"/>
                <w:szCs w:val="20"/>
              </w:rPr>
            </w:pPr>
            <w:r>
              <w:rPr>
                <w:rFonts w:eastAsia="Times New Roman"/>
                <w:sz w:val="20"/>
                <w:szCs w:val="20"/>
              </w:rPr>
              <w:t>93,140</w:t>
            </w:r>
          </w:p>
        </w:tc>
        <w:tc>
          <w:tcPr>
            <w:tcW w:w="50" w:type="pct"/>
            <w:tcBorders>
              <w:bottom w:val="nil"/>
            </w:tcBorders>
            <w:shd w:val="clear" w:color="auto" w:fill="CCEEFF"/>
            <w:vAlign w:val="bottom"/>
            <w:hideMark/>
          </w:tcPr>
          <w:p w14:paraId="65959B10" w14:textId="77777777" w:rsidR="00000000" w:rsidRDefault="00527094">
            <w:pPr>
              <w:rPr>
                <w:rFonts w:eastAsia="Times New Roman"/>
                <w:sz w:val="20"/>
                <w:szCs w:val="20"/>
              </w:rPr>
            </w:pPr>
            <w:r>
              <w:rPr>
                <w:rFonts w:eastAsia="Times New Roman"/>
                <w:sz w:val="20"/>
                <w:szCs w:val="20"/>
              </w:rPr>
              <w:t> </w:t>
            </w:r>
          </w:p>
        </w:tc>
      </w:tr>
      <w:tr w:rsidR="00000000" w14:paraId="7AA97B44" w14:textId="77777777">
        <w:trPr>
          <w:tblCellSpacing w:w="0" w:type="dxa"/>
        </w:trPr>
        <w:tc>
          <w:tcPr>
            <w:tcW w:w="0" w:type="auto"/>
            <w:shd w:val="clear" w:color="auto" w:fill="FFFFFF"/>
            <w:vAlign w:val="bottom"/>
            <w:hideMark/>
          </w:tcPr>
          <w:p w14:paraId="11CC41DB" w14:textId="77777777" w:rsidR="00000000" w:rsidRDefault="00527094">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vAlign w:val="bottom"/>
            <w:hideMark/>
          </w:tcPr>
          <w:p w14:paraId="6407236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E5429E" w14:textId="77777777" w:rsidR="00000000" w:rsidRDefault="00527094">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6395CF8" w14:textId="77777777" w:rsidR="00000000" w:rsidRDefault="00527094">
            <w:pPr>
              <w:jc w:val="right"/>
              <w:rPr>
                <w:rFonts w:eastAsia="Times New Roman"/>
                <w:sz w:val="20"/>
                <w:szCs w:val="20"/>
              </w:rPr>
            </w:pPr>
            <w:r>
              <w:rPr>
                <w:rFonts w:eastAsia="Times New Roman"/>
                <w:sz w:val="20"/>
                <w:szCs w:val="20"/>
              </w:rPr>
              <w:t>29,858</w:t>
            </w:r>
          </w:p>
        </w:tc>
        <w:tc>
          <w:tcPr>
            <w:tcW w:w="50" w:type="pct"/>
            <w:shd w:val="clear" w:color="auto" w:fill="FFFFFF"/>
            <w:vAlign w:val="bottom"/>
            <w:hideMark/>
          </w:tcPr>
          <w:p w14:paraId="11B0916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C7E73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FE73BD" w14:textId="77777777" w:rsidR="00000000" w:rsidRDefault="00527094">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4AAE112" w14:textId="77777777" w:rsidR="00000000" w:rsidRDefault="00527094">
            <w:pPr>
              <w:jc w:val="right"/>
              <w:rPr>
                <w:rFonts w:eastAsia="Times New Roman"/>
                <w:sz w:val="20"/>
                <w:szCs w:val="20"/>
              </w:rPr>
            </w:pPr>
            <w:r>
              <w:rPr>
                <w:rFonts w:eastAsia="Times New Roman"/>
                <w:sz w:val="20"/>
                <w:szCs w:val="20"/>
              </w:rPr>
              <w:t>33,585</w:t>
            </w:r>
          </w:p>
        </w:tc>
        <w:tc>
          <w:tcPr>
            <w:tcW w:w="50" w:type="pct"/>
            <w:shd w:val="clear" w:color="auto" w:fill="FFFFFF"/>
            <w:vAlign w:val="bottom"/>
            <w:hideMark/>
          </w:tcPr>
          <w:p w14:paraId="7A8926FC" w14:textId="77777777" w:rsidR="00000000" w:rsidRDefault="00527094">
            <w:pPr>
              <w:rPr>
                <w:rFonts w:eastAsia="Times New Roman"/>
                <w:sz w:val="20"/>
                <w:szCs w:val="20"/>
              </w:rPr>
            </w:pPr>
            <w:r>
              <w:rPr>
                <w:rFonts w:eastAsia="Times New Roman"/>
                <w:sz w:val="20"/>
                <w:szCs w:val="20"/>
              </w:rPr>
              <w:t> </w:t>
            </w:r>
          </w:p>
        </w:tc>
      </w:tr>
      <w:tr w:rsidR="00000000" w14:paraId="3AE20738" w14:textId="77777777">
        <w:trPr>
          <w:tblCellSpacing w:w="0" w:type="dxa"/>
        </w:trPr>
        <w:tc>
          <w:tcPr>
            <w:tcW w:w="0" w:type="auto"/>
            <w:shd w:val="clear" w:color="auto" w:fill="CCEEFF"/>
            <w:vAlign w:val="bottom"/>
            <w:hideMark/>
          </w:tcPr>
          <w:p w14:paraId="52EAEB4B" w14:textId="77777777" w:rsidR="00000000" w:rsidRDefault="00527094">
            <w:pPr>
              <w:pStyle w:val="a3"/>
              <w:spacing w:before="0" w:beforeAutospacing="0" w:after="0" w:afterAutospacing="0"/>
              <w:rPr>
                <w:sz w:val="20"/>
                <w:szCs w:val="20"/>
              </w:rPr>
            </w:pPr>
            <w:r>
              <w:rPr>
                <w:sz w:val="20"/>
                <w:szCs w:val="20"/>
              </w:rPr>
              <w:t>Other</w:t>
            </w:r>
          </w:p>
        </w:tc>
        <w:tc>
          <w:tcPr>
            <w:tcW w:w="50" w:type="pct"/>
            <w:shd w:val="clear" w:color="auto" w:fill="CCEEFF"/>
            <w:vAlign w:val="bottom"/>
            <w:hideMark/>
          </w:tcPr>
          <w:p w14:paraId="1951856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7766148" w14:textId="77777777" w:rsidR="00000000" w:rsidRDefault="00527094">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437EE3D8" w14:textId="77777777" w:rsidR="00000000" w:rsidRDefault="00527094">
            <w:pPr>
              <w:jc w:val="right"/>
              <w:rPr>
                <w:rFonts w:eastAsia="Times New Roman"/>
                <w:sz w:val="20"/>
                <w:szCs w:val="20"/>
              </w:rPr>
            </w:pPr>
            <w:r>
              <w:rPr>
                <w:rFonts w:eastAsia="Times New Roman"/>
                <w:sz w:val="20"/>
                <w:szCs w:val="20"/>
              </w:rPr>
              <w:t>6,530</w:t>
            </w:r>
          </w:p>
        </w:tc>
        <w:tc>
          <w:tcPr>
            <w:tcW w:w="50" w:type="pct"/>
            <w:shd w:val="clear" w:color="auto" w:fill="CCEEFF"/>
            <w:tcMar>
              <w:top w:w="0" w:type="dxa"/>
              <w:left w:w="0" w:type="dxa"/>
              <w:bottom w:w="15" w:type="dxa"/>
              <w:right w:w="0" w:type="dxa"/>
            </w:tcMar>
            <w:vAlign w:val="bottom"/>
            <w:hideMark/>
          </w:tcPr>
          <w:p w14:paraId="75F7A36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442FE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AEFC05D" w14:textId="77777777" w:rsidR="00000000" w:rsidRDefault="00527094">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4AB36FC6" w14:textId="77777777" w:rsidR="00000000" w:rsidRDefault="00527094">
            <w:pPr>
              <w:jc w:val="right"/>
              <w:rPr>
                <w:rFonts w:eastAsia="Times New Roman"/>
                <w:sz w:val="20"/>
                <w:szCs w:val="20"/>
              </w:rPr>
            </w:pPr>
            <w:r>
              <w:rPr>
                <w:rFonts w:eastAsia="Times New Roman"/>
                <w:sz w:val="20"/>
                <w:szCs w:val="20"/>
              </w:rPr>
              <w:t>655</w:t>
            </w:r>
          </w:p>
        </w:tc>
        <w:tc>
          <w:tcPr>
            <w:tcW w:w="50" w:type="pct"/>
            <w:shd w:val="clear" w:color="auto" w:fill="CCEEFF"/>
            <w:tcMar>
              <w:top w:w="0" w:type="dxa"/>
              <w:left w:w="0" w:type="dxa"/>
              <w:bottom w:w="15" w:type="dxa"/>
              <w:right w:w="0" w:type="dxa"/>
            </w:tcMar>
            <w:vAlign w:val="bottom"/>
            <w:hideMark/>
          </w:tcPr>
          <w:p w14:paraId="60D3DD6A" w14:textId="77777777" w:rsidR="00000000" w:rsidRDefault="00527094">
            <w:pPr>
              <w:rPr>
                <w:rFonts w:eastAsia="Times New Roman"/>
                <w:sz w:val="20"/>
                <w:szCs w:val="20"/>
              </w:rPr>
            </w:pPr>
            <w:r>
              <w:rPr>
                <w:rFonts w:eastAsia="Times New Roman"/>
                <w:sz w:val="20"/>
                <w:szCs w:val="20"/>
              </w:rPr>
              <w:t> </w:t>
            </w:r>
          </w:p>
        </w:tc>
      </w:tr>
      <w:tr w:rsidR="00000000" w14:paraId="786282EC" w14:textId="77777777">
        <w:trPr>
          <w:tblCellSpacing w:w="0" w:type="dxa"/>
        </w:trPr>
        <w:tc>
          <w:tcPr>
            <w:tcW w:w="0" w:type="auto"/>
            <w:shd w:val="clear" w:color="auto" w:fill="FFFFFF"/>
            <w:vAlign w:val="bottom"/>
            <w:hideMark/>
          </w:tcPr>
          <w:p w14:paraId="0C3BD5C6" w14:textId="77777777" w:rsidR="00000000" w:rsidRDefault="00527094">
            <w:pPr>
              <w:pStyle w:val="a3"/>
              <w:spacing w:before="0" w:beforeAutospacing="0" w:after="0" w:afterAutospacing="0"/>
              <w:ind w:left="180"/>
              <w:rPr>
                <w:sz w:val="20"/>
                <w:szCs w:val="20"/>
              </w:rPr>
            </w:pPr>
            <w:r>
              <w:rPr>
                <w:sz w:val="20"/>
                <w:szCs w:val="20"/>
              </w:rPr>
              <w:t>Total improvements (1)</w:t>
            </w:r>
          </w:p>
        </w:tc>
        <w:tc>
          <w:tcPr>
            <w:tcW w:w="50" w:type="pct"/>
            <w:shd w:val="clear" w:color="auto" w:fill="FFFFFF"/>
            <w:vAlign w:val="bottom"/>
            <w:hideMark/>
          </w:tcPr>
          <w:p w14:paraId="6E84CC04"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793B368" w14:textId="77777777" w:rsidR="00000000" w:rsidRDefault="0052709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785683A8" w14:textId="77777777" w:rsidR="00000000" w:rsidRDefault="00527094">
            <w:pPr>
              <w:jc w:val="right"/>
              <w:rPr>
                <w:rFonts w:eastAsia="Times New Roman"/>
                <w:sz w:val="20"/>
                <w:szCs w:val="20"/>
              </w:rPr>
            </w:pPr>
            <w:r>
              <w:rPr>
                <w:rFonts w:eastAsia="Times New Roman"/>
                <w:sz w:val="20"/>
                <w:szCs w:val="20"/>
              </w:rPr>
              <w:t>139,865</w:t>
            </w:r>
          </w:p>
        </w:tc>
        <w:tc>
          <w:tcPr>
            <w:tcW w:w="50" w:type="pct"/>
            <w:shd w:val="clear" w:color="auto" w:fill="FFFFFF"/>
            <w:tcMar>
              <w:top w:w="0" w:type="dxa"/>
              <w:left w:w="0" w:type="dxa"/>
              <w:bottom w:w="45" w:type="dxa"/>
              <w:right w:w="0" w:type="dxa"/>
            </w:tcMar>
            <w:vAlign w:val="bottom"/>
            <w:hideMark/>
          </w:tcPr>
          <w:p w14:paraId="2A05AD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CAEBA3"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1BE91C0" w14:textId="77777777" w:rsidR="00000000" w:rsidRDefault="00527094">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26EA3BCF" w14:textId="77777777" w:rsidR="00000000" w:rsidRDefault="00527094">
            <w:pPr>
              <w:jc w:val="right"/>
              <w:rPr>
                <w:rFonts w:eastAsia="Times New Roman"/>
                <w:sz w:val="20"/>
                <w:szCs w:val="20"/>
              </w:rPr>
            </w:pPr>
            <w:r>
              <w:rPr>
                <w:rFonts w:eastAsia="Times New Roman"/>
                <w:sz w:val="20"/>
                <w:szCs w:val="20"/>
              </w:rPr>
              <w:t>127,380</w:t>
            </w:r>
          </w:p>
        </w:tc>
        <w:tc>
          <w:tcPr>
            <w:tcW w:w="50" w:type="pct"/>
            <w:shd w:val="clear" w:color="auto" w:fill="FFFFFF"/>
            <w:tcMar>
              <w:top w:w="0" w:type="dxa"/>
              <w:left w:w="0" w:type="dxa"/>
              <w:bottom w:w="45" w:type="dxa"/>
              <w:right w:w="0" w:type="dxa"/>
            </w:tcMar>
            <w:vAlign w:val="bottom"/>
            <w:hideMark/>
          </w:tcPr>
          <w:p w14:paraId="03052B80" w14:textId="77777777" w:rsidR="00000000" w:rsidRDefault="00527094">
            <w:pPr>
              <w:rPr>
                <w:rFonts w:eastAsia="Times New Roman"/>
                <w:sz w:val="20"/>
                <w:szCs w:val="20"/>
              </w:rPr>
            </w:pPr>
            <w:r>
              <w:rPr>
                <w:rFonts w:eastAsia="Times New Roman"/>
                <w:sz w:val="20"/>
                <w:szCs w:val="20"/>
              </w:rPr>
              <w:t> </w:t>
            </w:r>
          </w:p>
        </w:tc>
      </w:tr>
    </w:tbl>
    <w:p w14:paraId="76458521" w14:textId="77777777" w:rsidR="00000000" w:rsidRDefault="0052709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BAAA85D" w14:textId="77777777">
        <w:trPr>
          <w:tblCellSpacing w:w="0" w:type="dxa"/>
        </w:trPr>
        <w:tc>
          <w:tcPr>
            <w:tcW w:w="360" w:type="dxa"/>
            <w:vAlign w:val="center"/>
            <w:hideMark/>
          </w:tcPr>
          <w:p w14:paraId="64113B65" w14:textId="77777777" w:rsidR="00000000" w:rsidRDefault="00527094">
            <w:pPr>
              <w:rPr>
                <w:rFonts w:eastAsia="Times New Roman"/>
                <w:sz w:val="20"/>
                <w:szCs w:val="20"/>
              </w:rPr>
            </w:pPr>
            <w:r>
              <w:rPr>
                <w:rFonts w:eastAsia="Times New Roman"/>
                <w:sz w:val="20"/>
                <w:szCs w:val="20"/>
              </w:rPr>
              <w:t> </w:t>
            </w:r>
          </w:p>
        </w:tc>
        <w:tc>
          <w:tcPr>
            <w:tcW w:w="360" w:type="dxa"/>
            <w:hideMark/>
          </w:tcPr>
          <w:p w14:paraId="04208E00" w14:textId="77777777" w:rsidR="00000000" w:rsidRDefault="00527094">
            <w:pPr>
              <w:pStyle w:val="a3"/>
              <w:spacing w:before="0" w:beforeAutospacing="0" w:after="0" w:afterAutospacing="0"/>
              <w:jc w:val="both"/>
              <w:rPr>
                <w:sz w:val="20"/>
                <w:szCs w:val="20"/>
              </w:rPr>
            </w:pPr>
            <w:r>
              <w:rPr>
                <w:sz w:val="20"/>
                <w:szCs w:val="20"/>
              </w:rPr>
              <w:t>(1)</w:t>
            </w:r>
          </w:p>
        </w:tc>
        <w:tc>
          <w:tcPr>
            <w:tcW w:w="0" w:type="auto"/>
            <w:hideMark/>
          </w:tcPr>
          <w:p w14:paraId="6FF45696" w14:textId="77777777" w:rsidR="00000000" w:rsidRDefault="00527094">
            <w:pPr>
              <w:pStyle w:val="a3"/>
              <w:spacing w:before="0" w:beforeAutospacing="0" w:after="0" w:afterAutospacing="0"/>
              <w:jc w:val="both"/>
              <w:rPr>
                <w:sz w:val="20"/>
                <w:szCs w:val="20"/>
              </w:rPr>
            </w:pPr>
            <w:r>
              <w:rPr>
                <w:sz w:val="20"/>
                <w:szCs w:val="20"/>
              </w:rPr>
              <w:t>During the six months ended June 30, 2019 and 2018, the Company capitalized payroll of $4.0 million and $3.4 million, respectively, and capitalized interest of $2.5 million and $1.5 million, respectively, in connection with the Company’s improvements to op</w:t>
            </w:r>
            <w:r>
              <w:rPr>
                <w:sz w:val="20"/>
                <w:szCs w:val="20"/>
              </w:rPr>
              <w:t>erating real estate.</w:t>
            </w:r>
          </w:p>
        </w:tc>
      </w:tr>
    </w:tbl>
    <w:p w14:paraId="2D09B29B" w14:textId="77777777" w:rsidR="00000000" w:rsidRDefault="00527094">
      <w:pPr>
        <w:pStyle w:val="a3"/>
        <w:spacing w:before="0" w:beforeAutospacing="0" w:after="0" w:afterAutospacing="0"/>
        <w:jc w:val="both"/>
        <w:rPr>
          <w:sz w:val="20"/>
          <w:szCs w:val="20"/>
        </w:rPr>
      </w:pPr>
      <w:r>
        <w:rPr>
          <w:sz w:val="20"/>
          <w:szCs w:val="20"/>
        </w:rPr>
        <w:t> </w:t>
      </w:r>
    </w:p>
    <w:p w14:paraId="6815AE56" w14:textId="77777777" w:rsidR="00000000" w:rsidRDefault="00527094">
      <w:pPr>
        <w:jc w:val="center"/>
        <w:divId w:val="1878733464"/>
        <w:rPr>
          <w:rFonts w:eastAsia="Times New Roman"/>
          <w:sz w:val="20"/>
          <w:szCs w:val="20"/>
        </w:rPr>
      </w:pPr>
      <w:r>
        <w:rPr>
          <w:rFonts w:eastAsia="Times New Roman"/>
          <w:sz w:val="20"/>
          <w:szCs w:val="20"/>
        </w:rPr>
        <w:t xml:space="preserve">27 </w:t>
      </w:r>
    </w:p>
    <w:p w14:paraId="22CE04C4" w14:textId="77777777" w:rsidR="00000000" w:rsidRDefault="00527094">
      <w:pPr>
        <w:divId w:val="1878733464"/>
        <w:rPr>
          <w:rFonts w:eastAsia="Times New Roman"/>
          <w:sz w:val="20"/>
          <w:szCs w:val="20"/>
        </w:rPr>
      </w:pPr>
      <w:r>
        <w:rPr>
          <w:rFonts w:eastAsia="Times New Roman"/>
          <w:sz w:val="20"/>
          <w:szCs w:val="20"/>
        </w:rPr>
        <w:pict w14:anchorId="29775F8B">
          <v:rect id="_x0000_i1055" style="width:0;height:1.5pt" o:hralign="center" o:hrstd="t" o:hr="t" fillcolor="#a0a0a0" stroked="f"/>
        </w:pict>
      </w:r>
    </w:p>
    <w:p w14:paraId="54999FC7" w14:textId="77777777" w:rsidR="00000000" w:rsidRDefault="00527094">
      <w:pPr>
        <w:divId w:val="18787334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4938790" w14:textId="77777777" w:rsidR="00000000" w:rsidRDefault="00527094">
      <w:pPr>
        <w:pStyle w:val="a3"/>
        <w:spacing w:before="0" w:beforeAutospacing="0" w:after="0" w:afterAutospacing="0"/>
        <w:rPr>
          <w:sz w:val="20"/>
          <w:szCs w:val="20"/>
        </w:rPr>
      </w:pPr>
      <w:r>
        <w:rPr>
          <w:sz w:val="20"/>
          <w:szCs w:val="20"/>
        </w:rPr>
        <w:t> </w:t>
      </w:r>
    </w:p>
    <w:p w14:paraId="4AC452DD" w14:textId="77777777" w:rsidR="00000000" w:rsidRDefault="00527094">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w:t>
      </w:r>
      <w:r>
        <w:rPr>
          <w:sz w:val="20"/>
          <w:szCs w:val="20"/>
        </w:rPr>
        <w:t>uing redevelopment opportunities within its operating portfolio which it believes will increase the overall value by bringing in new tenants and improving the assets’ value. The Company has identified three categories of redevelopment, (i) large scale rede</w:t>
      </w:r>
      <w:r>
        <w:rPr>
          <w:sz w:val="20"/>
          <w:szCs w:val="20"/>
        </w:rPr>
        <w:t>velopment, which involves demolishing and building new square footage, (ii) value creation redevelopment, which includes the subdivision of large anchor spaces into multiple tenant layouts, and (iii) creation of out-parcels and pads located in the front of</w:t>
      </w:r>
      <w:r>
        <w:rPr>
          <w:sz w:val="20"/>
          <w:szCs w:val="20"/>
        </w:rPr>
        <w:t xml:space="preserve"> the shopping center properties. The Company anticipates its capital commitment toward these redevelopment projects and re-tenanting efforts for the remainder of 2019 will be approximately $150.0 million to $200.0 million. The funding of these capital requ</w:t>
      </w:r>
      <w:r>
        <w:rPr>
          <w:sz w:val="20"/>
          <w:szCs w:val="20"/>
        </w:rPr>
        <w:t>irements will be provided by proceeds from property dispositions, net cash flow provided by operating activities and availability under the Company’s Credit Facility.</w:t>
      </w:r>
    </w:p>
    <w:p w14:paraId="68ABC0EC" w14:textId="77777777" w:rsidR="00000000" w:rsidRDefault="00527094">
      <w:pPr>
        <w:pStyle w:val="a3"/>
        <w:spacing w:before="0" w:beforeAutospacing="0" w:after="0" w:afterAutospacing="0"/>
        <w:ind w:left="720"/>
        <w:jc w:val="both"/>
        <w:rPr>
          <w:sz w:val="20"/>
          <w:szCs w:val="20"/>
        </w:rPr>
      </w:pPr>
      <w:r>
        <w:rPr>
          <w:sz w:val="20"/>
          <w:szCs w:val="20"/>
        </w:rPr>
        <w:t> </w:t>
      </w:r>
    </w:p>
    <w:p w14:paraId="2015195E" w14:textId="77777777" w:rsidR="00000000" w:rsidRDefault="00527094">
      <w:pPr>
        <w:pStyle w:val="a3"/>
        <w:spacing w:before="0" w:beforeAutospacing="0" w:after="0" w:afterAutospacing="0"/>
        <w:jc w:val="both"/>
        <w:rPr>
          <w:sz w:val="20"/>
          <w:szCs w:val="20"/>
        </w:rPr>
      </w:pPr>
      <w:r>
        <w:rPr>
          <w:i/>
          <w:iCs/>
          <w:sz w:val="20"/>
          <w:szCs w:val="20"/>
        </w:rPr>
        <w:t>Real Estate Under Development -</w:t>
      </w:r>
    </w:p>
    <w:p w14:paraId="647AF9BF" w14:textId="77777777" w:rsidR="00000000" w:rsidRDefault="00527094">
      <w:pPr>
        <w:pStyle w:val="a3"/>
        <w:spacing w:before="0" w:beforeAutospacing="0" w:after="0" w:afterAutospacing="0"/>
        <w:ind w:firstLine="720"/>
        <w:jc w:val="both"/>
        <w:rPr>
          <w:sz w:val="20"/>
          <w:szCs w:val="20"/>
        </w:rPr>
      </w:pPr>
      <w:r>
        <w:rPr>
          <w:sz w:val="20"/>
          <w:szCs w:val="20"/>
        </w:rPr>
        <w:t> </w:t>
      </w:r>
    </w:p>
    <w:p w14:paraId="5CCC02FB" w14:textId="77777777" w:rsidR="00000000" w:rsidRDefault="00527094">
      <w:pPr>
        <w:pStyle w:val="a3"/>
        <w:spacing w:before="0" w:beforeAutospacing="0" w:after="0" w:afterAutospacing="0"/>
        <w:ind w:firstLine="360"/>
        <w:jc w:val="both"/>
        <w:rPr>
          <w:sz w:val="20"/>
          <w:szCs w:val="20"/>
        </w:rPr>
      </w:pPr>
      <w:r>
        <w:rPr>
          <w:sz w:val="20"/>
          <w:szCs w:val="20"/>
        </w:rPr>
        <w:t>The Company is engaged in select real estate developm</w:t>
      </w:r>
      <w:r>
        <w:rPr>
          <w:sz w:val="20"/>
          <w:szCs w:val="20"/>
        </w:rPr>
        <w:t xml:space="preserve">ent projects, which are expected to be held as long-term investments. As of June 30, 2019, the Company had in progress a total of two active real estate development projects and one project held for future development. During the six months ended June 30, </w:t>
      </w:r>
      <w:r>
        <w:rPr>
          <w:sz w:val="20"/>
          <w:szCs w:val="20"/>
        </w:rPr>
        <w:t>2019 and 2018, the Company expended $57.5 million and $121.4 million, respectively, towards improvements to real estate under development. The Company capitalized (i) interest of $4.1 million and $6.7 million, (ii) real estate taxes, insurance and legal co</w:t>
      </w:r>
      <w:r>
        <w:rPr>
          <w:sz w:val="20"/>
          <w:szCs w:val="20"/>
        </w:rPr>
        <w:t>sts of $0.4 million and $1.2 million and (iii) payroll of $0.7 million and $0.9 million during the six months ended June 30, 2019 and 2018, respectively, in connection with its real estate development projects. The Company anticipates the total remaining c</w:t>
      </w:r>
      <w:r>
        <w:rPr>
          <w:sz w:val="20"/>
          <w:szCs w:val="20"/>
        </w:rPr>
        <w:t>osts to complete these active projects to be approximately $85.0 million to $115.0 million. The Company anticipates its capital commitment toward these development projects for the remainder of 2019 will be approximately $50.0 million to $75.0 million. The</w:t>
      </w:r>
      <w:r>
        <w:rPr>
          <w:sz w:val="20"/>
          <w:szCs w:val="20"/>
        </w:rPr>
        <w:t xml:space="preserve"> funding of these capital requirements will be provided by proceeds from property dispositions, net cash flow provided by operating activities, construction financing, where applicable, and availability under the Company’s Credit Facility.</w:t>
      </w:r>
    </w:p>
    <w:p w14:paraId="199B34EC" w14:textId="77777777" w:rsidR="00000000" w:rsidRDefault="00527094">
      <w:pPr>
        <w:pStyle w:val="a3"/>
        <w:spacing w:before="0" w:beforeAutospacing="0" w:after="0" w:afterAutospacing="0"/>
        <w:ind w:firstLine="360"/>
        <w:jc w:val="both"/>
        <w:rPr>
          <w:sz w:val="20"/>
          <w:szCs w:val="20"/>
        </w:rPr>
      </w:pPr>
      <w:r>
        <w:rPr>
          <w:sz w:val="20"/>
          <w:szCs w:val="20"/>
        </w:rPr>
        <w:t> </w:t>
      </w:r>
    </w:p>
    <w:p w14:paraId="7249FE20" w14:textId="77777777" w:rsidR="00000000" w:rsidRDefault="00527094">
      <w:pPr>
        <w:pStyle w:val="a3"/>
        <w:spacing w:before="0" w:beforeAutospacing="0" w:after="0" w:afterAutospacing="0"/>
        <w:jc w:val="both"/>
        <w:rPr>
          <w:sz w:val="20"/>
          <w:szCs w:val="20"/>
        </w:rPr>
      </w:pPr>
      <w:r>
        <w:rPr>
          <w:sz w:val="20"/>
          <w:szCs w:val="20"/>
          <w:u w:val="single"/>
        </w:rPr>
        <w:t>Financing Acti</w:t>
      </w:r>
      <w:r>
        <w:rPr>
          <w:sz w:val="20"/>
          <w:szCs w:val="20"/>
          <w:u w:val="single"/>
        </w:rPr>
        <w:t>vities</w:t>
      </w:r>
    </w:p>
    <w:p w14:paraId="1BA6FAE7" w14:textId="77777777" w:rsidR="00000000" w:rsidRDefault="00527094">
      <w:pPr>
        <w:pStyle w:val="a3"/>
        <w:spacing w:before="0" w:beforeAutospacing="0" w:after="0" w:afterAutospacing="0"/>
        <w:jc w:val="both"/>
        <w:rPr>
          <w:sz w:val="20"/>
          <w:szCs w:val="20"/>
        </w:rPr>
      </w:pPr>
      <w:r>
        <w:rPr>
          <w:sz w:val="20"/>
          <w:szCs w:val="20"/>
        </w:rPr>
        <w:t> </w:t>
      </w:r>
    </w:p>
    <w:p w14:paraId="6FF42B55" w14:textId="77777777" w:rsidR="00000000" w:rsidRDefault="00527094">
      <w:pPr>
        <w:pStyle w:val="a3"/>
        <w:spacing w:before="0" w:beforeAutospacing="0" w:after="0" w:afterAutospacing="0"/>
        <w:ind w:firstLine="360"/>
        <w:jc w:val="both"/>
        <w:rPr>
          <w:sz w:val="20"/>
          <w:szCs w:val="20"/>
        </w:rPr>
      </w:pPr>
      <w:r>
        <w:rPr>
          <w:sz w:val="20"/>
          <w:szCs w:val="20"/>
        </w:rPr>
        <w:t>Net cash flow used for financing activities was $242.6 million for the six months ended June 30, 2019, as compared to $513.1 million for the comparable period in 2018.</w:t>
      </w:r>
    </w:p>
    <w:p w14:paraId="052F5DA9" w14:textId="77777777" w:rsidR="00000000" w:rsidRDefault="00527094">
      <w:pPr>
        <w:pStyle w:val="a3"/>
        <w:spacing w:before="0" w:beforeAutospacing="0" w:after="0" w:afterAutospacing="0"/>
        <w:ind w:firstLine="360"/>
        <w:jc w:val="both"/>
        <w:rPr>
          <w:sz w:val="20"/>
          <w:szCs w:val="20"/>
        </w:rPr>
      </w:pPr>
      <w:r>
        <w:rPr>
          <w:sz w:val="20"/>
          <w:szCs w:val="20"/>
        </w:rPr>
        <w:t> </w:t>
      </w:r>
    </w:p>
    <w:p w14:paraId="0528C097" w14:textId="77777777" w:rsidR="00000000" w:rsidRDefault="00527094">
      <w:pPr>
        <w:pStyle w:val="a3"/>
        <w:spacing w:before="0" w:beforeAutospacing="0" w:after="0" w:afterAutospacing="0"/>
        <w:ind w:firstLine="360"/>
        <w:jc w:val="both"/>
        <w:rPr>
          <w:sz w:val="20"/>
          <w:szCs w:val="20"/>
        </w:rPr>
      </w:pPr>
      <w:r>
        <w:rPr>
          <w:sz w:val="20"/>
          <w:szCs w:val="20"/>
        </w:rPr>
        <w:t>Financing activities during 2019 primarily consisted of:</w:t>
      </w:r>
    </w:p>
    <w:p w14:paraId="07710A12" w14:textId="77777777" w:rsidR="00000000" w:rsidRDefault="00527094">
      <w:pPr>
        <w:pStyle w:val="a3"/>
        <w:spacing w:before="0" w:beforeAutospacing="0" w:after="0" w:afterAutospacing="0"/>
        <w:ind w:firstLine="540"/>
        <w:jc w:val="both"/>
        <w:rPr>
          <w:sz w:val="20"/>
          <w:szCs w:val="20"/>
        </w:rPr>
      </w:pPr>
      <w:r>
        <w:rPr>
          <w:i/>
          <w:iCs/>
          <w:sz w:val="20"/>
          <w:szCs w:val="20"/>
        </w:rPr>
        <w:t> </w:t>
      </w:r>
    </w:p>
    <w:p w14:paraId="169C0445" w14:textId="77777777" w:rsidR="00000000" w:rsidRDefault="00527094">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4094562" w14:textId="77777777">
        <w:trPr>
          <w:tblCellSpacing w:w="0" w:type="dxa"/>
        </w:trPr>
        <w:tc>
          <w:tcPr>
            <w:tcW w:w="720" w:type="dxa"/>
            <w:vAlign w:val="center"/>
            <w:hideMark/>
          </w:tcPr>
          <w:p w14:paraId="7A5C9997" w14:textId="77777777" w:rsidR="00000000" w:rsidRDefault="00527094">
            <w:pPr>
              <w:rPr>
                <w:rFonts w:eastAsia="Times New Roman"/>
                <w:sz w:val="20"/>
                <w:szCs w:val="20"/>
              </w:rPr>
            </w:pPr>
            <w:r>
              <w:rPr>
                <w:rFonts w:eastAsia="Times New Roman"/>
                <w:sz w:val="20"/>
                <w:szCs w:val="20"/>
              </w:rPr>
              <w:t> </w:t>
            </w:r>
          </w:p>
        </w:tc>
        <w:tc>
          <w:tcPr>
            <w:tcW w:w="360" w:type="dxa"/>
            <w:hideMark/>
          </w:tcPr>
          <w:p w14:paraId="4D7D1D7B"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53E0D99D" w14:textId="77777777" w:rsidR="00000000" w:rsidRDefault="00527094">
            <w:pPr>
              <w:pStyle w:val="a3"/>
              <w:spacing w:before="0" w:beforeAutospacing="0" w:after="0" w:afterAutospacing="0"/>
              <w:jc w:val="both"/>
              <w:rPr>
                <w:sz w:val="20"/>
                <w:szCs w:val="20"/>
              </w:rPr>
            </w:pPr>
            <w:r>
              <w:rPr>
                <w:sz w:val="20"/>
                <w:szCs w:val="20"/>
              </w:rPr>
              <w:t>$35.0 million in proceeds from borrowings under the Company’s unsecured revolving credit facility, net; and</w:t>
            </w:r>
          </w:p>
        </w:tc>
      </w:tr>
    </w:tbl>
    <w:p w14:paraId="22B7A947"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9AFBF38" w14:textId="77777777">
        <w:trPr>
          <w:tblCellSpacing w:w="0" w:type="dxa"/>
        </w:trPr>
        <w:tc>
          <w:tcPr>
            <w:tcW w:w="720" w:type="dxa"/>
            <w:vAlign w:val="center"/>
            <w:hideMark/>
          </w:tcPr>
          <w:p w14:paraId="7AE5D930" w14:textId="77777777" w:rsidR="00000000" w:rsidRDefault="00527094">
            <w:pPr>
              <w:rPr>
                <w:rFonts w:eastAsia="Times New Roman"/>
                <w:sz w:val="20"/>
                <w:szCs w:val="20"/>
              </w:rPr>
            </w:pPr>
            <w:r>
              <w:rPr>
                <w:rFonts w:eastAsia="Times New Roman"/>
                <w:sz w:val="20"/>
                <w:szCs w:val="20"/>
              </w:rPr>
              <w:t> </w:t>
            </w:r>
          </w:p>
        </w:tc>
        <w:tc>
          <w:tcPr>
            <w:tcW w:w="360" w:type="dxa"/>
            <w:hideMark/>
          </w:tcPr>
          <w:p w14:paraId="5ECA02D1"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06DAF9D9" w14:textId="77777777" w:rsidR="00000000" w:rsidRDefault="00527094">
            <w:pPr>
              <w:pStyle w:val="a3"/>
              <w:spacing w:before="0" w:beforeAutospacing="0" w:after="0" w:afterAutospacing="0"/>
              <w:jc w:val="both"/>
              <w:rPr>
                <w:sz w:val="20"/>
                <w:szCs w:val="20"/>
              </w:rPr>
            </w:pPr>
            <w:r>
              <w:rPr>
                <w:sz w:val="20"/>
                <w:szCs w:val="20"/>
              </w:rPr>
              <w:t xml:space="preserve">$7.1 million in proceeds from construction loan financing at one </w:t>
            </w:r>
            <w:r>
              <w:rPr>
                <w:sz w:val="20"/>
                <w:szCs w:val="20"/>
              </w:rPr>
              <w:t>development project.</w:t>
            </w:r>
          </w:p>
        </w:tc>
      </w:tr>
    </w:tbl>
    <w:p w14:paraId="06478277" w14:textId="77777777" w:rsidR="00000000" w:rsidRDefault="00527094">
      <w:pPr>
        <w:pStyle w:val="a3"/>
        <w:spacing w:before="0" w:beforeAutospacing="0" w:after="0" w:afterAutospacing="0"/>
        <w:ind w:firstLine="540"/>
        <w:jc w:val="both"/>
        <w:rPr>
          <w:sz w:val="20"/>
          <w:szCs w:val="20"/>
        </w:rPr>
      </w:pPr>
      <w:r>
        <w:rPr>
          <w:i/>
          <w:iCs/>
          <w:sz w:val="20"/>
          <w:szCs w:val="20"/>
        </w:rPr>
        <w:t> </w:t>
      </w:r>
    </w:p>
    <w:p w14:paraId="0064CEC6" w14:textId="77777777" w:rsidR="00000000" w:rsidRDefault="00527094">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5D710B" w14:textId="77777777">
        <w:trPr>
          <w:tblCellSpacing w:w="0" w:type="dxa"/>
        </w:trPr>
        <w:tc>
          <w:tcPr>
            <w:tcW w:w="720" w:type="dxa"/>
            <w:vAlign w:val="center"/>
            <w:hideMark/>
          </w:tcPr>
          <w:p w14:paraId="365D369B" w14:textId="77777777" w:rsidR="00000000" w:rsidRDefault="00527094">
            <w:pPr>
              <w:rPr>
                <w:rFonts w:eastAsia="Times New Roman"/>
                <w:sz w:val="20"/>
                <w:szCs w:val="20"/>
              </w:rPr>
            </w:pPr>
            <w:r>
              <w:rPr>
                <w:rFonts w:eastAsia="Times New Roman"/>
                <w:sz w:val="20"/>
                <w:szCs w:val="20"/>
              </w:rPr>
              <w:t> </w:t>
            </w:r>
          </w:p>
        </w:tc>
        <w:tc>
          <w:tcPr>
            <w:tcW w:w="360" w:type="dxa"/>
            <w:hideMark/>
          </w:tcPr>
          <w:p w14:paraId="3104A663"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1A6FF02B" w14:textId="77777777" w:rsidR="00000000" w:rsidRDefault="00527094">
            <w:pPr>
              <w:pStyle w:val="a3"/>
              <w:spacing w:before="0" w:beforeAutospacing="0" w:after="0" w:afterAutospacing="0"/>
              <w:jc w:val="both"/>
              <w:rPr>
                <w:sz w:val="20"/>
                <w:szCs w:val="20"/>
              </w:rPr>
            </w:pPr>
            <w:r>
              <w:rPr>
                <w:sz w:val="20"/>
                <w:szCs w:val="20"/>
              </w:rPr>
              <w:t>$265.2 million of dividends paid;</w:t>
            </w:r>
          </w:p>
        </w:tc>
      </w:tr>
    </w:tbl>
    <w:p w14:paraId="42C6A184"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23F9540" w14:textId="77777777">
        <w:trPr>
          <w:tblCellSpacing w:w="0" w:type="dxa"/>
        </w:trPr>
        <w:tc>
          <w:tcPr>
            <w:tcW w:w="720" w:type="dxa"/>
            <w:vAlign w:val="center"/>
            <w:hideMark/>
          </w:tcPr>
          <w:p w14:paraId="592F1BB8" w14:textId="77777777" w:rsidR="00000000" w:rsidRDefault="00527094">
            <w:pPr>
              <w:rPr>
                <w:rFonts w:eastAsia="Times New Roman"/>
                <w:sz w:val="20"/>
                <w:szCs w:val="20"/>
              </w:rPr>
            </w:pPr>
            <w:r>
              <w:rPr>
                <w:rFonts w:eastAsia="Times New Roman"/>
                <w:sz w:val="20"/>
                <w:szCs w:val="20"/>
              </w:rPr>
              <w:t> </w:t>
            </w:r>
          </w:p>
        </w:tc>
        <w:tc>
          <w:tcPr>
            <w:tcW w:w="360" w:type="dxa"/>
            <w:hideMark/>
          </w:tcPr>
          <w:p w14:paraId="7F4748B7"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6CBDA3BE" w14:textId="77777777" w:rsidR="00000000" w:rsidRDefault="00527094">
            <w:pPr>
              <w:pStyle w:val="a3"/>
              <w:spacing w:before="0" w:beforeAutospacing="0" w:after="0" w:afterAutospacing="0"/>
              <w:jc w:val="both"/>
              <w:rPr>
                <w:sz w:val="20"/>
                <w:szCs w:val="20"/>
              </w:rPr>
            </w:pPr>
            <w:r>
              <w:rPr>
                <w:sz w:val="20"/>
                <w:szCs w:val="20"/>
              </w:rPr>
              <w:t>$12.4 million for principal payments on debt (related to the repayment of debt on an encumbered property), including normal amortization on rental property debt; and</w:t>
            </w:r>
          </w:p>
        </w:tc>
      </w:tr>
    </w:tbl>
    <w:p w14:paraId="1C4DA160"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FB73C0" w14:textId="77777777">
        <w:trPr>
          <w:tblCellSpacing w:w="0" w:type="dxa"/>
        </w:trPr>
        <w:tc>
          <w:tcPr>
            <w:tcW w:w="720" w:type="dxa"/>
            <w:vAlign w:val="center"/>
            <w:hideMark/>
          </w:tcPr>
          <w:p w14:paraId="6934B3A5" w14:textId="77777777" w:rsidR="00000000" w:rsidRDefault="00527094">
            <w:pPr>
              <w:rPr>
                <w:rFonts w:eastAsia="Times New Roman"/>
                <w:sz w:val="20"/>
                <w:szCs w:val="20"/>
              </w:rPr>
            </w:pPr>
            <w:r>
              <w:rPr>
                <w:rFonts w:eastAsia="Times New Roman"/>
                <w:sz w:val="20"/>
                <w:szCs w:val="20"/>
              </w:rPr>
              <w:t> </w:t>
            </w:r>
          </w:p>
        </w:tc>
        <w:tc>
          <w:tcPr>
            <w:tcW w:w="360" w:type="dxa"/>
            <w:hideMark/>
          </w:tcPr>
          <w:p w14:paraId="25DC9DA1"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1B97F76B" w14:textId="77777777" w:rsidR="00000000" w:rsidRDefault="00527094">
            <w:pPr>
              <w:pStyle w:val="a3"/>
              <w:spacing w:before="0" w:beforeAutospacing="0" w:after="0" w:afterAutospacing="0"/>
              <w:jc w:val="both"/>
              <w:rPr>
                <w:sz w:val="20"/>
                <w:szCs w:val="20"/>
              </w:rPr>
            </w:pPr>
            <w:r>
              <w:rPr>
                <w:sz w:val="20"/>
                <w:szCs w:val="20"/>
              </w:rPr>
              <w:t xml:space="preserve">$4.1 million for the redemption/distribution of noncontrolling interests, primarily </w:t>
            </w:r>
            <w:r>
              <w:rPr>
                <w:sz w:val="20"/>
                <w:szCs w:val="20"/>
              </w:rPr>
              <w:t>related to the redemption of certain partnership interests by consolidated subsidiaries.</w:t>
            </w:r>
          </w:p>
        </w:tc>
      </w:tr>
    </w:tbl>
    <w:p w14:paraId="5C946936" w14:textId="77777777" w:rsidR="00000000" w:rsidRDefault="00527094">
      <w:pPr>
        <w:pStyle w:val="a3"/>
        <w:spacing w:before="0" w:beforeAutospacing="0" w:after="0" w:afterAutospacing="0"/>
        <w:jc w:val="both"/>
        <w:rPr>
          <w:sz w:val="20"/>
          <w:szCs w:val="20"/>
        </w:rPr>
      </w:pPr>
      <w:r>
        <w:rPr>
          <w:sz w:val="20"/>
          <w:szCs w:val="20"/>
        </w:rPr>
        <w:t> </w:t>
      </w:r>
    </w:p>
    <w:p w14:paraId="44951C00" w14:textId="77777777" w:rsidR="00000000" w:rsidRDefault="00527094">
      <w:pPr>
        <w:pStyle w:val="a3"/>
        <w:spacing w:before="0" w:beforeAutospacing="0" w:after="0" w:afterAutospacing="0"/>
        <w:ind w:firstLine="360"/>
        <w:jc w:val="both"/>
        <w:rPr>
          <w:sz w:val="20"/>
          <w:szCs w:val="20"/>
        </w:rPr>
      </w:pPr>
      <w:r>
        <w:rPr>
          <w:sz w:val="20"/>
          <w:szCs w:val="20"/>
        </w:rPr>
        <w:t>Financing activities during 2018 primarily consisted of:</w:t>
      </w:r>
    </w:p>
    <w:p w14:paraId="27600E9C" w14:textId="77777777" w:rsidR="00000000" w:rsidRDefault="00527094">
      <w:pPr>
        <w:pStyle w:val="a3"/>
        <w:spacing w:before="0" w:beforeAutospacing="0" w:after="0" w:afterAutospacing="0"/>
        <w:ind w:firstLine="540"/>
        <w:jc w:val="both"/>
        <w:rPr>
          <w:sz w:val="20"/>
          <w:szCs w:val="20"/>
        </w:rPr>
      </w:pPr>
      <w:r>
        <w:rPr>
          <w:i/>
          <w:iCs/>
          <w:sz w:val="20"/>
          <w:szCs w:val="20"/>
        </w:rPr>
        <w:t> </w:t>
      </w:r>
    </w:p>
    <w:p w14:paraId="2B1D2BA6" w14:textId="77777777" w:rsidR="00000000" w:rsidRDefault="00527094">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B69D519" w14:textId="77777777">
        <w:trPr>
          <w:tblCellSpacing w:w="0" w:type="dxa"/>
        </w:trPr>
        <w:tc>
          <w:tcPr>
            <w:tcW w:w="720" w:type="dxa"/>
            <w:vAlign w:val="center"/>
            <w:hideMark/>
          </w:tcPr>
          <w:p w14:paraId="192042E5" w14:textId="77777777" w:rsidR="00000000" w:rsidRDefault="00527094">
            <w:pPr>
              <w:rPr>
                <w:rFonts w:eastAsia="Times New Roman"/>
                <w:sz w:val="20"/>
                <w:szCs w:val="20"/>
              </w:rPr>
            </w:pPr>
            <w:r>
              <w:rPr>
                <w:rFonts w:eastAsia="Times New Roman"/>
                <w:sz w:val="20"/>
                <w:szCs w:val="20"/>
              </w:rPr>
              <w:t> </w:t>
            </w:r>
          </w:p>
        </w:tc>
        <w:tc>
          <w:tcPr>
            <w:tcW w:w="360" w:type="dxa"/>
            <w:hideMark/>
          </w:tcPr>
          <w:p w14:paraId="05B2F887"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3DF50266" w14:textId="77777777" w:rsidR="00000000" w:rsidRDefault="00527094">
            <w:pPr>
              <w:pStyle w:val="a3"/>
              <w:spacing w:before="0" w:beforeAutospacing="0" w:after="0" w:afterAutospacing="0"/>
              <w:jc w:val="both"/>
              <w:rPr>
                <w:sz w:val="20"/>
                <w:szCs w:val="20"/>
              </w:rPr>
            </w:pPr>
            <w:r>
              <w:rPr>
                <w:sz w:val="20"/>
                <w:szCs w:val="20"/>
              </w:rPr>
              <w:t>$33.1 million in proceeds primarily from the exercise of the Class M Preferred Stock over-allotment option.</w:t>
            </w:r>
          </w:p>
        </w:tc>
      </w:tr>
    </w:tbl>
    <w:p w14:paraId="26211C51" w14:textId="77777777" w:rsidR="00000000" w:rsidRDefault="00527094">
      <w:pPr>
        <w:pStyle w:val="a3"/>
        <w:spacing w:before="0" w:beforeAutospacing="0" w:after="0" w:afterAutospacing="0"/>
        <w:ind w:firstLine="540"/>
        <w:jc w:val="both"/>
        <w:rPr>
          <w:sz w:val="20"/>
          <w:szCs w:val="20"/>
        </w:rPr>
      </w:pPr>
      <w:r>
        <w:rPr>
          <w:i/>
          <w:iCs/>
          <w:sz w:val="20"/>
          <w:szCs w:val="20"/>
        </w:rPr>
        <w:t> </w:t>
      </w:r>
    </w:p>
    <w:p w14:paraId="5F480932" w14:textId="77777777" w:rsidR="00000000" w:rsidRDefault="00527094">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8704949" w14:textId="77777777">
        <w:trPr>
          <w:tblCellSpacing w:w="0" w:type="dxa"/>
        </w:trPr>
        <w:tc>
          <w:tcPr>
            <w:tcW w:w="720" w:type="dxa"/>
            <w:vAlign w:val="center"/>
            <w:hideMark/>
          </w:tcPr>
          <w:p w14:paraId="69959EB9" w14:textId="77777777" w:rsidR="00000000" w:rsidRDefault="00527094">
            <w:pPr>
              <w:rPr>
                <w:rFonts w:eastAsia="Times New Roman"/>
                <w:sz w:val="20"/>
                <w:szCs w:val="20"/>
              </w:rPr>
            </w:pPr>
            <w:r>
              <w:rPr>
                <w:rFonts w:eastAsia="Times New Roman"/>
                <w:sz w:val="20"/>
                <w:szCs w:val="20"/>
              </w:rPr>
              <w:t> </w:t>
            </w:r>
          </w:p>
        </w:tc>
        <w:tc>
          <w:tcPr>
            <w:tcW w:w="360" w:type="dxa"/>
            <w:hideMark/>
          </w:tcPr>
          <w:p w14:paraId="2BF71E10"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42491325" w14:textId="77777777" w:rsidR="00000000" w:rsidRDefault="00527094">
            <w:pPr>
              <w:pStyle w:val="a3"/>
              <w:spacing w:before="0" w:beforeAutospacing="0" w:after="0" w:afterAutospacing="0"/>
              <w:jc w:val="both"/>
              <w:rPr>
                <w:sz w:val="20"/>
                <w:szCs w:val="20"/>
              </w:rPr>
            </w:pPr>
            <w:r>
              <w:rPr>
                <w:sz w:val="20"/>
                <w:szCs w:val="20"/>
              </w:rPr>
              <w:t>$264.7 million of dividends paid;</w:t>
            </w:r>
          </w:p>
        </w:tc>
      </w:tr>
    </w:tbl>
    <w:p w14:paraId="56B83D00"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64CFF7A" w14:textId="77777777">
        <w:trPr>
          <w:tblCellSpacing w:w="0" w:type="dxa"/>
        </w:trPr>
        <w:tc>
          <w:tcPr>
            <w:tcW w:w="720" w:type="dxa"/>
            <w:vAlign w:val="center"/>
            <w:hideMark/>
          </w:tcPr>
          <w:p w14:paraId="75090DC7" w14:textId="77777777" w:rsidR="00000000" w:rsidRDefault="00527094">
            <w:pPr>
              <w:rPr>
                <w:rFonts w:eastAsia="Times New Roman"/>
                <w:sz w:val="20"/>
                <w:szCs w:val="20"/>
              </w:rPr>
            </w:pPr>
            <w:r>
              <w:rPr>
                <w:rFonts w:eastAsia="Times New Roman"/>
                <w:sz w:val="20"/>
                <w:szCs w:val="20"/>
              </w:rPr>
              <w:t> </w:t>
            </w:r>
          </w:p>
        </w:tc>
        <w:tc>
          <w:tcPr>
            <w:tcW w:w="360" w:type="dxa"/>
            <w:hideMark/>
          </w:tcPr>
          <w:p w14:paraId="776270E5"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1691E6B9" w14:textId="77777777" w:rsidR="00000000" w:rsidRDefault="00527094">
            <w:pPr>
              <w:pStyle w:val="a3"/>
              <w:spacing w:before="0" w:beforeAutospacing="0" w:after="0" w:afterAutospacing="0"/>
              <w:jc w:val="both"/>
              <w:rPr>
                <w:sz w:val="20"/>
                <w:szCs w:val="20"/>
              </w:rPr>
            </w:pPr>
            <w:r>
              <w:rPr>
                <w:sz w:val="20"/>
                <w:szCs w:val="20"/>
              </w:rPr>
              <w:t>$182.1 million for principal payments on debt (related to the repayment of debt on four encumbered properties), including normal amortization on rental property debt;</w:t>
            </w:r>
          </w:p>
        </w:tc>
      </w:tr>
    </w:tbl>
    <w:p w14:paraId="02F1D4F9"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0465FBB" w14:textId="77777777">
        <w:trPr>
          <w:tblCellSpacing w:w="0" w:type="dxa"/>
        </w:trPr>
        <w:tc>
          <w:tcPr>
            <w:tcW w:w="720" w:type="dxa"/>
            <w:vAlign w:val="center"/>
            <w:hideMark/>
          </w:tcPr>
          <w:p w14:paraId="12840C6E" w14:textId="77777777" w:rsidR="00000000" w:rsidRDefault="00527094">
            <w:pPr>
              <w:rPr>
                <w:rFonts w:eastAsia="Times New Roman"/>
                <w:sz w:val="20"/>
                <w:szCs w:val="20"/>
              </w:rPr>
            </w:pPr>
            <w:r>
              <w:rPr>
                <w:rFonts w:eastAsia="Times New Roman"/>
                <w:sz w:val="20"/>
                <w:szCs w:val="20"/>
              </w:rPr>
              <w:t> </w:t>
            </w:r>
          </w:p>
        </w:tc>
        <w:tc>
          <w:tcPr>
            <w:tcW w:w="360" w:type="dxa"/>
            <w:hideMark/>
          </w:tcPr>
          <w:p w14:paraId="6EDDA5BC"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482C22F8" w14:textId="77777777" w:rsidR="00000000" w:rsidRDefault="00527094">
            <w:pPr>
              <w:pStyle w:val="a3"/>
              <w:spacing w:before="0" w:beforeAutospacing="0" w:after="0" w:afterAutospacing="0"/>
              <w:jc w:val="both"/>
              <w:rPr>
                <w:sz w:val="20"/>
                <w:szCs w:val="20"/>
              </w:rPr>
            </w:pPr>
            <w:r>
              <w:rPr>
                <w:sz w:val="20"/>
                <w:szCs w:val="20"/>
              </w:rPr>
              <w:t>$75.1 million for the repurchase of common stock;</w:t>
            </w:r>
          </w:p>
        </w:tc>
      </w:tr>
    </w:tbl>
    <w:p w14:paraId="06D36865"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C84B504" w14:textId="77777777">
        <w:trPr>
          <w:tblCellSpacing w:w="0" w:type="dxa"/>
        </w:trPr>
        <w:tc>
          <w:tcPr>
            <w:tcW w:w="720" w:type="dxa"/>
            <w:vAlign w:val="center"/>
            <w:hideMark/>
          </w:tcPr>
          <w:p w14:paraId="7758ADE6" w14:textId="77777777" w:rsidR="00000000" w:rsidRDefault="00527094">
            <w:pPr>
              <w:rPr>
                <w:rFonts w:eastAsia="Times New Roman"/>
                <w:sz w:val="20"/>
                <w:szCs w:val="20"/>
              </w:rPr>
            </w:pPr>
            <w:r>
              <w:rPr>
                <w:rFonts w:eastAsia="Times New Roman"/>
                <w:sz w:val="20"/>
                <w:szCs w:val="20"/>
              </w:rPr>
              <w:t> </w:t>
            </w:r>
          </w:p>
        </w:tc>
        <w:tc>
          <w:tcPr>
            <w:tcW w:w="360" w:type="dxa"/>
            <w:hideMark/>
          </w:tcPr>
          <w:p w14:paraId="20144E23"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460658AD" w14:textId="77777777" w:rsidR="00000000" w:rsidRDefault="00527094">
            <w:pPr>
              <w:pStyle w:val="a3"/>
              <w:spacing w:before="0" w:beforeAutospacing="0" w:after="0" w:afterAutospacing="0"/>
              <w:jc w:val="both"/>
              <w:rPr>
                <w:sz w:val="20"/>
                <w:szCs w:val="20"/>
              </w:rPr>
            </w:pPr>
            <w:r>
              <w:rPr>
                <w:sz w:val="20"/>
                <w:szCs w:val="20"/>
              </w:rPr>
              <w:t>$14.1 million for repayment</w:t>
            </w:r>
            <w:r>
              <w:rPr>
                <w:sz w:val="20"/>
                <w:szCs w:val="20"/>
              </w:rPr>
              <w:t>s of unsecured revolving credit facility, net and partial repayment of Senior Unsecured Notes; and</w:t>
            </w:r>
          </w:p>
        </w:tc>
      </w:tr>
    </w:tbl>
    <w:p w14:paraId="0A21684C"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3AE5736" w14:textId="77777777">
        <w:trPr>
          <w:tblCellSpacing w:w="0" w:type="dxa"/>
        </w:trPr>
        <w:tc>
          <w:tcPr>
            <w:tcW w:w="720" w:type="dxa"/>
            <w:vAlign w:val="center"/>
            <w:hideMark/>
          </w:tcPr>
          <w:p w14:paraId="3EAAD93E" w14:textId="77777777" w:rsidR="00000000" w:rsidRDefault="00527094">
            <w:pPr>
              <w:rPr>
                <w:rFonts w:eastAsia="Times New Roman"/>
                <w:sz w:val="20"/>
                <w:szCs w:val="20"/>
              </w:rPr>
            </w:pPr>
            <w:r>
              <w:rPr>
                <w:rFonts w:eastAsia="Times New Roman"/>
                <w:sz w:val="20"/>
                <w:szCs w:val="20"/>
              </w:rPr>
              <w:t> </w:t>
            </w:r>
          </w:p>
        </w:tc>
        <w:tc>
          <w:tcPr>
            <w:tcW w:w="360" w:type="dxa"/>
            <w:hideMark/>
          </w:tcPr>
          <w:p w14:paraId="3B5CEAC1" w14:textId="77777777" w:rsidR="00000000" w:rsidRDefault="00527094">
            <w:pPr>
              <w:pStyle w:val="a3"/>
              <w:spacing w:before="0" w:beforeAutospacing="0" w:after="0" w:afterAutospacing="0"/>
              <w:jc w:val="both"/>
              <w:rPr>
                <w:sz w:val="20"/>
                <w:szCs w:val="20"/>
              </w:rPr>
            </w:pPr>
            <w:r>
              <w:rPr>
                <w:sz w:val="20"/>
                <w:szCs w:val="20"/>
              </w:rPr>
              <w:t>●</w:t>
            </w:r>
          </w:p>
        </w:tc>
        <w:tc>
          <w:tcPr>
            <w:tcW w:w="0" w:type="auto"/>
            <w:hideMark/>
          </w:tcPr>
          <w:p w14:paraId="76A6AFAC" w14:textId="77777777" w:rsidR="00000000" w:rsidRDefault="00527094">
            <w:pPr>
              <w:pStyle w:val="a3"/>
              <w:spacing w:before="0" w:beforeAutospacing="0" w:after="0" w:afterAutospacing="0"/>
              <w:jc w:val="both"/>
              <w:rPr>
                <w:sz w:val="20"/>
                <w:szCs w:val="20"/>
              </w:rPr>
            </w:pPr>
            <w:r>
              <w:rPr>
                <w:sz w:val="20"/>
                <w:szCs w:val="20"/>
              </w:rPr>
              <w:t>$5.5 million for redemption/distribution of noncontrolling interests, primarily related to the redemption of certain partnership units by consolidated subsidiaries.</w:t>
            </w:r>
          </w:p>
        </w:tc>
      </w:tr>
    </w:tbl>
    <w:p w14:paraId="0254AB08" w14:textId="77777777" w:rsidR="00000000" w:rsidRDefault="00527094">
      <w:pPr>
        <w:pStyle w:val="a3"/>
        <w:spacing w:before="0" w:beforeAutospacing="0" w:after="0" w:afterAutospacing="0"/>
        <w:ind w:left="720"/>
        <w:rPr>
          <w:sz w:val="20"/>
          <w:szCs w:val="20"/>
        </w:rPr>
      </w:pPr>
      <w:r>
        <w:rPr>
          <w:sz w:val="20"/>
          <w:szCs w:val="20"/>
        </w:rPr>
        <w:t> </w:t>
      </w:r>
    </w:p>
    <w:p w14:paraId="0532017D" w14:textId="77777777" w:rsidR="00000000" w:rsidRDefault="00527094">
      <w:pPr>
        <w:pStyle w:val="a3"/>
        <w:spacing w:before="0" w:beforeAutospacing="0" w:after="0" w:afterAutospacing="0"/>
        <w:ind w:firstLine="360"/>
        <w:jc w:val="both"/>
        <w:rPr>
          <w:sz w:val="20"/>
          <w:szCs w:val="20"/>
        </w:rPr>
      </w:pPr>
      <w:r>
        <w:rPr>
          <w:sz w:val="20"/>
          <w:szCs w:val="20"/>
        </w:rPr>
        <w:t>The Company continually evaluates its debt maturities, and, based on management’s curren</w:t>
      </w:r>
      <w:r>
        <w:rPr>
          <w:sz w:val="20"/>
          <w:szCs w:val="20"/>
        </w:rPr>
        <w:t>t assessment, believes it has viable financing and refinancing alternatives that will not materially adversely impact its expected financial results. The Company continues to pursue borrowing opportunities with large commercial U.S. and global banks, selec</w:t>
      </w:r>
      <w:r>
        <w:rPr>
          <w:sz w:val="20"/>
          <w:szCs w:val="20"/>
        </w:rPr>
        <w:t>t life insurance companies and certain regional and local banks. The Company has noticed a continuing trend that, although pricing remains dependent on specific deal terms, generally spreads for non-recourse mortgage and construction loan financing have st</w:t>
      </w:r>
      <w:r>
        <w:rPr>
          <w:sz w:val="20"/>
          <w:szCs w:val="20"/>
        </w:rPr>
        <w:t>abilized, and the unsecured debt markets are functioning well with credit spreads at manageable levels.</w:t>
      </w:r>
    </w:p>
    <w:p w14:paraId="6A6FD900" w14:textId="77777777" w:rsidR="00000000" w:rsidRDefault="00527094">
      <w:pPr>
        <w:pStyle w:val="a3"/>
        <w:spacing w:before="0" w:beforeAutospacing="0" w:after="0" w:afterAutospacing="0"/>
        <w:ind w:firstLine="360"/>
        <w:jc w:val="both"/>
        <w:rPr>
          <w:sz w:val="20"/>
          <w:szCs w:val="20"/>
        </w:rPr>
      </w:pPr>
      <w:r>
        <w:rPr>
          <w:sz w:val="20"/>
          <w:szCs w:val="20"/>
        </w:rPr>
        <w:t> </w:t>
      </w:r>
    </w:p>
    <w:p w14:paraId="5FE4B57F" w14:textId="77777777" w:rsidR="00000000" w:rsidRDefault="00527094">
      <w:pPr>
        <w:jc w:val="center"/>
        <w:divId w:val="1301761653"/>
        <w:rPr>
          <w:rFonts w:eastAsia="Times New Roman"/>
          <w:sz w:val="20"/>
          <w:szCs w:val="20"/>
        </w:rPr>
      </w:pPr>
      <w:r>
        <w:rPr>
          <w:rFonts w:eastAsia="Times New Roman"/>
          <w:sz w:val="20"/>
          <w:szCs w:val="20"/>
        </w:rPr>
        <w:t xml:space="preserve">28 </w:t>
      </w:r>
    </w:p>
    <w:p w14:paraId="6413B841" w14:textId="77777777" w:rsidR="00000000" w:rsidRDefault="00527094">
      <w:pPr>
        <w:divId w:val="1301761653"/>
        <w:rPr>
          <w:rFonts w:eastAsia="Times New Roman"/>
          <w:sz w:val="20"/>
          <w:szCs w:val="20"/>
        </w:rPr>
      </w:pPr>
      <w:r>
        <w:rPr>
          <w:rFonts w:eastAsia="Times New Roman"/>
          <w:sz w:val="20"/>
          <w:szCs w:val="20"/>
        </w:rPr>
        <w:pict w14:anchorId="63992BB7">
          <v:rect id="_x0000_i1056" style="width:0;height:1.5pt" o:hralign="center" o:hrstd="t" o:hr="t" fillcolor="#a0a0a0" stroked="f"/>
        </w:pict>
      </w:r>
    </w:p>
    <w:p w14:paraId="63907DC3" w14:textId="77777777" w:rsidR="00000000" w:rsidRDefault="00527094">
      <w:pPr>
        <w:divId w:val="13017616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9358E1D" w14:textId="77777777" w:rsidR="00000000" w:rsidRDefault="00527094">
      <w:pPr>
        <w:pStyle w:val="a3"/>
        <w:spacing w:before="0" w:beforeAutospacing="0" w:after="0" w:afterAutospacing="0"/>
        <w:rPr>
          <w:sz w:val="20"/>
          <w:szCs w:val="20"/>
        </w:rPr>
      </w:pPr>
      <w:r>
        <w:rPr>
          <w:sz w:val="20"/>
          <w:szCs w:val="20"/>
        </w:rPr>
        <w:t> </w:t>
      </w:r>
    </w:p>
    <w:p w14:paraId="5699B411" w14:textId="77777777" w:rsidR="00000000" w:rsidRDefault="00527094">
      <w:pPr>
        <w:pStyle w:val="a3"/>
        <w:spacing w:before="0" w:beforeAutospacing="0" w:after="0" w:afterAutospacing="0"/>
        <w:ind w:firstLine="360"/>
        <w:jc w:val="both"/>
        <w:rPr>
          <w:sz w:val="20"/>
          <w:szCs w:val="20"/>
        </w:rPr>
      </w:pPr>
      <w:r>
        <w:rPr>
          <w:sz w:val="20"/>
          <w:szCs w:val="20"/>
        </w:rPr>
        <w:t>Debt maturities for 2019 consist of: $26.9 million of unconsoli</w:t>
      </w:r>
      <w:r>
        <w:rPr>
          <w:sz w:val="20"/>
          <w:szCs w:val="20"/>
        </w:rPr>
        <w:t>dated joint venture debt and $5.3 million of debt included in the Company’s Preferred Equity Program, assuming the utilization of extension options where available. These debt maturities are anticipated to be repaid through operating cash flows, debt refin</w:t>
      </w:r>
      <w:r>
        <w:rPr>
          <w:sz w:val="20"/>
          <w:szCs w:val="20"/>
        </w:rPr>
        <w:t>ancing, unsecured credit facilities, proceeds from sales and partner capital contributions, as deemed appropriate.</w:t>
      </w:r>
    </w:p>
    <w:p w14:paraId="619DDF98" w14:textId="77777777" w:rsidR="00000000" w:rsidRDefault="00527094">
      <w:pPr>
        <w:pStyle w:val="a3"/>
        <w:spacing w:before="0" w:beforeAutospacing="0" w:after="0" w:afterAutospacing="0"/>
        <w:ind w:firstLine="360"/>
        <w:jc w:val="both"/>
        <w:rPr>
          <w:sz w:val="20"/>
          <w:szCs w:val="20"/>
        </w:rPr>
      </w:pPr>
      <w:r>
        <w:rPr>
          <w:sz w:val="20"/>
          <w:szCs w:val="20"/>
        </w:rPr>
        <w:t> </w:t>
      </w:r>
    </w:p>
    <w:p w14:paraId="0097A7E2" w14:textId="77777777" w:rsidR="00000000" w:rsidRDefault="00527094">
      <w:pPr>
        <w:pStyle w:val="a3"/>
        <w:spacing w:before="0" w:beforeAutospacing="0" w:after="0" w:afterAutospacing="0"/>
        <w:ind w:firstLine="360"/>
        <w:jc w:val="both"/>
        <w:rPr>
          <w:sz w:val="20"/>
          <w:szCs w:val="20"/>
        </w:rPr>
      </w:pPr>
      <w:r>
        <w:rPr>
          <w:sz w:val="20"/>
          <w:szCs w:val="20"/>
        </w:rPr>
        <w:t>The Company intends to maintain strong debt service coverage and fixed charge coverage ratios as part of its commitment to maintain its inv</w:t>
      </w:r>
      <w:r>
        <w:rPr>
          <w:sz w:val="20"/>
          <w:szCs w:val="20"/>
        </w:rPr>
        <w:t>estment-grade senior, unsecured debt ratings.  The Company may, from time-to-time, seek to obtain funds through additional common and preferred equity offerings, unsecured debt financings, mortgages and/or construction loan financing and other capital alte</w:t>
      </w:r>
      <w:r>
        <w:rPr>
          <w:sz w:val="20"/>
          <w:szCs w:val="20"/>
        </w:rPr>
        <w:t>rnatives.</w:t>
      </w:r>
    </w:p>
    <w:p w14:paraId="55103E86" w14:textId="77777777" w:rsidR="00000000" w:rsidRDefault="00527094">
      <w:pPr>
        <w:pStyle w:val="a3"/>
        <w:spacing w:before="0" w:beforeAutospacing="0" w:after="0" w:afterAutospacing="0"/>
        <w:ind w:firstLine="360"/>
        <w:jc w:val="both"/>
        <w:rPr>
          <w:sz w:val="20"/>
          <w:szCs w:val="20"/>
        </w:rPr>
      </w:pPr>
      <w:r>
        <w:rPr>
          <w:sz w:val="20"/>
          <w:szCs w:val="20"/>
        </w:rPr>
        <w:t> </w:t>
      </w:r>
    </w:p>
    <w:p w14:paraId="6B3B8813" w14:textId="77777777" w:rsidR="00000000" w:rsidRDefault="00527094">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debt and equity markets as its principal source of capital for its expansion needs. Since the IPO, the Company has completed additional offerings of its publ</w:t>
      </w:r>
      <w:r>
        <w:rPr>
          <w:sz w:val="20"/>
          <w:szCs w:val="20"/>
        </w:rPr>
        <w:t>ic unsecured debt and equity, raising in the aggregate over $13.8 billion.  Proceeds from public capital market activities have been used for the purposes of, among other things, repaying indebtedness, acquiring interests in open-air shopping centers, fund</w:t>
      </w:r>
      <w:r>
        <w:rPr>
          <w:sz w:val="20"/>
          <w:szCs w:val="20"/>
        </w:rPr>
        <w:t>ing real estate under development projects, expanding and improving properties in the portfolio and other investments.</w:t>
      </w:r>
    </w:p>
    <w:p w14:paraId="65E02DB2" w14:textId="77777777" w:rsidR="00000000" w:rsidRDefault="00527094">
      <w:pPr>
        <w:pStyle w:val="a3"/>
        <w:spacing w:before="0" w:beforeAutospacing="0" w:after="0" w:afterAutospacing="0"/>
        <w:ind w:firstLine="360"/>
        <w:jc w:val="both"/>
        <w:rPr>
          <w:sz w:val="20"/>
          <w:szCs w:val="20"/>
        </w:rPr>
      </w:pPr>
      <w:r>
        <w:rPr>
          <w:sz w:val="20"/>
          <w:szCs w:val="20"/>
        </w:rPr>
        <w:t> </w:t>
      </w:r>
    </w:p>
    <w:p w14:paraId="6445FBF9" w14:textId="77777777" w:rsidR="00000000" w:rsidRDefault="00527094">
      <w:pPr>
        <w:pStyle w:val="a3"/>
        <w:spacing w:before="0" w:beforeAutospacing="0" w:after="0" w:afterAutospacing="0"/>
        <w:ind w:firstLine="360"/>
        <w:jc w:val="both"/>
        <w:rPr>
          <w:sz w:val="20"/>
          <w:szCs w:val="20"/>
        </w:rPr>
      </w:pPr>
      <w:r>
        <w:rPr>
          <w:sz w:val="20"/>
          <w:szCs w:val="20"/>
        </w:rPr>
        <w:t>During February 2018, the Company filed a shelf registration statement on Form S-3, which is effective for a term of three years, for t</w:t>
      </w:r>
      <w:r>
        <w:rPr>
          <w:sz w:val="20"/>
          <w:szCs w:val="20"/>
        </w:rPr>
        <w:t>he future unlimited offerings, from time-to-time, of debt securities, preferred stock, depositary shares, common stock and common stock warrants. The Company, pursuant to this shelf registration statement may, from time-to-time, offer for sale its senior u</w:t>
      </w:r>
      <w:r>
        <w:rPr>
          <w:sz w:val="20"/>
          <w:szCs w:val="20"/>
        </w:rPr>
        <w:t>nsecured debt for any general corporate purposes, including (i) funding specific liquidity requirements in its business, including property acquisitions, development and redevelopment costs and (ii) managing the Company’s debt maturities.</w:t>
      </w:r>
    </w:p>
    <w:p w14:paraId="6BE07864" w14:textId="77777777" w:rsidR="00000000" w:rsidRDefault="00527094">
      <w:pPr>
        <w:pStyle w:val="a3"/>
        <w:spacing w:before="0" w:beforeAutospacing="0" w:after="0" w:afterAutospacing="0"/>
        <w:jc w:val="both"/>
        <w:rPr>
          <w:sz w:val="20"/>
          <w:szCs w:val="20"/>
        </w:rPr>
      </w:pPr>
      <w:r>
        <w:rPr>
          <w:sz w:val="20"/>
          <w:szCs w:val="20"/>
        </w:rPr>
        <w:t> </w:t>
      </w:r>
    </w:p>
    <w:p w14:paraId="1D77749D" w14:textId="77777777" w:rsidR="00000000" w:rsidRDefault="00527094">
      <w:pPr>
        <w:pStyle w:val="a3"/>
        <w:spacing w:before="0" w:beforeAutospacing="0" w:after="0" w:afterAutospacing="0"/>
        <w:jc w:val="both"/>
        <w:rPr>
          <w:sz w:val="20"/>
          <w:szCs w:val="20"/>
        </w:rPr>
      </w:pPr>
      <w:r>
        <w:rPr>
          <w:i/>
          <w:iCs/>
          <w:sz w:val="20"/>
          <w:szCs w:val="20"/>
        </w:rPr>
        <w:t>Common Stock –</w:t>
      </w:r>
    </w:p>
    <w:p w14:paraId="0AC16E40" w14:textId="77777777" w:rsidR="00000000" w:rsidRDefault="00527094">
      <w:pPr>
        <w:pStyle w:val="a3"/>
        <w:spacing w:before="0" w:beforeAutospacing="0" w:after="0" w:afterAutospacing="0"/>
        <w:jc w:val="both"/>
        <w:rPr>
          <w:sz w:val="20"/>
          <w:szCs w:val="20"/>
        </w:rPr>
      </w:pPr>
      <w:r>
        <w:rPr>
          <w:i/>
          <w:iCs/>
          <w:sz w:val="20"/>
          <w:szCs w:val="20"/>
        </w:rPr>
        <w:t> </w:t>
      </w:r>
    </w:p>
    <w:p w14:paraId="39AF3E1B" w14:textId="77777777" w:rsidR="00000000" w:rsidRDefault="00527094">
      <w:pPr>
        <w:pStyle w:val="a3"/>
        <w:spacing w:before="0" w:beforeAutospacing="0" w:after="0" w:afterAutospacing="0"/>
        <w:ind w:firstLine="360"/>
        <w:jc w:val="both"/>
        <w:rPr>
          <w:sz w:val="20"/>
          <w:szCs w:val="20"/>
        </w:rPr>
      </w:pPr>
      <w:r>
        <w:rPr>
          <w:sz w:val="20"/>
          <w:szCs w:val="20"/>
        </w:rPr>
        <w:t>During February 2018, the Company’s Board of Directors authorized a share repurchase program, which is effective for a term of two years, pursuant to which the Company may repurchase shares of its common stock, par value $0.01 per share, w</w:t>
      </w:r>
      <w:r>
        <w:rPr>
          <w:sz w:val="20"/>
          <w:szCs w:val="20"/>
        </w:rPr>
        <w:t xml:space="preserve">ith an aggregate gross purchase price of up to $300.0 million. The Company did not repurchase any shares under the share repurchase program during the six months ended June 30, 2019. As of June 30, 2019, the Company had $224.9 million available under this </w:t>
      </w:r>
      <w:r>
        <w:rPr>
          <w:sz w:val="20"/>
          <w:szCs w:val="20"/>
        </w:rPr>
        <w:t>common share repurchase program.</w:t>
      </w:r>
    </w:p>
    <w:p w14:paraId="12EE55C6" w14:textId="77777777" w:rsidR="00000000" w:rsidRDefault="00527094">
      <w:pPr>
        <w:pStyle w:val="a3"/>
        <w:spacing w:before="0" w:beforeAutospacing="0" w:after="0" w:afterAutospacing="0"/>
        <w:jc w:val="both"/>
        <w:rPr>
          <w:sz w:val="20"/>
          <w:szCs w:val="20"/>
        </w:rPr>
      </w:pPr>
      <w:r>
        <w:rPr>
          <w:i/>
          <w:iCs/>
          <w:sz w:val="20"/>
          <w:szCs w:val="20"/>
        </w:rPr>
        <w:t> </w:t>
      </w:r>
    </w:p>
    <w:p w14:paraId="5C5D36BD" w14:textId="77777777" w:rsidR="00000000" w:rsidRDefault="00527094">
      <w:pPr>
        <w:pStyle w:val="a3"/>
        <w:spacing w:before="0" w:beforeAutospacing="0" w:after="0" w:afterAutospacing="0"/>
        <w:jc w:val="both"/>
        <w:rPr>
          <w:sz w:val="20"/>
          <w:szCs w:val="20"/>
        </w:rPr>
      </w:pPr>
      <w:r>
        <w:rPr>
          <w:i/>
          <w:iCs/>
          <w:sz w:val="20"/>
          <w:szCs w:val="20"/>
        </w:rPr>
        <w:t>Senior Notes –</w:t>
      </w:r>
    </w:p>
    <w:p w14:paraId="7F09D822" w14:textId="77777777" w:rsidR="00000000" w:rsidRDefault="00527094">
      <w:pPr>
        <w:pStyle w:val="a3"/>
        <w:spacing w:before="0" w:beforeAutospacing="0" w:after="0" w:afterAutospacing="0"/>
        <w:jc w:val="both"/>
        <w:rPr>
          <w:sz w:val="20"/>
          <w:szCs w:val="20"/>
        </w:rPr>
      </w:pPr>
      <w:r>
        <w:rPr>
          <w:sz w:val="20"/>
          <w:szCs w:val="20"/>
        </w:rPr>
        <w:t> </w:t>
      </w:r>
    </w:p>
    <w:p w14:paraId="37B58AA3" w14:textId="77777777" w:rsidR="00000000" w:rsidRDefault="00527094">
      <w:pPr>
        <w:pStyle w:val="a3"/>
        <w:spacing w:before="0" w:beforeAutospacing="0" w:after="0" w:afterAutospacing="0"/>
        <w:ind w:firstLine="360"/>
        <w:jc w:val="both"/>
        <w:rPr>
          <w:sz w:val="20"/>
          <w:szCs w:val="20"/>
        </w:rPr>
      </w:pPr>
      <w:r>
        <w:rPr>
          <w:sz w:val="20"/>
          <w:szCs w:val="20"/>
        </w:rPr>
        <w:t>The Company’s supplemental indenture governing its senior notes contains the following covenants, all of which the Company is compliant with:</w:t>
      </w:r>
    </w:p>
    <w:p w14:paraId="4A945379" w14:textId="77777777" w:rsidR="00000000" w:rsidRDefault="00527094">
      <w:pPr>
        <w:pStyle w:val="a3"/>
        <w:spacing w:before="0" w:beforeAutospacing="0" w:after="0" w:afterAutospacing="0"/>
        <w:ind w:firstLine="36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971"/>
        <w:gridCol w:w="237"/>
        <w:gridCol w:w="789"/>
        <w:gridCol w:w="237"/>
        <w:gridCol w:w="1657"/>
      </w:tblGrid>
      <w:tr w:rsidR="00000000" w14:paraId="4E9A7E21" w14:textId="77777777">
        <w:trPr>
          <w:tblCellSpacing w:w="0" w:type="dxa"/>
        </w:trPr>
        <w:tc>
          <w:tcPr>
            <w:tcW w:w="3150" w:type="pct"/>
            <w:tcBorders>
              <w:bottom w:val="single" w:sz="6" w:space="0" w:color="000000"/>
            </w:tcBorders>
            <w:vAlign w:val="bottom"/>
            <w:hideMark/>
          </w:tcPr>
          <w:p w14:paraId="37533501" w14:textId="77777777" w:rsidR="00000000" w:rsidRDefault="00527094">
            <w:pPr>
              <w:pStyle w:val="a3"/>
              <w:spacing w:before="0" w:beforeAutospacing="0" w:after="0" w:afterAutospacing="0"/>
              <w:jc w:val="center"/>
              <w:rPr>
                <w:sz w:val="20"/>
                <w:szCs w:val="20"/>
              </w:rPr>
            </w:pPr>
            <w:r>
              <w:rPr>
                <w:b/>
                <w:bCs/>
                <w:sz w:val="20"/>
                <w:szCs w:val="20"/>
              </w:rPr>
              <w:t>Covenant</w:t>
            </w:r>
          </w:p>
        </w:tc>
        <w:tc>
          <w:tcPr>
            <w:tcW w:w="150" w:type="pct"/>
            <w:vAlign w:val="bottom"/>
            <w:hideMark/>
          </w:tcPr>
          <w:p w14:paraId="0E253E5C" w14:textId="77777777" w:rsidR="00000000" w:rsidRDefault="00527094">
            <w:pPr>
              <w:jc w:val="center"/>
              <w:rPr>
                <w:rFonts w:eastAsia="Times New Roman"/>
                <w:sz w:val="20"/>
                <w:szCs w:val="20"/>
              </w:rPr>
            </w:pPr>
            <w:r>
              <w:rPr>
                <w:rFonts w:eastAsia="Times New Roman"/>
                <w:sz w:val="20"/>
                <w:szCs w:val="20"/>
              </w:rPr>
              <w:t> </w:t>
            </w:r>
          </w:p>
        </w:tc>
        <w:tc>
          <w:tcPr>
            <w:tcW w:w="500" w:type="pct"/>
            <w:tcBorders>
              <w:bottom w:val="single" w:sz="6" w:space="0" w:color="000000"/>
            </w:tcBorders>
            <w:vAlign w:val="bottom"/>
            <w:hideMark/>
          </w:tcPr>
          <w:p w14:paraId="45D5FE7A" w14:textId="77777777" w:rsidR="00000000" w:rsidRDefault="00527094">
            <w:pPr>
              <w:pStyle w:val="a3"/>
              <w:spacing w:before="0" w:beforeAutospacing="0" w:after="0" w:afterAutospacing="0"/>
              <w:jc w:val="center"/>
              <w:rPr>
                <w:sz w:val="20"/>
                <w:szCs w:val="20"/>
              </w:rPr>
            </w:pPr>
            <w:r>
              <w:rPr>
                <w:b/>
                <w:bCs/>
                <w:sz w:val="20"/>
                <w:szCs w:val="20"/>
              </w:rPr>
              <w:t>Must Be</w:t>
            </w:r>
          </w:p>
        </w:tc>
        <w:tc>
          <w:tcPr>
            <w:tcW w:w="150" w:type="pct"/>
            <w:vAlign w:val="bottom"/>
            <w:hideMark/>
          </w:tcPr>
          <w:p w14:paraId="3D906ADB" w14:textId="77777777" w:rsidR="00000000" w:rsidRDefault="00527094">
            <w:pPr>
              <w:rPr>
                <w:rFonts w:eastAsia="Times New Roman"/>
                <w:sz w:val="20"/>
                <w:szCs w:val="20"/>
              </w:rPr>
            </w:pPr>
            <w:r>
              <w:rPr>
                <w:rFonts w:eastAsia="Times New Roman"/>
                <w:sz w:val="20"/>
                <w:szCs w:val="20"/>
              </w:rPr>
              <w:t> </w:t>
            </w:r>
          </w:p>
        </w:tc>
        <w:tc>
          <w:tcPr>
            <w:tcW w:w="1050" w:type="pct"/>
            <w:tcBorders>
              <w:bottom w:val="single" w:sz="6" w:space="0" w:color="000000"/>
            </w:tcBorders>
            <w:vAlign w:val="bottom"/>
            <w:hideMark/>
          </w:tcPr>
          <w:p w14:paraId="686039E9" w14:textId="77777777" w:rsidR="00000000" w:rsidRDefault="00527094">
            <w:pPr>
              <w:pStyle w:val="a3"/>
              <w:spacing w:before="0" w:beforeAutospacing="0" w:after="0" w:afterAutospacing="0"/>
              <w:jc w:val="center"/>
              <w:rPr>
                <w:sz w:val="20"/>
                <w:szCs w:val="20"/>
              </w:rPr>
            </w:pPr>
            <w:r>
              <w:rPr>
                <w:b/>
                <w:bCs/>
                <w:sz w:val="20"/>
                <w:szCs w:val="20"/>
              </w:rPr>
              <w:t>As of June 30, 2019</w:t>
            </w:r>
          </w:p>
        </w:tc>
      </w:tr>
      <w:tr w:rsidR="00000000" w14:paraId="18102EEF" w14:textId="77777777">
        <w:trPr>
          <w:tblCellSpacing w:w="0" w:type="dxa"/>
        </w:trPr>
        <w:tc>
          <w:tcPr>
            <w:tcW w:w="3150" w:type="pct"/>
            <w:tcBorders>
              <w:bottom w:val="nil"/>
            </w:tcBorders>
            <w:shd w:val="clear" w:color="auto" w:fill="CCEEFF"/>
            <w:vAlign w:val="bottom"/>
            <w:hideMark/>
          </w:tcPr>
          <w:p w14:paraId="17E593B4" w14:textId="77777777" w:rsidR="00000000" w:rsidRDefault="00527094">
            <w:pPr>
              <w:pStyle w:val="a3"/>
              <w:spacing w:before="0" w:beforeAutospacing="0" w:after="0" w:afterAutospacing="0"/>
              <w:rPr>
                <w:sz w:val="20"/>
                <w:szCs w:val="20"/>
              </w:rPr>
            </w:pPr>
            <w:r>
              <w:rPr>
                <w:sz w:val="20"/>
                <w:szCs w:val="20"/>
              </w:rPr>
              <w:t>Consolidated Indeb</w:t>
            </w:r>
            <w:r>
              <w:rPr>
                <w:sz w:val="20"/>
                <w:szCs w:val="20"/>
              </w:rPr>
              <w:t>tedness to Total Assets</w:t>
            </w:r>
          </w:p>
        </w:tc>
        <w:tc>
          <w:tcPr>
            <w:tcW w:w="150" w:type="pct"/>
            <w:tcBorders>
              <w:bottom w:val="nil"/>
            </w:tcBorders>
            <w:shd w:val="clear" w:color="auto" w:fill="CCEEFF"/>
            <w:vAlign w:val="bottom"/>
            <w:hideMark/>
          </w:tcPr>
          <w:p w14:paraId="5D602074" w14:textId="77777777" w:rsidR="00000000" w:rsidRDefault="00527094">
            <w:pPr>
              <w:jc w:val="center"/>
              <w:rPr>
                <w:rFonts w:eastAsia="Times New Roman"/>
                <w:sz w:val="20"/>
                <w:szCs w:val="20"/>
              </w:rPr>
            </w:pPr>
            <w:r>
              <w:rPr>
                <w:rFonts w:eastAsia="Times New Roman"/>
                <w:sz w:val="20"/>
                <w:szCs w:val="20"/>
              </w:rPr>
              <w:t> </w:t>
            </w:r>
          </w:p>
        </w:tc>
        <w:tc>
          <w:tcPr>
            <w:tcW w:w="500" w:type="pct"/>
            <w:tcBorders>
              <w:bottom w:val="nil"/>
            </w:tcBorders>
            <w:shd w:val="clear" w:color="auto" w:fill="CCEEFF"/>
            <w:vAlign w:val="bottom"/>
            <w:hideMark/>
          </w:tcPr>
          <w:p w14:paraId="4BC9E798" w14:textId="77777777" w:rsidR="00000000" w:rsidRDefault="00527094">
            <w:pPr>
              <w:pStyle w:val="a3"/>
              <w:spacing w:before="0" w:beforeAutospacing="0" w:after="0" w:afterAutospacing="0"/>
              <w:jc w:val="center"/>
              <w:rPr>
                <w:sz w:val="20"/>
                <w:szCs w:val="20"/>
              </w:rPr>
            </w:pPr>
            <w:r>
              <w:rPr>
                <w:sz w:val="20"/>
                <w:szCs w:val="20"/>
              </w:rPr>
              <w:t>&lt;65%</w:t>
            </w:r>
          </w:p>
        </w:tc>
        <w:tc>
          <w:tcPr>
            <w:tcW w:w="150" w:type="pct"/>
            <w:tcBorders>
              <w:bottom w:val="nil"/>
            </w:tcBorders>
            <w:shd w:val="clear" w:color="auto" w:fill="CCEEFF"/>
            <w:vAlign w:val="bottom"/>
            <w:hideMark/>
          </w:tcPr>
          <w:p w14:paraId="1BC689D0" w14:textId="77777777" w:rsidR="00000000" w:rsidRDefault="00527094">
            <w:pPr>
              <w:rPr>
                <w:rFonts w:eastAsia="Times New Roman"/>
                <w:sz w:val="20"/>
                <w:szCs w:val="20"/>
              </w:rPr>
            </w:pPr>
            <w:r>
              <w:rPr>
                <w:rFonts w:eastAsia="Times New Roman"/>
                <w:sz w:val="20"/>
                <w:szCs w:val="20"/>
              </w:rPr>
              <w:t> </w:t>
            </w:r>
          </w:p>
        </w:tc>
        <w:tc>
          <w:tcPr>
            <w:tcW w:w="1050" w:type="pct"/>
            <w:tcBorders>
              <w:bottom w:val="nil"/>
            </w:tcBorders>
            <w:shd w:val="clear" w:color="auto" w:fill="CCEEFF"/>
            <w:vAlign w:val="bottom"/>
            <w:hideMark/>
          </w:tcPr>
          <w:p w14:paraId="2AA1B101" w14:textId="77777777" w:rsidR="00000000" w:rsidRDefault="00527094">
            <w:pPr>
              <w:jc w:val="center"/>
              <w:rPr>
                <w:rFonts w:eastAsia="Times New Roman"/>
                <w:sz w:val="20"/>
                <w:szCs w:val="20"/>
              </w:rPr>
            </w:pPr>
            <w:r>
              <w:rPr>
                <w:rFonts w:eastAsia="Times New Roman"/>
                <w:sz w:val="20"/>
                <w:szCs w:val="20"/>
              </w:rPr>
              <w:t>37%</w:t>
            </w:r>
          </w:p>
        </w:tc>
      </w:tr>
      <w:tr w:rsidR="00000000" w14:paraId="13699413" w14:textId="77777777">
        <w:trPr>
          <w:tblCellSpacing w:w="0" w:type="dxa"/>
        </w:trPr>
        <w:tc>
          <w:tcPr>
            <w:tcW w:w="3150" w:type="pct"/>
            <w:shd w:val="clear" w:color="auto" w:fill="FFFFFF"/>
            <w:vAlign w:val="bottom"/>
            <w:hideMark/>
          </w:tcPr>
          <w:p w14:paraId="3FE549CF" w14:textId="77777777" w:rsidR="00000000" w:rsidRDefault="00527094">
            <w:pPr>
              <w:pStyle w:val="a3"/>
              <w:spacing w:before="0" w:beforeAutospacing="0" w:after="0" w:afterAutospacing="0"/>
              <w:rPr>
                <w:sz w:val="20"/>
                <w:szCs w:val="20"/>
              </w:rPr>
            </w:pPr>
            <w:r>
              <w:rPr>
                <w:sz w:val="20"/>
                <w:szCs w:val="20"/>
              </w:rPr>
              <w:t>Consolidated Secured Indebtedness to Total Assets</w:t>
            </w:r>
          </w:p>
        </w:tc>
        <w:tc>
          <w:tcPr>
            <w:tcW w:w="150" w:type="pct"/>
            <w:shd w:val="clear" w:color="auto" w:fill="FFFFFF"/>
            <w:vAlign w:val="bottom"/>
            <w:hideMark/>
          </w:tcPr>
          <w:p w14:paraId="5A4D72DF" w14:textId="77777777" w:rsidR="00000000" w:rsidRDefault="00527094">
            <w:pPr>
              <w:jc w:val="center"/>
              <w:rPr>
                <w:rFonts w:eastAsia="Times New Roman"/>
                <w:sz w:val="20"/>
                <w:szCs w:val="20"/>
              </w:rPr>
            </w:pPr>
            <w:r>
              <w:rPr>
                <w:rFonts w:eastAsia="Times New Roman"/>
                <w:sz w:val="20"/>
                <w:szCs w:val="20"/>
              </w:rPr>
              <w:t> </w:t>
            </w:r>
          </w:p>
        </w:tc>
        <w:tc>
          <w:tcPr>
            <w:tcW w:w="500" w:type="pct"/>
            <w:shd w:val="clear" w:color="auto" w:fill="FFFFFF"/>
            <w:vAlign w:val="bottom"/>
            <w:hideMark/>
          </w:tcPr>
          <w:p w14:paraId="683CCBB2" w14:textId="77777777" w:rsidR="00000000" w:rsidRDefault="00527094">
            <w:pPr>
              <w:pStyle w:val="a3"/>
              <w:spacing w:before="0" w:beforeAutospacing="0" w:after="0" w:afterAutospacing="0"/>
              <w:jc w:val="center"/>
              <w:rPr>
                <w:sz w:val="20"/>
                <w:szCs w:val="20"/>
              </w:rPr>
            </w:pPr>
            <w:r>
              <w:rPr>
                <w:sz w:val="20"/>
                <w:szCs w:val="20"/>
              </w:rPr>
              <w:t>&lt;40%</w:t>
            </w:r>
          </w:p>
        </w:tc>
        <w:tc>
          <w:tcPr>
            <w:tcW w:w="150" w:type="pct"/>
            <w:shd w:val="clear" w:color="auto" w:fill="FFFFFF"/>
            <w:vAlign w:val="bottom"/>
            <w:hideMark/>
          </w:tcPr>
          <w:p w14:paraId="7F5F6113" w14:textId="77777777" w:rsidR="00000000" w:rsidRDefault="00527094">
            <w:pPr>
              <w:rPr>
                <w:rFonts w:eastAsia="Times New Roman"/>
                <w:sz w:val="20"/>
                <w:szCs w:val="20"/>
              </w:rPr>
            </w:pPr>
            <w:r>
              <w:rPr>
                <w:rFonts w:eastAsia="Times New Roman"/>
                <w:sz w:val="20"/>
                <w:szCs w:val="20"/>
              </w:rPr>
              <w:t> </w:t>
            </w:r>
          </w:p>
        </w:tc>
        <w:tc>
          <w:tcPr>
            <w:tcW w:w="1050" w:type="pct"/>
            <w:shd w:val="clear" w:color="auto" w:fill="FFFFFF"/>
            <w:vAlign w:val="bottom"/>
            <w:hideMark/>
          </w:tcPr>
          <w:p w14:paraId="091C07F2" w14:textId="77777777" w:rsidR="00000000" w:rsidRDefault="00527094">
            <w:pPr>
              <w:jc w:val="center"/>
              <w:rPr>
                <w:rFonts w:eastAsia="Times New Roman"/>
                <w:sz w:val="20"/>
                <w:szCs w:val="20"/>
              </w:rPr>
            </w:pPr>
            <w:r>
              <w:rPr>
                <w:rFonts w:eastAsia="Times New Roman"/>
                <w:sz w:val="20"/>
                <w:szCs w:val="20"/>
              </w:rPr>
              <w:t>4%</w:t>
            </w:r>
          </w:p>
        </w:tc>
      </w:tr>
      <w:tr w:rsidR="00000000" w14:paraId="30272877" w14:textId="77777777">
        <w:trPr>
          <w:tblCellSpacing w:w="0" w:type="dxa"/>
        </w:trPr>
        <w:tc>
          <w:tcPr>
            <w:tcW w:w="3150" w:type="pct"/>
            <w:shd w:val="clear" w:color="auto" w:fill="CCEEFF"/>
            <w:vAlign w:val="bottom"/>
            <w:hideMark/>
          </w:tcPr>
          <w:p w14:paraId="5462697A" w14:textId="77777777" w:rsidR="00000000" w:rsidRDefault="00527094">
            <w:pPr>
              <w:pStyle w:val="a3"/>
              <w:spacing w:before="0" w:beforeAutospacing="0" w:after="0" w:afterAutospacing="0"/>
              <w:rPr>
                <w:sz w:val="20"/>
                <w:szCs w:val="20"/>
              </w:rPr>
            </w:pPr>
            <w:r>
              <w:rPr>
                <w:sz w:val="20"/>
                <w:szCs w:val="20"/>
              </w:rPr>
              <w:t>Consolidated Income Available for Debt Service to Maximum Annual Service Charge</w:t>
            </w:r>
          </w:p>
        </w:tc>
        <w:tc>
          <w:tcPr>
            <w:tcW w:w="150" w:type="pct"/>
            <w:shd w:val="clear" w:color="auto" w:fill="CCEEFF"/>
            <w:vAlign w:val="bottom"/>
            <w:hideMark/>
          </w:tcPr>
          <w:p w14:paraId="5E755F96" w14:textId="77777777" w:rsidR="00000000" w:rsidRDefault="00527094">
            <w:pPr>
              <w:jc w:val="center"/>
              <w:rPr>
                <w:rFonts w:eastAsia="Times New Roman"/>
                <w:sz w:val="20"/>
                <w:szCs w:val="20"/>
              </w:rPr>
            </w:pPr>
            <w:r>
              <w:rPr>
                <w:rFonts w:eastAsia="Times New Roman"/>
                <w:sz w:val="20"/>
                <w:szCs w:val="20"/>
              </w:rPr>
              <w:t> </w:t>
            </w:r>
          </w:p>
        </w:tc>
        <w:tc>
          <w:tcPr>
            <w:tcW w:w="500" w:type="pct"/>
            <w:shd w:val="clear" w:color="auto" w:fill="CCEEFF"/>
            <w:vAlign w:val="bottom"/>
            <w:hideMark/>
          </w:tcPr>
          <w:p w14:paraId="57E0D768" w14:textId="77777777" w:rsidR="00000000" w:rsidRDefault="00527094">
            <w:pPr>
              <w:pStyle w:val="a3"/>
              <w:spacing w:before="0" w:beforeAutospacing="0" w:after="0" w:afterAutospacing="0"/>
              <w:jc w:val="center"/>
              <w:rPr>
                <w:sz w:val="20"/>
                <w:szCs w:val="20"/>
              </w:rPr>
            </w:pPr>
            <w:r>
              <w:rPr>
                <w:sz w:val="20"/>
                <w:szCs w:val="20"/>
              </w:rPr>
              <w:t>&gt;1.50x</w:t>
            </w:r>
          </w:p>
        </w:tc>
        <w:tc>
          <w:tcPr>
            <w:tcW w:w="150" w:type="pct"/>
            <w:shd w:val="clear" w:color="auto" w:fill="CCEEFF"/>
            <w:vAlign w:val="bottom"/>
            <w:hideMark/>
          </w:tcPr>
          <w:p w14:paraId="67B4896B" w14:textId="77777777" w:rsidR="00000000" w:rsidRDefault="00527094">
            <w:pPr>
              <w:rPr>
                <w:rFonts w:eastAsia="Times New Roman"/>
                <w:sz w:val="20"/>
                <w:szCs w:val="20"/>
              </w:rPr>
            </w:pPr>
            <w:r>
              <w:rPr>
                <w:rFonts w:eastAsia="Times New Roman"/>
                <w:sz w:val="20"/>
                <w:szCs w:val="20"/>
              </w:rPr>
              <w:t> </w:t>
            </w:r>
          </w:p>
        </w:tc>
        <w:tc>
          <w:tcPr>
            <w:tcW w:w="1050" w:type="pct"/>
            <w:shd w:val="clear" w:color="auto" w:fill="CCEEFF"/>
            <w:vAlign w:val="bottom"/>
            <w:hideMark/>
          </w:tcPr>
          <w:p w14:paraId="1408C981" w14:textId="77777777" w:rsidR="00000000" w:rsidRDefault="00527094">
            <w:pPr>
              <w:jc w:val="center"/>
              <w:rPr>
                <w:rFonts w:eastAsia="Times New Roman"/>
                <w:sz w:val="20"/>
                <w:szCs w:val="20"/>
              </w:rPr>
            </w:pPr>
            <w:r>
              <w:rPr>
                <w:rFonts w:eastAsia="Times New Roman"/>
                <w:sz w:val="20"/>
                <w:szCs w:val="20"/>
              </w:rPr>
              <w:t>5.3x</w:t>
            </w:r>
          </w:p>
        </w:tc>
      </w:tr>
      <w:tr w:rsidR="00000000" w14:paraId="6804BDA7" w14:textId="77777777">
        <w:trPr>
          <w:tblCellSpacing w:w="0" w:type="dxa"/>
        </w:trPr>
        <w:tc>
          <w:tcPr>
            <w:tcW w:w="3150" w:type="pct"/>
            <w:shd w:val="clear" w:color="auto" w:fill="FFFFFF"/>
            <w:vAlign w:val="bottom"/>
            <w:hideMark/>
          </w:tcPr>
          <w:p w14:paraId="69482576" w14:textId="77777777" w:rsidR="00000000" w:rsidRDefault="00527094">
            <w:pPr>
              <w:pStyle w:val="a3"/>
              <w:spacing w:before="0" w:beforeAutospacing="0" w:after="0" w:afterAutospacing="0"/>
              <w:rPr>
                <w:sz w:val="20"/>
                <w:szCs w:val="20"/>
              </w:rPr>
            </w:pPr>
            <w:r>
              <w:rPr>
                <w:sz w:val="20"/>
                <w:szCs w:val="20"/>
              </w:rPr>
              <w:t>Unencumbered Total Asset Value to Consolidated Unsecured Indebtedness</w:t>
            </w:r>
          </w:p>
        </w:tc>
        <w:tc>
          <w:tcPr>
            <w:tcW w:w="150" w:type="pct"/>
            <w:shd w:val="clear" w:color="auto" w:fill="FFFFFF"/>
            <w:vAlign w:val="bottom"/>
            <w:hideMark/>
          </w:tcPr>
          <w:p w14:paraId="0FD1FD9B" w14:textId="77777777" w:rsidR="00000000" w:rsidRDefault="00527094">
            <w:pPr>
              <w:jc w:val="center"/>
              <w:rPr>
                <w:rFonts w:eastAsia="Times New Roman"/>
                <w:sz w:val="20"/>
                <w:szCs w:val="20"/>
              </w:rPr>
            </w:pPr>
            <w:r>
              <w:rPr>
                <w:rFonts w:eastAsia="Times New Roman"/>
                <w:sz w:val="20"/>
                <w:szCs w:val="20"/>
              </w:rPr>
              <w:t> </w:t>
            </w:r>
          </w:p>
        </w:tc>
        <w:tc>
          <w:tcPr>
            <w:tcW w:w="500" w:type="pct"/>
            <w:shd w:val="clear" w:color="auto" w:fill="FFFFFF"/>
            <w:vAlign w:val="bottom"/>
            <w:hideMark/>
          </w:tcPr>
          <w:p w14:paraId="05FADFB4" w14:textId="77777777" w:rsidR="00000000" w:rsidRDefault="00527094">
            <w:pPr>
              <w:pStyle w:val="a3"/>
              <w:spacing w:before="0" w:beforeAutospacing="0" w:after="0" w:afterAutospacing="0"/>
              <w:jc w:val="center"/>
              <w:rPr>
                <w:sz w:val="20"/>
                <w:szCs w:val="20"/>
              </w:rPr>
            </w:pPr>
            <w:r>
              <w:rPr>
                <w:sz w:val="20"/>
                <w:szCs w:val="20"/>
              </w:rPr>
              <w:t>&gt;1.50x</w:t>
            </w:r>
          </w:p>
        </w:tc>
        <w:tc>
          <w:tcPr>
            <w:tcW w:w="150" w:type="pct"/>
            <w:shd w:val="clear" w:color="auto" w:fill="FFFFFF"/>
            <w:vAlign w:val="bottom"/>
            <w:hideMark/>
          </w:tcPr>
          <w:p w14:paraId="0464BF4E" w14:textId="77777777" w:rsidR="00000000" w:rsidRDefault="00527094">
            <w:pPr>
              <w:rPr>
                <w:rFonts w:eastAsia="Times New Roman"/>
                <w:sz w:val="20"/>
                <w:szCs w:val="20"/>
              </w:rPr>
            </w:pPr>
            <w:r>
              <w:rPr>
                <w:rFonts w:eastAsia="Times New Roman"/>
                <w:sz w:val="20"/>
                <w:szCs w:val="20"/>
              </w:rPr>
              <w:t> </w:t>
            </w:r>
          </w:p>
        </w:tc>
        <w:tc>
          <w:tcPr>
            <w:tcW w:w="1050" w:type="pct"/>
            <w:shd w:val="clear" w:color="auto" w:fill="FFFFFF"/>
            <w:vAlign w:val="bottom"/>
            <w:hideMark/>
          </w:tcPr>
          <w:p w14:paraId="280BCEAE" w14:textId="77777777" w:rsidR="00000000" w:rsidRDefault="00527094">
            <w:pPr>
              <w:jc w:val="center"/>
              <w:rPr>
                <w:rFonts w:eastAsia="Times New Roman"/>
                <w:sz w:val="20"/>
                <w:szCs w:val="20"/>
              </w:rPr>
            </w:pPr>
            <w:r>
              <w:rPr>
                <w:rFonts w:eastAsia="Times New Roman"/>
                <w:sz w:val="20"/>
                <w:szCs w:val="20"/>
              </w:rPr>
              <w:t>2.7x</w:t>
            </w:r>
          </w:p>
        </w:tc>
      </w:tr>
    </w:tbl>
    <w:p w14:paraId="18ECA4B5" w14:textId="77777777" w:rsidR="00000000" w:rsidRDefault="00527094">
      <w:pPr>
        <w:pStyle w:val="a3"/>
        <w:spacing w:before="0" w:beforeAutospacing="0" w:after="0" w:afterAutospacing="0"/>
        <w:ind w:firstLine="360"/>
        <w:jc w:val="both"/>
        <w:rPr>
          <w:sz w:val="20"/>
          <w:szCs w:val="20"/>
        </w:rPr>
      </w:pPr>
      <w:r>
        <w:rPr>
          <w:sz w:val="20"/>
          <w:szCs w:val="20"/>
        </w:rPr>
        <w:t> </w:t>
      </w:r>
    </w:p>
    <w:p w14:paraId="497782F4" w14:textId="77777777" w:rsidR="00000000" w:rsidRDefault="00527094">
      <w:pPr>
        <w:pStyle w:val="a3"/>
        <w:spacing w:before="0" w:beforeAutospacing="0" w:after="0" w:afterAutospacing="0"/>
        <w:ind w:firstLine="360"/>
        <w:jc w:val="both"/>
        <w:rPr>
          <w:sz w:val="20"/>
          <w:szCs w:val="20"/>
        </w:rPr>
      </w:pPr>
      <w:r>
        <w:rPr>
          <w:sz w:val="20"/>
          <w:szCs w:val="20"/>
        </w:rPr>
        <w:t xml:space="preserve">For a full description of the various indenture covenants, refer to the Indenture dated September 1, 1993; the First Supplemental Indenture dated August 4, 1994; the Second Supplemental Indenture dated April 7, 1995; the Third Supplemental Indenture dated </w:t>
      </w:r>
      <w:r>
        <w:rPr>
          <w:sz w:val="20"/>
          <w:szCs w:val="20"/>
        </w:rPr>
        <w:t>June 2, 2006; the Fourth Supplemental Indenture dated April 26, 2007; the Fifth Supplemental Indenture dated as of September 24, 2009; the Sixth Supplemental Indenture dated as of May 23, 2013; and the Seventh Supplemental Indenture dated as of April 24, 2</w:t>
      </w:r>
      <w:r>
        <w:rPr>
          <w:sz w:val="20"/>
          <w:szCs w:val="20"/>
        </w:rPr>
        <w:t>014, each as filed with the SEC. See the Exhibits Index to our Annual Report on Form 10-K for the year ended December 31, 2018 for specific filing information.</w:t>
      </w:r>
    </w:p>
    <w:p w14:paraId="08E7A442" w14:textId="77777777" w:rsidR="00000000" w:rsidRDefault="00527094">
      <w:pPr>
        <w:pStyle w:val="a3"/>
        <w:spacing w:before="0" w:beforeAutospacing="0" w:after="0" w:afterAutospacing="0"/>
        <w:ind w:firstLine="360"/>
        <w:jc w:val="both"/>
        <w:rPr>
          <w:sz w:val="20"/>
          <w:szCs w:val="20"/>
        </w:rPr>
      </w:pPr>
      <w:r>
        <w:rPr>
          <w:sz w:val="20"/>
          <w:szCs w:val="20"/>
        </w:rPr>
        <w:t> </w:t>
      </w:r>
    </w:p>
    <w:p w14:paraId="399534BE" w14:textId="77777777" w:rsidR="00000000" w:rsidRDefault="00527094">
      <w:pPr>
        <w:pStyle w:val="a3"/>
        <w:spacing w:before="0" w:beforeAutospacing="0" w:after="0" w:afterAutospacing="0"/>
        <w:jc w:val="both"/>
        <w:rPr>
          <w:sz w:val="20"/>
          <w:szCs w:val="20"/>
        </w:rPr>
      </w:pPr>
      <w:r>
        <w:rPr>
          <w:i/>
          <w:iCs/>
          <w:sz w:val="20"/>
          <w:szCs w:val="20"/>
        </w:rPr>
        <w:t>Credit Facility -</w:t>
      </w:r>
    </w:p>
    <w:p w14:paraId="2C1542C7" w14:textId="77777777" w:rsidR="00000000" w:rsidRDefault="00527094">
      <w:pPr>
        <w:pStyle w:val="a3"/>
        <w:spacing w:before="0" w:beforeAutospacing="0" w:after="0" w:afterAutospacing="0"/>
        <w:ind w:firstLine="720"/>
        <w:jc w:val="both"/>
        <w:rPr>
          <w:sz w:val="20"/>
          <w:szCs w:val="20"/>
        </w:rPr>
      </w:pPr>
      <w:r>
        <w:rPr>
          <w:sz w:val="20"/>
          <w:szCs w:val="20"/>
        </w:rPr>
        <w:t> </w:t>
      </w:r>
    </w:p>
    <w:p w14:paraId="46AF9965" w14:textId="77777777" w:rsidR="00000000" w:rsidRDefault="00527094">
      <w:pPr>
        <w:pStyle w:val="a3"/>
        <w:spacing w:before="0" w:beforeAutospacing="0" w:after="0" w:afterAutospacing="0"/>
        <w:ind w:firstLine="360"/>
        <w:jc w:val="both"/>
        <w:rPr>
          <w:sz w:val="20"/>
          <w:szCs w:val="20"/>
        </w:rPr>
      </w:pPr>
      <w:r>
        <w:rPr>
          <w:sz w:val="20"/>
          <w:szCs w:val="20"/>
        </w:rPr>
        <w:t>The Company has a $2.25 billion unsecured revolving credit facility (the “</w:t>
      </w:r>
      <w:r>
        <w:rPr>
          <w:sz w:val="20"/>
          <w:szCs w:val="20"/>
        </w:rPr>
        <w:t>Credit Facility”) with a group of banks, which is scheduled to expire in March 2021, with two additional six-month options to extend the maturity date, at the Company’s discretion, to March 2022. This Credit Facility, which accrues interest at a rate of LI</w:t>
      </w:r>
      <w:r>
        <w:rPr>
          <w:sz w:val="20"/>
          <w:szCs w:val="20"/>
        </w:rPr>
        <w:t>BOR plus 87.5 basis points (3.28% as of June 30, 2019), can be increased to $2.75 billion through an accordion feature. In addition, the Credit Facility includes a $500.0 million sub-limit which provides the Company the opportunity to borrow in alternative</w:t>
      </w:r>
      <w:r>
        <w:rPr>
          <w:sz w:val="20"/>
          <w:szCs w:val="20"/>
        </w:rPr>
        <w:t xml:space="preserve"> currencies including Canadian Dollars, British Pounds Sterling, Japanese Yen or Euros. Pursuant to the terms of the Credit Facility, the Company, among other things, is subject to covenants requiring the maintenance of (i) maximum leverage ratios on both </w:t>
      </w:r>
      <w:r>
        <w:rPr>
          <w:sz w:val="20"/>
          <w:szCs w:val="20"/>
        </w:rPr>
        <w:t>unsecured and secured debt and (ii) minimum interest and fixed coverage ratios. As of June 30, 2019, the Credit Facility had a balance of $135.0 million outstanding and $0.3 million appropriated for letters of credit.</w:t>
      </w:r>
    </w:p>
    <w:p w14:paraId="599C8E02" w14:textId="77777777" w:rsidR="00000000" w:rsidRDefault="00527094">
      <w:pPr>
        <w:pStyle w:val="a3"/>
        <w:spacing w:before="0" w:beforeAutospacing="0" w:after="0" w:afterAutospacing="0"/>
        <w:ind w:firstLine="360"/>
        <w:jc w:val="both"/>
        <w:rPr>
          <w:sz w:val="20"/>
          <w:szCs w:val="20"/>
        </w:rPr>
      </w:pPr>
      <w:r>
        <w:rPr>
          <w:sz w:val="20"/>
          <w:szCs w:val="20"/>
        </w:rPr>
        <w:t> </w:t>
      </w:r>
    </w:p>
    <w:p w14:paraId="6600C628" w14:textId="77777777" w:rsidR="00000000" w:rsidRDefault="00527094">
      <w:pPr>
        <w:jc w:val="center"/>
        <w:divId w:val="8651553"/>
        <w:rPr>
          <w:rFonts w:eastAsia="Times New Roman"/>
          <w:sz w:val="20"/>
          <w:szCs w:val="20"/>
        </w:rPr>
      </w:pPr>
      <w:r>
        <w:rPr>
          <w:rFonts w:eastAsia="Times New Roman"/>
          <w:sz w:val="20"/>
          <w:szCs w:val="20"/>
        </w:rPr>
        <w:t xml:space="preserve">29 </w:t>
      </w:r>
    </w:p>
    <w:p w14:paraId="46BEC7CB" w14:textId="77777777" w:rsidR="00000000" w:rsidRDefault="00527094">
      <w:pPr>
        <w:divId w:val="8651553"/>
        <w:rPr>
          <w:rFonts w:eastAsia="Times New Roman"/>
          <w:sz w:val="20"/>
          <w:szCs w:val="20"/>
        </w:rPr>
      </w:pPr>
      <w:r>
        <w:rPr>
          <w:rFonts w:eastAsia="Times New Roman"/>
          <w:sz w:val="20"/>
          <w:szCs w:val="20"/>
        </w:rPr>
        <w:pict w14:anchorId="062EEB9E">
          <v:rect id="_x0000_i1057" style="width:0;height:1.5pt" o:hralign="center" o:hrstd="t" o:hr="t" fillcolor="#a0a0a0" stroked="f"/>
        </w:pict>
      </w:r>
    </w:p>
    <w:p w14:paraId="200399BB" w14:textId="77777777" w:rsidR="00000000" w:rsidRDefault="00527094">
      <w:pPr>
        <w:divId w:val="86515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52D4C63" w14:textId="77777777" w:rsidR="00000000" w:rsidRDefault="00527094">
      <w:pPr>
        <w:pStyle w:val="a3"/>
        <w:spacing w:before="0" w:beforeAutospacing="0" w:after="0" w:afterAutospacing="0"/>
        <w:rPr>
          <w:sz w:val="20"/>
          <w:szCs w:val="20"/>
        </w:rPr>
      </w:pPr>
      <w:r>
        <w:rPr>
          <w:sz w:val="20"/>
          <w:szCs w:val="20"/>
        </w:rPr>
        <w:t> </w:t>
      </w:r>
    </w:p>
    <w:p w14:paraId="75D8474E" w14:textId="77777777" w:rsidR="00000000" w:rsidRDefault="00527094">
      <w:pPr>
        <w:pStyle w:val="a3"/>
        <w:spacing w:before="0" w:beforeAutospacing="0" w:after="0" w:afterAutospacing="0"/>
        <w:ind w:firstLine="360"/>
        <w:jc w:val="both"/>
        <w:rPr>
          <w:sz w:val="20"/>
          <w:szCs w:val="20"/>
        </w:rPr>
      </w:pPr>
      <w:r>
        <w:rPr>
          <w:sz w:val="20"/>
          <w:szCs w:val="20"/>
        </w:rPr>
        <w:t>Pursuant to the terms of the Credit Facility, the Company, among other things, is subject to maintenance of various covenants. The Company is currently in compliance with these covenants. The financial covenants for the Credit Facility are as follows:</w:t>
      </w:r>
    </w:p>
    <w:p w14:paraId="05347745" w14:textId="77777777" w:rsidR="00000000" w:rsidRDefault="00527094">
      <w:pPr>
        <w:pStyle w:val="a3"/>
        <w:spacing w:before="0" w:beforeAutospacing="0" w:after="0" w:afterAutospacing="0"/>
        <w:ind w:firstLine="360"/>
        <w:rPr>
          <w:sz w:val="20"/>
          <w:szCs w:val="20"/>
        </w:rPr>
      </w:pPr>
      <w:r>
        <w:rPr>
          <w:sz w:val="20"/>
          <w:szCs w:val="20"/>
        </w:rPr>
        <w:t> </w:t>
      </w:r>
    </w:p>
    <w:tbl>
      <w:tblPr>
        <w:tblW w:w="4835" w:type="pct"/>
        <w:tblCellSpacing w:w="0" w:type="dxa"/>
        <w:tblInd w:w="180" w:type="dxa"/>
        <w:tblCellMar>
          <w:left w:w="0" w:type="dxa"/>
          <w:right w:w="0" w:type="dxa"/>
        </w:tblCellMar>
        <w:tblLook w:val="04A0" w:firstRow="1" w:lastRow="0" w:firstColumn="1" w:lastColumn="0" w:noHBand="0" w:noVBand="1"/>
      </w:tblPr>
      <w:tblGrid>
        <w:gridCol w:w="5060"/>
        <w:gridCol w:w="241"/>
        <w:gridCol w:w="803"/>
        <w:gridCol w:w="241"/>
        <w:gridCol w:w="1687"/>
      </w:tblGrid>
      <w:tr w:rsidR="00000000" w14:paraId="10795FA0" w14:textId="77777777">
        <w:trPr>
          <w:tblCellSpacing w:w="0" w:type="dxa"/>
        </w:trPr>
        <w:tc>
          <w:tcPr>
            <w:tcW w:w="3150" w:type="pct"/>
            <w:tcBorders>
              <w:bottom w:val="single" w:sz="6" w:space="0" w:color="000000"/>
            </w:tcBorders>
            <w:hideMark/>
          </w:tcPr>
          <w:p w14:paraId="48D05653" w14:textId="77777777" w:rsidR="00000000" w:rsidRDefault="00527094">
            <w:pPr>
              <w:pStyle w:val="a3"/>
              <w:spacing w:before="0" w:beforeAutospacing="0" w:after="0" w:afterAutospacing="0"/>
              <w:jc w:val="center"/>
              <w:rPr>
                <w:sz w:val="20"/>
                <w:szCs w:val="20"/>
              </w:rPr>
            </w:pPr>
            <w:r>
              <w:rPr>
                <w:b/>
                <w:bCs/>
                <w:sz w:val="20"/>
                <w:szCs w:val="20"/>
              </w:rPr>
              <w:t>Co</w:t>
            </w:r>
            <w:r>
              <w:rPr>
                <w:b/>
                <w:bCs/>
                <w:sz w:val="20"/>
                <w:szCs w:val="20"/>
              </w:rPr>
              <w:t>venant</w:t>
            </w:r>
          </w:p>
        </w:tc>
        <w:tc>
          <w:tcPr>
            <w:tcW w:w="150" w:type="pct"/>
            <w:hideMark/>
          </w:tcPr>
          <w:p w14:paraId="7B8C9A32" w14:textId="77777777" w:rsidR="00000000" w:rsidRDefault="00527094">
            <w:pPr>
              <w:rPr>
                <w:rFonts w:eastAsia="Times New Roman"/>
                <w:sz w:val="20"/>
                <w:szCs w:val="20"/>
              </w:rPr>
            </w:pPr>
            <w:r>
              <w:rPr>
                <w:rFonts w:eastAsia="Times New Roman"/>
                <w:sz w:val="20"/>
                <w:szCs w:val="20"/>
              </w:rPr>
              <w:t> </w:t>
            </w:r>
          </w:p>
        </w:tc>
        <w:tc>
          <w:tcPr>
            <w:tcW w:w="500" w:type="pct"/>
            <w:tcBorders>
              <w:bottom w:val="single" w:sz="6" w:space="0" w:color="000000"/>
            </w:tcBorders>
            <w:hideMark/>
          </w:tcPr>
          <w:p w14:paraId="5C046D85" w14:textId="77777777" w:rsidR="00000000" w:rsidRDefault="00527094">
            <w:pPr>
              <w:pStyle w:val="a3"/>
              <w:spacing w:before="0" w:beforeAutospacing="0" w:after="0" w:afterAutospacing="0"/>
              <w:jc w:val="center"/>
              <w:rPr>
                <w:sz w:val="20"/>
                <w:szCs w:val="20"/>
              </w:rPr>
            </w:pPr>
            <w:r>
              <w:rPr>
                <w:b/>
                <w:bCs/>
                <w:sz w:val="20"/>
                <w:szCs w:val="20"/>
              </w:rPr>
              <w:t>Must Be</w:t>
            </w:r>
          </w:p>
        </w:tc>
        <w:tc>
          <w:tcPr>
            <w:tcW w:w="150" w:type="pct"/>
            <w:hideMark/>
          </w:tcPr>
          <w:p w14:paraId="30EA5CD0" w14:textId="77777777" w:rsidR="00000000" w:rsidRDefault="00527094">
            <w:pPr>
              <w:rPr>
                <w:rFonts w:eastAsia="Times New Roman"/>
                <w:sz w:val="20"/>
                <w:szCs w:val="20"/>
              </w:rPr>
            </w:pPr>
            <w:r>
              <w:rPr>
                <w:rFonts w:eastAsia="Times New Roman"/>
                <w:sz w:val="20"/>
                <w:szCs w:val="20"/>
              </w:rPr>
              <w:t> </w:t>
            </w:r>
          </w:p>
        </w:tc>
        <w:tc>
          <w:tcPr>
            <w:tcW w:w="1050" w:type="pct"/>
            <w:tcBorders>
              <w:bottom w:val="single" w:sz="6" w:space="0" w:color="000000"/>
            </w:tcBorders>
            <w:hideMark/>
          </w:tcPr>
          <w:p w14:paraId="29F754B5" w14:textId="77777777" w:rsidR="00000000" w:rsidRDefault="00527094">
            <w:pPr>
              <w:pStyle w:val="a3"/>
              <w:spacing w:before="0" w:beforeAutospacing="0" w:after="0" w:afterAutospacing="0"/>
              <w:jc w:val="center"/>
              <w:rPr>
                <w:sz w:val="20"/>
                <w:szCs w:val="20"/>
              </w:rPr>
            </w:pPr>
            <w:r>
              <w:rPr>
                <w:b/>
                <w:bCs/>
                <w:sz w:val="20"/>
                <w:szCs w:val="20"/>
              </w:rPr>
              <w:t>As of June 30, 2019</w:t>
            </w:r>
          </w:p>
        </w:tc>
      </w:tr>
      <w:tr w:rsidR="00000000" w14:paraId="0D478E4F" w14:textId="77777777">
        <w:trPr>
          <w:tblCellSpacing w:w="0" w:type="dxa"/>
        </w:trPr>
        <w:tc>
          <w:tcPr>
            <w:tcW w:w="3150" w:type="pct"/>
            <w:tcBorders>
              <w:bottom w:val="nil"/>
            </w:tcBorders>
            <w:shd w:val="clear" w:color="auto" w:fill="CCEEFF"/>
            <w:hideMark/>
          </w:tcPr>
          <w:p w14:paraId="1B5635A0" w14:textId="77777777" w:rsidR="00000000" w:rsidRDefault="00527094">
            <w:pPr>
              <w:pStyle w:val="a3"/>
              <w:spacing w:before="0" w:beforeAutospacing="0" w:after="0" w:afterAutospacing="0"/>
              <w:ind w:left="220" w:hanging="220"/>
              <w:rPr>
                <w:sz w:val="20"/>
                <w:szCs w:val="20"/>
              </w:rPr>
            </w:pPr>
            <w:r>
              <w:rPr>
                <w:sz w:val="20"/>
                <w:szCs w:val="20"/>
              </w:rPr>
              <w:t>Total Indebtedness to Gross Asset Value (“GAV”)</w:t>
            </w:r>
          </w:p>
        </w:tc>
        <w:tc>
          <w:tcPr>
            <w:tcW w:w="150" w:type="pct"/>
            <w:shd w:val="clear" w:color="auto" w:fill="CCEEFF"/>
            <w:vAlign w:val="bottom"/>
            <w:hideMark/>
          </w:tcPr>
          <w:p w14:paraId="5553ECF4" w14:textId="77777777" w:rsidR="00000000" w:rsidRDefault="00527094">
            <w:pPr>
              <w:rPr>
                <w:rFonts w:eastAsia="Times New Roman"/>
                <w:sz w:val="20"/>
                <w:szCs w:val="20"/>
              </w:rPr>
            </w:pPr>
            <w:r>
              <w:rPr>
                <w:rFonts w:eastAsia="Times New Roman"/>
                <w:sz w:val="20"/>
                <w:szCs w:val="20"/>
              </w:rPr>
              <w:t> </w:t>
            </w:r>
          </w:p>
        </w:tc>
        <w:tc>
          <w:tcPr>
            <w:tcW w:w="500" w:type="pct"/>
            <w:tcBorders>
              <w:bottom w:val="nil"/>
            </w:tcBorders>
            <w:shd w:val="clear" w:color="auto" w:fill="CCEEFF"/>
            <w:vAlign w:val="bottom"/>
            <w:hideMark/>
          </w:tcPr>
          <w:p w14:paraId="0FB61E77" w14:textId="77777777" w:rsidR="00000000" w:rsidRDefault="00527094">
            <w:pPr>
              <w:pStyle w:val="a3"/>
              <w:spacing w:before="0" w:beforeAutospacing="0" w:after="0" w:afterAutospacing="0"/>
              <w:jc w:val="center"/>
              <w:rPr>
                <w:sz w:val="20"/>
                <w:szCs w:val="20"/>
              </w:rPr>
            </w:pPr>
            <w:r>
              <w:rPr>
                <w:sz w:val="20"/>
                <w:szCs w:val="20"/>
              </w:rPr>
              <w:t>&lt;60%</w:t>
            </w:r>
          </w:p>
        </w:tc>
        <w:tc>
          <w:tcPr>
            <w:tcW w:w="150" w:type="pct"/>
            <w:shd w:val="clear" w:color="auto" w:fill="CCEEFF"/>
            <w:vAlign w:val="bottom"/>
            <w:hideMark/>
          </w:tcPr>
          <w:p w14:paraId="58BB7C31" w14:textId="77777777" w:rsidR="00000000" w:rsidRDefault="00527094">
            <w:pPr>
              <w:rPr>
                <w:rFonts w:eastAsia="Times New Roman"/>
                <w:sz w:val="20"/>
                <w:szCs w:val="20"/>
              </w:rPr>
            </w:pPr>
            <w:r>
              <w:rPr>
                <w:rFonts w:eastAsia="Times New Roman"/>
                <w:sz w:val="20"/>
                <w:szCs w:val="20"/>
              </w:rPr>
              <w:t> </w:t>
            </w:r>
          </w:p>
        </w:tc>
        <w:tc>
          <w:tcPr>
            <w:tcW w:w="1050" w:type="pct"/>
            <w:tcBorders>
              <w:bottom w:val="nil"/>
            </w:tcBorders>
            <w:shd w:val="clear" w:color="auto" w:fill="CCEEFF"/>
            <w:vAlign w:val="bottom"/>
            <w:hideMark/>
          </w:tcPr>
          <w:p w14:paraId="2B985026" w14:textId="77777777" w:rsidR="00000000" w:rsidRDefault="00527094">
            <w:pPr>
              <w:pStyle w:val="a3"/>
              <w:spacing w:before="0" w:beforeAutospacing="0" w:after="0" w:afterAutospacing="0"/>
              <w:jc w:val="center"/>
              <w:rPr>
                <w:sz w:val="20"/>
                <w:szCs w:val="20"/>
              </w:rPr>
            </w:pPr>
            <w:r>
              <w:rPr>
                <w:sz w:val="20"/>
                <w:szCs w:val="20"/>
              </w:rPr>
              <w:t>39%</w:t>
            </w:r>
          </w:p>
        </w:tc>
      </w:tr>
      <w:tr w:rsidR="00000000" w14:paraId="6A92AFDD" w14:textId="77777777">
        <w:trPr>
          <w:tblCellSpacing w:w="0" w:type="dxa"/>
        </w:trPr>
        <w:tc>
          <w:tcPr>
            <w:tcW w:w="3150" w:type="pct"/>
            <w:shd w:val="clear" w:color="auto" w:fill="FFFFFF"/>
            <w:hideMark/>
          </w:tcPr>
          <w:p w14:paraId="0D2B31A3" w14:textId="77777777" w:rsidR="00000000" w:rsidRDefault="00527094">
            <w:pPr>
              <w:pStyle w:val="a3"/>
              <w:spacing w:before="0" w:beforeAutospacing="0" w:after="0" w:afterAutospacing="0"/>
              <w:ind w:left="220" w:hanging="220"/>
              <w:rPr>
                <w:sz w:val="20"/>
                <w:szCs w:val="20"/>
              </w:rPr>
            </w:pPr>
            <w:r>
              <w:rPr>
                <w:sz w:val="20"/>
                <w:szCs w:val="20"/>
              </w:rPr>
              <w:t>Total Priority Indebtedness to GAV</w:t>
            </w:r>
          </w:p>
        </w:tc>
        <w:tc>
          <w:tcPr>
            <w:tcW w:w="150" w:type="pct"/>
            <w:shd w:val="clear" w:color="auto" w:fill="FFFFFF"/>
            <w:vAlign w:val="bottom"/>
            <w:hideMark/>
          </w:tcPr>
          <w:p w14:paraId="4D1BF1E3"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41B69BB" w14:textId="77777777" w:rsidR="00000000" w:rsidRDefault="00527094">
            <w:pPr>
              <w:pStyle w:val="a3"/>
              <w:spacing w:before="0" w:beforeAutospacing="0" w:after="0" w:afterAutospacing="0"/>
              <w:jc w:val="center"/>
              <w:rPr>
                <w:sz w:val="20"/>
                <w:szCs w:val="20"/>
              </w:rPr>
            </w:pPr>
            <w:r>
              <w:rPr>
                <w:sz w:val="20"/>
                <w:szCs w:val="20"/>
              </w:rPr>
              <w:t>&lt;35%</w:t>
            </w:r>
          </w:p>
        </w:tc>
        <w:tc>
          <w:tcPr>
            <w:tcW w:w="150" w:type="pct"/>
            <w:shd w:val="clear" w:color="auto" w:fill="FFFFFF"/>
            <w:vAlign w:val="bottom"/>
            <w:hideMark/>
          </w:tcPr>
          <w:p w14:paraId="6AB403B9" w14:textId="77777777" w:rsidR="00000000" w:rsidRDefault="00527094">
            <w:pPr>
              <w:rPr>
                <w:rFonts w:eastAsia="Times New Roman"/>
                <w:sz w:val="20"/>
                <w:szCs w:val="20"/>
              </w:rPr>
            </w:pPr>
            <w:r>
              <w:rPr>
                <w:rFonts w:eastAsia="Times New Roman"/>
                <w:sz w:val="20"/>
                <w:szCs w:val="20"/>
              </w:rPr>
              <w:t> </w:t>
            </w:r>
          </w:p>
        </w:tc>
        <w:tc>
          <w:tcPr>
            <w:tcW w:w="1050" w:type="pct"/>
            <w:shd w:val="clear" w:color="auto" w:fill="FFFFFF"/>
            <w:vAlign w:val="bottom"/>
            <w:hideMark/>
          </w:tcPr>
          <w:p w14:paraId="16FFB36A" w14:textId="77777777" w:rsidR="00000000" w:rsidRDefault="00527094">
            <w:pPr>
              <w:pStyle w:val="a3"/>
              <w:spacing w:before="0" w:beforeAutospacing="0" w:after="0" w:afterAutospacing="0"/>
              <w:jc w:val="center"/>
              <w:rPr>
                <w:sz w:val="20"/>
                <w:szCs w:val="20"/>
              </w:rPr>
            </w:pPr>
            <w:r>
              <w:rPr>
                <w:sz w:val="20"/>
                <w:szCs w:val="20"/>
              </w:rPr>
              <w:t>3%</w:t>
            </w:r>
          </w:p>
        </w:tc>
      </w:tr>
      <w:tr w:rsidR="00000000" w14:paraId="3B0A43C7" w14:textId="77777777">
        <w:trPr>
          <w:tblCellSpacing w:w="0" w:type="dxa"/>
        </w:trPr>
        <w:tc>
          <w:tcPr>
            <w:tcW w:w="3150" w:type="pct"/>
            <w:shd w:val="clear" w:color="auto" w:fill="CCEEFF"/>
            <w:hideMark/>
          </w:tcPr>
          <w:p w14:paraId="1871A0A2" w14:textId="77777777" w:rsidR="00000000" w:rsidRDefault="00527094">
            <w:pPr>
              <w:pStyle w:val="a3"/>
              <w:spacing w:before="0" w:beforeAutospacing="0" w:after="0" w:afterAutospacing="0"/>
              <w:ind w:left="220" w:hanging="220"/>
              <w:rPr>
                <w:sz w:val="20"/>
                <w:szCs w:val="20"/>
              </w:rPr>
            </w:pPr>
            <w:r>
              <w:rPr>
                <w:sz w:val="20"/>
                <w:szCs w:val="20"/>
              </w:rPr>
              <w:t>Unencumbered Asset Net Operating Income to Total Unsecured Interest Expense</w:t>
            </w:r>
          </w:p>
        </w:tc>
        <w:tc>
          <w:tcPr>
            <w:tcW w:w="150" w:type="pct"/>
            <w:shd w:val="clear" w:color="auto" w:fill="CCEEFF"/>
            <w:vAlign w:val="bottom"/>
            <w:hideMark/>
          </w:tcPr>
          <w:p w14:paraId="5A2C172E"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8821F9E" w14:textId="77777777" w:rsidR="00000000" w:rsidRDefault="00527094">
            <w:pPr>
              <w:pStyle w:val="a3"/>
              <w:spacing w:before="0" w:beforeAutospacing="0" w:after="0" w:afterAutospacing="0"/>
              <w:jc w:val="center"/>
              <w:rPr>
                <w:sz w:val="20"/>
                <w:szCs w:val="20"/>
              </w:rPr>
            </w:pPr>
            <w:r>
              <w:rPr>
                <w:sz w:val="20"/>
                <w:szCs w:val="20"/>
              </w:rPr>
              <w:t>&gt;1.75x</w:t>
            </w:r>
          </w:p>
        </w:tc>
        <w:tc>
          <w:tcPr>
            <w:tcW w:w="150" w:type="pct"/>
            <w:shd w:val="clear" w:color="auto" w:fill="CCEEFF"/>
            <w:vAlign w:val="bottom"/>
            <w:hideMark/>
          </w:tcPr>
          <w:p w14:paraId="6303DD6B" w14:textId="77777777" w:rsidR="00000000" w:rsidRDefault="00527094">
            <w:pPr>
              <w:rPr>
                <w:rFonts w:eastAsia="Times New Roman"/>
                <w:sz w:val="20"/>
                <w:szCs w:val="20"/>
              </w:rPr>
            </w:pPr>
            <w:r>
              <w:rPr>
                <w:rFonts w:eastAsia="Times New Roman"/>
                <w:sz w:val="20"/>
                <w:szCs w:val="20"/>
              </w:rPr>
              <w:t> </w:t>
            </w:r>
          </w:p>
        </w:tc>
        <w:tc>
          <w:tcPr>
            <w:tcW w:w="1050" w:type="pct"/>
            <w:shd w:val="clear" w:color="auto" w:fill="CCEEFF"/>
            <w:vAlign w:val="bottom"/>
            <w:hideMark/>
          </w:tcPr>
          <w:p w14:paraId="265236BA" w14:textId="77777777" w:rsidR="00000000" w:rsidRDefault="00527094">
            <w:pPr>
              <w:pStyle w:val="a3"/>
              <w:spacing w:before="0" w:beforeAutospacing="0" w:after="0" w:afterAutospacing="0"/>
              <w:jc w:val="center"/>
              <w:rPr>
                <w:sz w:val="20"/>
                <w:szCs w:val="20"/>
              </w:rPr>
            </w:pPr>
            <w:r>
              <w:rPr>
                <w:sz w:val="20"/>
                <w:szCs w:val="20"/>
              </w:rPr>
              <w:t>4.3x</w:t>
            </w:r>
          </w:p>
        </w:tc>
      </w:tr>
      <w:tr w:rsidR="00000000" w14:paraId="752B3907" w14:textId="77777777">
        <w:trPr>
          <w:tblCellSpacing w:w="0" w:type="dxa"/>
        </w:trPr>
        <w:tc>
          <w:tcPr>
            <w:tcW w:w="3150" w:type="pct"/>
            <w:shd w:val="clear" w:color="auto" w:fill="FFFFFF"/>
            <w:hideMark/>
          </w:tcPr>
          <w:p w14:paraId="13D70AB4" w14:textId="77777777" w:rsidR="00000000" w:rsidRDefault="00527094">
            <w:pPr>
              <w:pStyle w:val="a3"/>
              <w:spacing w:before="0" w:beforeAutospacing="0" w:after="0" w:afterAutospacing="0"/>
              <w:ind w:left="220" w:hanging="220"/>
              <w:rPr>
                <w:sz w:val="20"/>
                <w:szCs w:val="20"/>
              </w:rPr>
            </w:pPr>
            <w:r>
              <w:rPr>
                <w:sz w:val="20"/>
                <w:szCs w:val="20"/>
              </w:rPr>
              <w:t>Fixed Charge Total Adjusted EBITDA to Total Debt Service</w:t>
            </w:r>
          </w:p>
        </w:tc>
        <w:tc>
          <w:tcPr>
            <w:tcW w:w="150" w:type="pct"/>
            <w:shd w:val="clear" w:color="auto" w:fill="FFFFFF"/>
            <w:vAlign w:val="bottom"/>
            <w:hideMark/>
          </w:tcPr>
          <w:p w14:paraId="3BC253F6" w14:textId="77777777" w:rsidR="00000000" w:rsidRDefault="0052709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91BE387" w14:textId="77777777" w:rsidR="00000000" w:rsidRDefault="00527094">
            <w:pPr>
              <w:pStyle w:val="a3"/>
              <w:spacing w:before="0" w:beforeAutospacing="0" w:after="0" w:afterAutospacing="0"/>
              <w:jc w:val="center"/>
              <w:rPr>
                <w:sz w:val="20"/>
                <w:szCs w:val="20"/>
              </w:rPr>
            </w:pPr>
            <w:r>
              <w:rPr>
                <w:sz w:val="20"/>
                <w:szCs w:val="20"/>
              </w:rPr>
              <w:t>&gt;1.50x</w:t>
            </w:r>
          </w:p>
        </w:tc>
        <w:tc>
          <w:tcPr>
            <w:tcW w:w="150" w:type="pct"/>
            <w:shd w:val="clear" w:color="auto" w:fill="FFFFFF"/>
            <w:vAlign w:val="bottom"/>
            <w:hideMark/>
          </w:tcPr>
          <w:p w14:paraId="2DF47FBF" w14:textId="77777777" w:rsidR="00000000" w:rsidRDefault="00527094">
            <w:pPr>
              <w:rPr>
                <w:rFonts w:eastAsia="Times New Roman"/>
                <w:sz w:val="20"/>
                <w:szCs w:val="20"/>
              </w:rPr>
            </w:pPr>
            <w:r>
              <w:rPr>
                <w:rFonts w:eastAsia="Times New Roman"/>
                <w:sz w:val="20"/>
                <w:szCs w:val="20"/>
              </w:rPr>
              <w:t> </w:t>
            </w:r>
          </w:p>
        </w:tc>
        <w:tc>
          <w:tcPr>
            <w:tcW w:w="1050" w:type="pct"/>
            <w:shd w:val="clear" w:color="auto" w:fill="FFFFFF"/>
            <w:vAlign w:val="bottom"/>
            <w:hideMark/>
          </w:tcPr>
          <w:p w14:paraId="17D583BA" w14:textId="77777777" w:rsidR="00000000" w:rsidRDefault="00527094">
            <w:pPr>
              <w:pStyle w:val="a3"/>
              <w:spacing w:before="0" w:beforeAutospacing="0" w:after="0" w:afterAutospacing="0"/>
              <w:jc w:val="center"/>
              <w:rPr>
                <w:sz w:val="20"/>
                <w:szCs w:val="20"/>
              </w:rPr>
            </w:pPr>
            <w:r>
              <w:rPr>
                <w:sz w:val="20"/>
                <w:szCs w:val="20"/>
              </w:rPr>
              <w:t>3.0x</w:t>
            </w:r>
          </w:p>
        </w:tc>
      </w:tr>
    </w:tbl>
    <w:p w14:paraId="1637C62B" w14:textId="77777777" w:rsidR="00000000" w:rsidRDefault="00527094">
      <w:pPr>
        <w:pStyle w:val="a3"/>
        <w:spacing w:before="0" w:beforeAutospacing="0" w:after="0" w:afterAutospacing="0"/>
        <w:ind w:firstLine="360"/>
        <w:jc w:val="both"/>
        <w:rPr>
          <w:sz w:val="20"/>
          <w:szCs w:val="20"/>
        </w:rPr>
      </w:pPr>
      <w:r>
        <w:rPr>
          <w:sz w:val="20"/>
          <w:szCs w:val="20"/>
        </w:rPr>
        <w:t> </w:t>
      </w:r>
    </w:p>
    <w:p w14:paraId="74BA2693" w14:textId="77777777" w:rsidR="00000000" w:rsidRDefault="00527094">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1, 2018, filed as Exhibit 10.1 to the Company’s Current Report on Form 8-K dated January 30, 2018.</w:t>
      </w:r>
    </w:p>
    <w:p w14:paraId="2466D622" w14:textId="77777777" w:rsidR="00000000" w:rsidRDefault="00527094">
      <w:pPr>
        <w:pStyle w:val="a3"/>
        <w:spacing w:before="0" w:beforeAutospacing="0" w:after="0" w:afterAutospacing="0"/>
        <w:ind w:firstLine="720"/>
        <w:jc w:val="both"/>
        <w:rPr>
          <w:sz w:val="20"/>
          <w:szCs w:val="20"/>
        </w:rPr>
      </w:pPr>
      <w:r>
        <w:rPr>
          <w:sz w:val="20"/>
          <w:szCs w:val="20"/>
        </w:rPr>
        <w:t> </w:t>
      </w:r>
    </w:p>
    <w:p w14:paraId="18318C3A" w14:textId="77777777" w:rsidR="00000000" w:rsidRDefault="00527094">
      <w:pPr>
        <w:pStyle w:val="a3"/>
        <w:spacing w:before="0" w:beforeAutospacing="0" w:after="0" w:afterAutospacing="0"/>
        <w:jc w:val="both"/>
        <w:rPr>
          <w:sz w:val="20"/>
          <w:szCs w:val="20"/>
        </w:rPr>
      </w:pPr>
      <w:r>
        <w:rPr>
          <w:i/>
          <w:iCs/>
          <w:sz w:val="20"/>
          <w:szCs w:val="20"/>
        </w:rPr>
        <w:t>Mortgages and Constructi</w:t>
      </w:r>
      <w:r>
        <w:rPr>
          <w:i/>
          <w:iCs/>
          <w:sz w:val="20"/>
          <w:szCs w:val="20"/>
        </w:rPr>
        <w:t>on Loan Payable –</w:t>
      </w:r>
    </w:p>
    <w:p w14:paraId="3FDD578D" w14:textId="77777777" w:rsidR="00000000" w:rsidRDefault="00527094">
      <w:pPr>
        <w:pStyle w:val="a3"/>
        <w:spacing w:before="0" w:beforeAutospacing="0" w:after="0" w:afterAutospacing="0"/>
        <w:jc w:val="both"/>
        <w:rPr>
          <w:sz w:val="20"/>
          <w:szCs w:val="20"/>
        </w:rPr>
      </w:pPr>
      <w:r>
        <w:rPr>
          <w:i/>
          <w:iCs/>
          <w:sz w:val="20"/>
          <w:szCs w:val="20"/>
        </w:rPr>
        <w:t> </w:t>
      </w:r>
    </w:p>
    <w:p w14:paraId="297484D4" w14:textId="77777777" w:rsidR="00000000" w:rsidRDefault="00527094">
      <w:pPr>
        <w:pStyle w:val="a3"/>
        <w:spacing w:before="0" w:beforeAutospacing="0" w:after="0" w:afterAutospacing="0"/>
        <w:ind w:firstLine="360"/>
        <w:jc w:val="both"/>
        <w:rPr>
          <w:sz w:val="20"/>
          <w:szCs w:val="20"/>
        </w:rPr>
      </w:pPr>
      <w:r>
        <w:rPr>
          <w:sz w:val="20"/>
          <w:szCs w:val="20"/>
        </w:rPr>
        <w:t>During the six months ended June 30, 2019, the Company repaid $6.2 million of mortgage debt that encumbered two operating properties.</w:t>
      </w:r>
    </w:p>
    <w:p w14:paraId="7618933A" w14:textId="77777777" w:rsidR="00000000" w:rsidRDefault="00527094">
      <w:pPr>
        <w:pStyle w:val="a3"/>
        <w:spacing w:before="0" w:beforeAutospacing="0" w:after="0" w:afterAutospacing="0"/>
        <w:ind w:firstLine="360"/>
        <w:jc w:val="both"/>
        <w:rPr>
          <w:sz w:val="20"/>
          <w:szCs w:val="20"/>
        </w:rPr>
      </w:pPr>
      <w:r>
        <w:rPr>
          <w:sz w:val="20"/>
          <w:szCs w:val="20"/>
        </w:rPr>
        <w:t> </w:t>
      </w:r>
    </w:p>
    <w:p w14:paraId="27D50C96" w14:textId="77777777" w:rsidR="00000000" w:rsidRDefault="00527094">
      <w:pPr>
        <w:pStyle w:val="a3"/>
        <w:spacing w:before="0" w:beforeAutospacing="0" w:after="0" w:afterAutospacing="0"/>
        <w:ind w:firstLine="360"/>
        <w:jc w:val="both"/>
        <w:rPr>
          <w:sz w:val="20"/>
          <w:szCs w:val="20"/>
        </w:rPr>
      </w:pPr>
      <w:r>
        <w:rPr>
          <w:sz w:val="20"/>
          <w:szCs w:val="20"/>
        </w:rPr>
        <w:t>In August 2018, the Company closed on a construction loan commitment of $67.0 million relating to one of its development projects. This loan commitment is scheduled to mature in August 2020, with six additional six-month options to extend the maturity date</w:t>
      </w:r>
      <w:r>
        <w:rPr>
          <w:sz w:val="20"/>
          <w:szCs w:val="20"/>
        </w:rPr>
        <w:t xml:space="preserve"> to August 2023 and bears interest at a rate of LIBOR plus 180 basis points (4.20% as of June 30, 2019). As of June 30, 2019, the construction loan had a balance of $58.1 million outstanding.</w:t>
      </w:r>
    </w:p>
    <w:p w14:paraId="33509B5A" w14:textId="77777777" w:rsidR="00000000" w:rsidRDefault="00527094">
      <w:pPr>
        <w:pStyle w:val="a3"/>
        <w:spacing w:before="0" w:beforeAutospacing="0" w:after="0" w:afterAutospacing="0"/>
        <w:ind w:firstLine="360"/>
        <w:jc w:val="both"/>
        <w:rPr>
          <w:sz w:val="20"/>
          <w:szCs w:val="20"/>
        </w:rPr>
      </w:pPr>
      <w:r>
        <w:rPr>
          <w:sz w:val="20"/>
          <w:szCs w:val="20"/>
        </w:rPr>
        <w:t> </w:t>
      </w:r>
    </w:p>
    <w:p w14:paraId="3664A2C3" w14:textId="77777777" w:rsidR="00000000" w:rsidRDefault="00527094">
      <w:pPr>
        <w:pStyle w:val="a3"/>
        <w:spacing w:before="0" w:beforeAutospacing="0" w:after="0" w:afterAutospacing="0"/>
        <w:ind w:firstLine="360"/>
        <w:jc w:val="both"/>
        <w:rPr>
          <w:sz w:val="20"/>
          <w:szCs w:val="20"/>
        </w:rPr>
      </w:pPr>
      <w:r>
        <w:rPr>
          <w:sz w:val="20"/>
          <w:szCs w:val="20"/>
        </w:rPr>
        <w:t>In addition to the public equity and debt markets as capital s</w:t>
      </w:r>
      <w:r>
        <w:rPr>
          <w:sz w:val="20"/>
          <w:szCs w:val="20"/>
        </w:rPr>
        <w:t>ources, the Company may, from time-to-time, obtain mortgage financing on selected properties and construction loan financing to partially fund the capital needs of its real estate development projects. As of June 30, 2019, the Company had over 320 unencumb</w:t>
      </w:r>
      <w:r>
        <w:rPr>
          <w:sz w:val="20"/>
          <w:szCs w:val="20"/>
        </w:rPr>
        <w:t>ered property interests in its portfolio.</w:t>
      </w:r>
    </w:p>
    <w:p w14:paraId="4DC4EF3A" w14:textId="77777777" w:rsidR="00000000" w:rsidRDefault="00527094">
      <w:pPr>
        <w:pStyle w:val="a3"/>
        <w:spacing w:before="0" w:beforeAutospacing="0" w:after="0" w:afterAutospacing="0"/>
        <w:ind w:firstLine="720"/>
        <w:jc w:val="both"/>
        <w:rPr>
          <w:sz w:val="20"/>
          <w:szCs w:val="20"/>
        </w:rPr>
      </w:pPr>
      <w:r>
        <w:rPr>
          <w:sz w:val="20"/>
          <w:szCs w:val="20"/>
        </w:rPr>
        <w:t> </w:t>
      </w:r>
    </w:p>
    <w:p w14:paraId="171A5C7D" w14:textId="77777777" w:rsidR="00000000" w:rsidRDefault="00527094">
      <w:pPr>
        <w:pStyle w:val="a3"/>
        <w:spacing w:before="0" w:beforeAutospacing="0" w:after="0" w:afterAutospacing="0"/>
        <w:jc w:val="both"/>
        <w:rPr>
          <w:sz w:val="20"/>
          <w:szCs w:val="20"/>
        </w:rPr>
      </w:pPr>
      <w:r>
        <w:rPr>
          <w:i/>
          <w:iCs/>
          <w:sz w:val="20"/>
          <w:szCs w:val="20"/>
        </w:rPr>
        <w:t>Dividends –</w:t>
      </w:r>
    </w:p>
    <w:p w14:paraId="695AE7C5" w14:textId="77777777" w:rsidR="00000000" w:rsidRDefault="00527094">
      <w:pPr>
        <w:pStyle w:val="a3"/>
        <w:spacing w:before="0" w:beforeAutospacing="0" w:after="0" w:afterAutospacing="0"/>
        <w:jc w:val="both"/>
        <w:rPr>
          <w:sz w:val="20"/>
          <w:szCs w:val="20"/>
        </w:rPr>
      </w:pPr>
      <w:r>
        <w:rPr>
          <w:i/>
          <w:iCs/>
          <w:sz w:val="20"/>
          <w:szCs w:val="20"/>
        </w:rPr>
        <w:t> </w:t>
      </w:r>
    </w:p>
    <w:p w14:paraId="5F7A71E4" w14:textId="77777777" w:rsidR="00000000" w:rsidRDefault="00527094">
      <w:pPr>
        <w:pStyle w:val="a3"/>
        <w:spacing w:before="0" w:beforeAutospacing="0" w:after="0" w:afterAutospacing="0"/>
        <w:ind w:firstLine="360"/>
        <w:jc w:val="both"/>
        <w:rPr>
          <w:sz w:val="20"/>
          <w:szCs w:val="20"/>
        </w:rPr>
      </w:pPr>
      <w:r>
        <w:rPr>
          <w:sz w:val="20"/>
          <w:szCs w:val="20"/>
        </w:rPr>
        <w:t xml:space="preserve">In connection with its intention to continue to qualify as a REIT for federal income tax purposes, the Company expects to continue paying regular dividends to its stockholders. These dividends will </w:t>
      </w:r>
      <w:r>
        <w:rPr>
          <w:sz w:val="20"/>
          <w:szCs w:val="20"/>
        </w:rPr>
        <w:t>be paid from operating cash flows. The Company’s Board of Directors will continue to evaluate the Company’s dividend policy on a quarterly basis as the Board of Directors monitors sources of capital and evaluates the impact of the economy and capital marke</w:t>
      </w:r>
      <w:r>
        <w:rPr>
          <w:sz w:val="20"/>
          <w:szCs w:val="20"/>
        </w:rPr>
        <w:t xml:space="preserve">ts availability on operating fundamentals.  Since cash used to pay dividends reduces amounts available for capital investment, the Company generally intends to maintain a conservative dividend payout ratio, reserving such amounts as it considers necessary </w:t>
      </w:r>
      <w:r>
        <w:rPr>
          <w:sz w:val="20"/>
          <w:szCs w:val="20"/>
        </w:rPr>
        <w:t>for the expansion and renovation of shopping centers in its portfolio, debt reduction, the acquisition of interests in new properties and other investments as suitable opportunities arise and such other factors as the Board of Directors considers appropria</w:t>
      </w:r>
      <w:r>
        <w:rPr>
          <w:sz w:val="20"/>
          <w:szCs w:val="20"/>
        </w:rPr>
        <w:t>te.  Cash dividends paid for common and preferred issuances of stock for the six months ended June 30, 2019 and 2018 were $265.2 million and $264.7 million, respectively.</w:t>
      </w:r>
    </w:p>
    <w:p w14:paraId="7770254C" w14:textId="77777777" w:rsidR="00000000" w:rsidRDefault="00527094">
      <w:pPr>
        <w:pStyle w:val="a3"/>
        <w:spacing w:before="0" w:beforeAutospacing="0" w:after="0" w:afterAutospacing="0"/>
        <w:jc w:val="both"/>
        <w:rPr>
          <w:sz w:val="20"/>
          <w:szCs w:val="20"/>
        </w:rPr>
      </w:pPr>
      <w:r>
        <w:rPr>
          <w:sz w:val="20"/>
          <w:szCs w:val="20"/>
        </w:rPr>
        <w:t> </w:t>
      </w:r>
    </w:p>
    <w:p w14:paraId="2453BCE9" w14:textId="77777777" w:rsidR="00000000" w:rsidRDefault="00527094">
      <w:pPr>
        <w:pStyle w:val="a3"/>
        <w:spacing w:before="0" w:beforeAutospacing="0" w:after="0" w:afterAutospacing="0"/>
        <w:ind w:firstLine="360"/>
        <w:jc w:val="both"/>
        <w:rPr>
          <w:sz w:val="20"/>
          <w:szCs w:val="20"/>
        </w:rPr>
      </w:pPr>
      <w:r>
        <w:rPr>
          <w:sz w:val="20"/>
          <w:szCs w:val="20"/>
        </w:rPr>
        <w:t>Although the Company receives substantially all of its rental payments on a monthly</w:t>
      </w:r>
      <w:r>
        <w:rPr>
          <w:sz w:val="20"/>
          <w:szCs w:val="20"/>
        </w:rPr>
        <w:t xml:space="preserve"> basis, it generally intends to continue paying dividends quarterly. Amounts accumulated in advance of each quarterly distribution will be invested by the Company in short-term money market or other suitable instruments. On April 30, 2019, the Company’s Bo</w:t>
      </w:r>
      <w:r>
        <w:rPr>
          <w:sz w:val="20"/>
          <w:szCs w:val="20"/>
        </w:rPr>
        <w:t>ard of Directors declared a quarterly cash dividend of $0.28 per common share payable to shareholders of record on July 2, 2019, which was paid on July 15, 2019. Additionally, on July 23, 2019, the Company’s Board of Directors declared a quarterly cash div</w:t>
      </w:r>
      <w:r>
        <w:rPr>
          <w:sz w:val="20"/>
          <w:szCs w:val="20"/>
        </w:rPr>
        <w:t>idend of $0.28 per common share payable to shareholders of record on October 2, 2019, which is scheduled to be paid on October 15, 2019.</w:t>
      </w:r>
    </w:p>
    <w:p w14:paraId="3B830A7D" w14:textId="77777777" w:rsidR="00000000" w:rsidRDefault="00527094">
      <w:pPr>
        <w:pStyle w:val="a3"/>
        <w:spacing w:before="0" w:beforeAutospacing="0" w:after="0" w:afterAutospacing="0"/>
        <w:ind w:firstLine="360"/>
        <w:jc w:val="both"/>
        <w:rPr>
          <w:sz w:val="20"/>
          <w:szCs w:val="20"/>
        </w:rPr>
      </w:pPr>
      <w:r>
        <w:rPr>
          <w:sz w:val="20"/>
          <w:szCs w:val="20"/>
        </w:rPr>
        <w:t> </w:t>
      </w:r>
    </w:p>
    <w:p w14:paraId="2D364111" w14:textId="77777777" w:rsidR="00000000" w:rsidRDefault="00527094">
      <w:pPr>
        <w:pStyle w:val="a3"/>
        <w:spacing w:before="0" w:beforeAutospacing="0" w:after="0" w:afterAutospacing="0"/>
        <w:ind w:firstLine="360"/>
        <w:jc w:val="both"/>
        <w:rPr>
          <w:sz w:val="20"/>
          <w:szCs w:val="20"/>
        </w:rPr>
      </w:pPr>
      <w:r>
        <w:rPr>
          <w:sz w:val="20"/>
          <w:szCs w:val="20"/>
        </w:rPr>
        <w:t>The Company’s Board of Directors also declared quarterly dividends with respect to the Company’s various classes of c</w:t>
      </w:r>
      <w:r>
        <w:rPr>
          <w:sz w:val="20"/>
          <w:szCs w:val="20"/>
        </w:rPr>
        <w:t>umulative redeemable preferred shares (Classes I, J, K, L and M). All dividends on the preferred shares were paid on July 15, 2019 to shareholders of record on July 1, 2019. Additionally, the Company’s Board of Directors also declared quarterly dividends w</w:t>
      </w:r>
      <w:r>
        <w:rPr>
          <w:sz w:val="20"/>
          <w:szCs w:val="20"/>
        </w:rPr>
        <w:t>ith respect to the Company’s various classes of cumulative redeemable preferred shares (Classes I, J, K, L and M). All dividends on the preferred shares are scheduled to be paid on October 15, 2019, to shareholders of record on October 1, 2019.</w:t>
      </w:r>
    </w:p>
    <w:p w14:paraId="156AF2FC" w14:textId="77777777" w:rsidR="00000000" w:rsidRDefault="00527094">
      <w:pPr>
        <w:pStyle w:val="a3"/>
        <w:spacing w:before="0" w:beforeAutospacing="0" w:after="0" w:afterAutospacing="0"/>
        <w:jc w:val="both"/>
        <w:rPr>
          <w:sz w:val="20"/>
          <w:szCs w:val="20"/>
        </w:rPr>
      </w:pPr>
      <w:r>
        <w:rPr>
          <w:sz w:val="20"/>
          <w:szCs w:val="20"/>
        </w:rPr>
        <w:t> </w:t>
      </w:r>
    </w:p>
    <w:p w14:paraId="42F85DCD" w14:textId="77777777" w:rsidR="00000000" w:rsidRDefault="00527094">
      <w:pPr>
        <w:pStyle w:val="a3"/>
        <w:spacing w:before="0" w:beforeAutospacing="0" w:after="0" w:afterAutospacing="0"/>
        <w:jc w:val="both"/>
        <w:rPr>
          <w:sz w:val="20"/>
          <w:szCs w:val="20"/>
        </w:rPr>
      </w:pPr>
      <w:r>
        <w:rPr>
          <w:i/>
          <w:iCs/>
          <w:sz w:val="20"/>
          <w:szCs w:val="20"/>
        </w:rPr>
        <w:t>Hurricane</w:t>
      </w:r>
      <w:r>
        <w:rPr>
          <w:i/>
          <w:iCs/>
          <w:sz w:val="20"/>
          <w:szCs w:val="20"/>
        </w:rPr>
        <w:t xml:space="preserve"> Impact –</w:t>
      </w:r>
    </w:p>
    <w:p w14:paraId="4D335A69" w14:textId="77777777" w:rsidR="00000000" w:rsidRDefault="00527094">
      <w:pPr>
        <w:pStyle w:val="a3"/>
        <w:spacing w:before="0" w:beforeAutospacing="0" w:after="0" w:afterAutospacing="0"/>
        <w:ind w:firstLine="360"/>
        <w:jc w:val="both"/>
        <w:rPr>
          <w:sz w:val="20"/>
          <w:szCs w:val="20"/>
        </w:rPr>
      </w:pPr>
      <w:r>
        <w:rPr>
          <w:sz w:val="20"/>
          <w:szCs w:val="20"/>
        </w:rPr>
        <w:t> </w:t>
      </w:r>
    </w:p>
    <w:p w14:paraId="46205F49" w14:textId="77777777" w:rsidR="00000000" w:rsidRDefault="00527094">
      <w:pPr>
        <w:pStyle w:val="a3"/>
        <w:spacing w:before="0" w:beforeAutospacing="0" w:after="0" w:afterAutospacing="0"/>
        <w:ind w:firstLine="360"/>
        <w:jc w:val="both"/>
        <w:rPr>
          <w:sz w:val="20"/>
          <w:szCs w:val="20"/>
        </w:rPr>
      </w:pPr>
      <w:r>
        <w:rPr>
          <w:sz w:val="20"/>
          <w:szCs w:val="20"/>
        </w:rPr>
        <w:t>On September 20, 2017, Hurricane Maria struck Puerto Rico as a Category 4 hurricane which resulted in widespread damage, flooding, and power outages. The Company has interests in seven operating properties located throughout Puerto Rico, aggreg</w:t>
      </w:r>
      <w:r>
        <w:rPr>
          <w:sz w:val="20"/>
          <w:szCs w:val="20"/>
        </w:rPr>
        <w:t>ating 2.2 million square feet of GLA, which were variously impacted by the hurricane. The Company maintains a comprehensive property insurance policy on these properties with total coverage of up to $62.0 million, as well as business interruption insurance</w:t>
      </w:r>
      <w:r>
        <w:rPr>
          <w:sz w:val="20"/>
          <w:szCs w:val="20"/>
        </w:rPr>
        <w:t xml:space="preserve"> with coverage up to $39.3 million in the aggregate, subject to a collective deductible of $1.2 million.</w:t>
      </w:r>
    </w:p>
    <w:p w14:paraId="62F457FF" w14:textId="77777777" w:rsidR="00000000" w:rsidRDefault="00527094">
      <w:pPr>
        <w:pStyle w:val="a3"/>
        <w:spacing w:before="0" w:beforeAutospacing="0" w:after="0" w:afterAutospacing="0"/>
        <w:ind w:firstLine="360"/>
        <w:jc w:val="both"/>
        <w:rPr>
          <w:sz w:val="20"/>
          <w:szCs w:val="20"/>
        </w:rPr>
      </w:pPr>
      <w:r>
        <w:rPr>
          <w:sz w:val="20"/>
          <w:szCs w:val="20"/>
        </w:rPr>
        <w:t> </w:t>
      </w:r>
    </w:p>
    <w:p w14:paraId="52E0C1BB" w14:textId="77777777" w:rsidR="00000000" w:rsidRDefault="00527094">
      <w:pPr>
        <w:pStyle w:val="a3"/>
        <w:spacing w:before="0" w:beforeAutospacing="0" w:after="0" w:afterAutospacing="0"/>
        <w:ind w:firstLine="360"/>
        <w:jc w:val="both"/>
        <w:rPr>
          <w:sz w:val="20"/>
          <w:szCs w:val="20"/>
        </w:rPr>
      </w:pPr>
      <w:r>
        <w:rPr>
          <w:sz w:val="20"/>
          <w:szCs w:val="20"/>
        </w:rPr>
        <w:t>The Company expects to collect property insurance proceeds (net of deductible) equal to the replacement cost of its damaged property, currently estim</w:t>
      </w:r>
      <w:r>
        <w:rPr>
          <w:sz w:val="20"/>
          <w:szCs w:val="20"/>
        </w:rPr>
        <w:t xml:space="preserve">ated to be approximately $30.3 million. As of June 30, 2019, the Company has collected property insurance proceeds totaling $22.2 million, which exceeds the $16.0 million previously written-off due to property damage by $6.2 million. During the six months </w:t>
      </w:r>
      <w:r>
        <w:rPr>
          <w:sz w:val="20"/>
          <w:szCs w:val="20"/>
        </w:rPr>
        <w:t>ended June 30, 2019, the Company collected property insurance proceeds of $2.0 million and recognized this as income, which is included in Other income, net on the Company’s Condensed Consolidated Statements of Income.</w:t>
      </w:r>
    </w:p>
    <w:p w14:paraId="1374F296" w14:textId="77777777" w:rsidR="00000000" w:rsidRDefault="00527094">
      <w:pPr>
        <w:pStyle w:val="a3"/>
        <w:spacing w:before="0" w:beforeAutospacing="0" w:after="0" w:afterAutospacing="0"/>
        <w:ind w:firstLine="360"/>
        <w:jc w:val="both"/>
        <w:rPr>
          <w:sz w:val="20"/>
          <w:szCs w:val="20"/>
        </w:rPr>
      </w:pPr>
      <w:r>
        <w:rPr>
          <w:sz w:val="20"/>
          <w:szCs w:val="20"/>
        </w:rPr>
        <w:t> </w:t>
      </w:r>
    </w:p>
    <w:p w14:paraId="088B1B32" w14:textId="77777777" w:rsidR="00000000" w:rsidRDefault="00527094">
      <w:pPr>
        <w:jc w:val="center"/>
        <w:divId w:val="1011758594"/>
        <w:rPr>
          <w:rFonts w:eastAsia="Times New Roman"/>
          <w:sz w:val="20"/>
          <w:szCs w:val="20"/>
        </w:rPr>
      </w:pPr>
      <w:r>
        <w:rPr>
          <w:rFonts w:eastAsia="Times New Roman"/>
          <w:sz w:val="20"/>
          <w:szCs w:val="20"/>
        </w:rPr>
        <w:t xml:space="preserve">30 </w:t>
      </w:r>
    </w:p>
    <w:p w14:paraId="5B9EF134" w14:textId="77777777" w:rsidR="00000000" w:rsidRDefault="00527094">
      <w:pPr>
        <w:divId w:val="1011758594"/>
        <w:rPr>
          <w:rFonts w:eastAsia="Times New Roman"/>
          <w:sz w:val="20"/>
          <w:szCs w:val="20"/>
        </w:rPr>
      </w:pPr>
      <w:r>
        <w:rPr>
          <w:rFonts w:eastAsia="Times New Roman"/>
          <w:sz w:val="20"/>
          <w:szCs w:val="20"/>
        </w:rPr>
        <w:pict w14:anchorId="5111C199">
          <v:rect id="_x0000_i1058" style="width:0;height:1.5pt" o:hralign="center" o:hrstd="t" o:hr="t" fillcolor="#a0a0a0" stroked="f"/>
        </w:pict>
      </w:r>
    </w:p>
    <w:p w14:paraId="7B983FE3" w14:textId="77777777" w:rsidR="00000000" w:rsidRDefault="00527094">
      <w:pPr>
        <w:divId w:val="10117585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AD7EC2A" w14:textId="77777777" w:rsidR="00000000" w:rsidRDefault="00527094">
      <w:pPr>
        <w:pStyle w:val="a3"/>
        <w:spacing w:before="0" w:beforeAutospacing="0" w:after="0" w:afterAutospacing="0"/>
        <w:rPr>
          <w:sz w:val="20"/>
          <w:szCs w:val="20"/>
        </w:rPr>
      </w:pPr>
      <w:r>
        <w:rPr>
          <w:sz w:val="20"/>
          <w:szCs w:val="20"/>
        </w:rPr>
        <w:t> </w:t>
      </w:r>
    </w:p>
    <w:p w14:paraId="688BD51B" w14:textId="77777777" w:rsidR="00000000" w:rsidRDefault="00527094">
      <w:pPr>
        <w:pStyle w:val="a3"/>
        <w:spacing w:before="0" w:beforeAutospacing="0" w:after="0" w:afterAutospacing="0"/>
        <w:ind w:firstLine="360"/>
        <w:jc w:val="both"/>
        <w:rPr>
          <w:sz w:val="20"/>
          <w:szCs w:val="20"/>
        </w:rPr>
      </w:pPr>
      <w:r>
        <w:rPr>
          <w:sz w:val="20"/>
          <w:szCs w:val="20"/>
        </w:rPr>
        <w:t>The Company’</w:t>
      </w:r>
      <w:r>
        <w:rPr>
          <w:sz w:val="20"/>
          <w:szCs w:val="20"/>
        </w:rPr>
        <w:t>s business interruption insurance covers lost revenues as a result of the hurricane for a period of up to one year. After the expiration of one year following the loss, the policy has 365 days of an extended period of indemnity which provides business inte</w:t>
      </w:r>
      <w:r>
        <w:rPr>
          <w:sz w:val="20"/>
          <w:szCs w:val="20"/>
        </w:rPr>
        <w:t>rruption coverage in the event the properties have not fully recovered from the storm. Although the Company primarily recovered its business interruption insurance claims during 2018 and 2017, it will continue to assess and process any future business inte</w:t>
      </w:r>
      <w:r>
        <w:rPr>
          <w:sz w:val="20"/>
          <w:szCs w:val="20"/>
        </w:rPr>
        <w:t>rruption claims for the extended period of indemnity and will submit insurance claims for its losses, if any, under its business interruption insurance policy.</w:t>
      </w:r>
    </w:p>
    <w:p w14:paraId="577B6272" w14:textId="77777777" w:rsidR="00000000" w:rsidRDefault="00527094">
      <w:pPr>
        <w:pStyle w:val="a3"/>
        <w:spacing w:before="0" w:beforeAutospacing="0" w:after="0" w:afterAutospacing="0"/>
        <w:jc w:val="both"/>
        <w:rPr>
          <w:sz w:val="20"/>
          <w:szCs w:val="20"/>
        </w:rPr>
      </w:pPr>
      <w:r>
        <w:rPr>
          <w:sz w:val="20"/>
          <w:szCs w:val="20"/>
        </w:rPr>
        <w:t> </w:t>
      </w:r>
    </w:p>
    <w:p w14:paraId="337C8FFF" w14:textId="77777777" w:rsidR="00000000" w:rsidRDefault="00527094">
      <w:pPr>
        <w:pStyle w:val="a3"/>
        <w:spacing w:before="0" w:beforeAutospacing="0" w:after="0" w:afterAutospacing="0"/>
        <w:jc w:val="both"/>
        <w:rPr>
          <w:sz w:val="20"/>
          <w:szCs w:val="20"/>
        </w:rPr>
      </w:pPr>
      <w:r>
        <w:rPr>
          <w:i/>
          <w:iCs/>
          <w:sz w:val="20"/>
          <w:szCs w:val="20"/>
        </w:rPr>
        <w:t>Other –</w:t>
      </w:r>
    </w:p>
    <w:p w14:paraId="4CAD08A5" w14:textId="77777777" w:rsidR="00000000" w:rsidRDefault="00527094">
      <w:pPr>
        <w:pStyle w:val="a3"/>
        <w:spacing w:before="0" w:beforeAutospacing="0" w:after="0" w:afterAutospacing="0"/>
        <w:jc w:val="both"/>
        <w:rPr>
          <w:sz w:val="20"/>
          <w:szCs w:val="20"/>
        </w:rPr>
      </w:pPr>
      <w:r>
        <w:rPr>
          <w:sz w:val="20"/>
          <w:szCs w:val="20"/>
        </w:rPr>
        <w:t>  </w:t>
      </w:r>
    </w:p>
    <w:p w14:paraId="25318812" w14:textId="77777777" w:rsidR="00000000" w:rsidRDefault="00527094">
      <w:pPr>
        <w:pStyle w:val="a3"/>
        <w:spacing w:before="0" w:beforeAutospacing="0" w:after="0" w:afterAutospacing="0"/>
        <w:ind w:firstLine="360"/>
        <w:jc w:val="both"/>
        <w:rPr>
          <w:sz w:val="20"/>
          <w:szCs w:val="20"/>
        </w:rPr>
      </w:pPr>
      <w:r>
        <w:rPr>
          <w:sz w:val="20"/>
          <w:szCs w:val="20"/>
        </w:rPr>
        <w:t>The Company is subject to taxes on its activities in Canada, Puerto Rico and Mexico</w:t>
      </w:r>
      <w:r>
        <w:rPr>
          <w:sz w:val="20"/>
          <w:szCs w:val="20"/>
        </w:rPr>
        <w:t>.  In general, under local country law applicable to the structures the Company has in place and applicable treaties, the repatriation of cash to the Company from its subsidiaries and joint ventures in Canada, Puerto Rico and Mexico generally are not subje</w:t>
      </w:r>
      <w:r>
        <w:rPr>
          <w:sz w:val="20"/>
          <w:szCs w:val="20"/>
        </w:rPr>
        <w:t>ct to withholding tax. The Company is subject to and also includes in its tax provision non-U.S. income taxes on certain investments located in jurisdictions outside the U.S. These investments are held by the Company at the REIT level and not in the Compan</w:t>
      </w:r>
      <w:r>
        <w:rPr>
          <w:sz w:val="20"/>
          <w:szCs w:val="20"/>
        </w:rPr>
        <w:t>y’s taxable REIT subsidiary. Accordingly, the Company does not expect a U.S. income tax impact associated with the repatriation of undistributed earnings from the Company’s foreign subsidiaries.</w:t>
      </w:r>
    </w:p>
    <w:p w14:paraId="783DE41E" w14:textId="77777777" w:rsidR="00000000" w:rsidRDefault="00527094">
      <w:pPr>
        <w:pStyle w:val="a3"/>
        <w:spacing w:before="0" w:beforeAutospacing="0" w:after="0" w:afterAutospacing="0"/>
        <w:jc w:val="both"/>
        <w:rPr>
          <w:sz w:val="20"/>
          <w:szCs w:val="20"/>
        </w:rPr>
      </w:pPr>
      <w:r>
        <w:rPr>
          <w:sz w:val="20"/>
          <w:szCs w:val="20"/>
        </w:rPr>
        <w:t> </w:t>
      </w:r>
    </w:p>
    <w:p w14:paraId="79653AF8" w14:textId="77777777" w:rsidR="00000000" w:rsidRDefault="00527094">
      <w:pPr>
        <w:pStyle w:val="a3"/>
        <w:spacing w:before="0" w:beforeAutospacing="0" w:after="0" w:afterAutospacing="0"/>
        <w:jc w:val="both"/>
        <w:rPr>
          <w:sz w:val="20"/>
          <w:szCs w:val="20"/>
        </w:rPr>
      </w:pPr>
      <w:r>
        <w:rPr>
          <w:sz w:val="20"/>
          <w:szCs w:val="20"/>
          <w:u w:val="single"/>
        </w:rPr>
        <w:t>Funds From Operations</w:t>
      </w:r>
    </w:p>
    <w:p w14:paraId="3B9447D6" w14:textId="77777777" w:rsidR="00000000" w:rsidRDefault="00527094">
      <w:pPr>
        <w:pStyle w:val="a3"/>
        <w:spacing w:before="0" w:beforeAutospacing="0" w:after="0" w:afterAutospacing="0"/>
        <w:jc w:val="both"/>
        <w:rPr>
          <w:sz w:val="20"/>
          <w:szCs w:val="20"/>
        </w:rPr>
      </w:pPr>
      <w:r>
        <w:rPr>
          <w:sz w:val="20"/>
          <w:szCs w:val="20"/>
        </w:rPr>
        <w:t> </w:t>
      </w:r>
    </w:p>
    <w:p w14:paraId="4294AD71" w14:textId="77777777" w:rsidR="00000000" w:rsidRDefault="00527094">
      <w:pPr>
        <w:pStyle w:val="a3"/>
        <w:spacing w:before="0" w:beforeAutospacing="0" w:after="0" w:afterAutospacing="0"/>
        <w:ind w:firstLine="360"/>
        <w:jc w:val="both"/>
        <w:rPr>
          <w:sz w:val="20"/>
          <w:szCs w:val="20"/>
        </w:rPr>
      </w:pPr>
      <w:r>
        <w:rPr>
          <w:sz w:val="20"/>
          <w:szCs w:val="20"/>
        </w:rPr>
        <w:t xml:space="preserve">Funds From Operations (“FFO”) is a </w:t>
      </w:r>
      <w:r>
        <w:rPr>
          <w:sz w:val="20"/>
          <w:szCs w:val="20"/>
        </w:rPr>
        <w:t xml:space="preserve">supplemental non-GAAP financial measure utilized to evaluate the operating performance of real estate companies. In December 2018, the National Association of Real Estate Investment Trusts (“NAREIT”) issued “NAREIT Funds From Operations White Paper – 2018 </w:t>
      </w:r>
      <w:r>
        <w:rPr>
          <w:sz w:val="20"/>
          <w:szCs w:val="20"/>
        </w:rPr>
        <w:t>Restatement” which clarifies, where necessary, existing guidance and consolidates alerts and policy bulletins into a single document for ease of use.  NAREIT defines FFO as net income/(loss) available to the Company’s common shareholders computed in accord</w:t>
      </w:r>
      <w:r>
        <w:rPr>
          <w:sz w:val="20"/>
          <w:szCs w:val="20"/>
        </w:rPr>
        <w:t>ance with generally accepted accounting principles in the United States (“GAAP”), excluding (i) depreciation and amortization related to real estate, (ii) gains or losses from sales of certain real estate assets, (iii) gains and losses from change in contr</w:t>
      </w:r>
      <w:r>
        <w:rPr>
          <w:sz w:val="20"/>
          <w:szCs w:val="20"/>
        </w:rPr>
        <w:t>ol, (iv) impairment write-downs of certain real estate assets and investments in entities when the impairment is directly attributable to decreases in the value of depreciable real estate held by the entity and (v) after adjustments for unconsolidated part</w:t>
      </w:r>
      <w:r>
        <w:rPr>
          <w:sz w:val="20"/>
          <w:szCs w:val="20"/>
        </w:rPr>
        <w:t xml:space="preserve">nerships and joint ventures calculated to reflect FFO on the same basis. Included in the 2018 Restatement is an option for the Company to make an election to include or exclude gains and losses on the sale of assets and impairments of assets incidental to </w:t>
      </w:r>
      <w:r>
        <w:rPr>
          <w:sz w:val="20"/>
          <w:szCs w:val="20"/>
        </w:rPr>
        <w:t>its main business in the calculation of FFO. The main business of a REIT is acquiring, owning, operating, developing and redeveloping real estate in conjunction with its rental of real estate.  Incidental assets may include, but are not limited to, land pe</w:t>
      </w:r>
      <w:r>
        <w:rPr>
          <w:sz w:val="20"/>
          <w:szCs w:val="20"/>
        </w:rPr>
        <w:t>ripheral to operating properties, property developed for sale, and securities. The NAREIT FFO White Paper – 2018 Restatement (“FFO White Paper - 2018 Restatement”) is effective for annual periods beginning after December 31, 2018 and interim periods report</w:t>
      </w:r>
      <w:r>
        <w:rPr>
          <w:sz w:val="20"/>
          <w:szCs w:val="20"/>
        </w:rPr>
        <w:t>ed within those periods.</w:t>
      </w:r>
    </w:p>
    <w:p w14:paraId="5CCE9394" w14:textId="77777777" w:rsidR="00000000" w:rsidRDefault="00527094">
      <w:pPr>
        <w:pStyle w:val="a3"/>
        <w:spacing w:before="0" w:beforeAutospacing="0" w:after="0" w:afterAutospacing="0"/>
        <w:ind w:firstLine="360"/>
        <w:jc w:val="both"/>
        <w:rPr>
          <w:sz w:val="20"/>
          <w:szCs w:val="20"/>
        </w:rPr>
      </w:pPr>
      <w:r>
        <w:rPr>
          <w:sz w:val="20"/>
          <w:szCs w:val="20"/>
        </w:rPr>
        <w:t> </w:t>
      </w:r>
    </w:p>
    <w:p w14:paraId="7C007233" w14:textId="77777777" w:rsidR="00000000" w:rsidRDefault="00527094">
      <w:pPr>
        <w:pStyle w:val="a3"/>
        <w:spacing w:before="0" w:beforeAutospacing="0" w:after="0" w:afterAutospacing="0"/>
        <w:ind w:firstLine="360"/>
        <w:jc w:val="both"/>
        <w:rPr>
          <w:sz w:val="20"/>
          <w:szCs w:val="20"/>
        </w:rPr>
      </w:pPr>
      <w:r>
        <w:rPr>
          <w:sz w:val="20"/>
          <w:szCs w:val="20"/>
        </w:rPr>
        <w:t>As a result of adopting the FFO White Paper - 2018 Restatement, the Company has elected to exclude gains and losses on the sale of assets and impairments of assets incidental to its main business and to exclude mark-to-market cha</w:t>
      </w:r>
      <w:r>
        <w:rPr>
          <w:sz w:val="20"/>
          <w:szCs w:val="20"/>
        </w:rPr>
        <w:t>nges in value of its equity securities in calculating FFO. As such, the Company will no longer include gains/impairments on land parcels, gains/losses (realized or unrealized) from marketable securities or gains/impairments on preferred equity participatio</w:t>
      </w:r>
      <w:r>
        <w:rPr>
          <w:sz w:val="20"/>
          <w:szCs w:val="20"/>
        </w:rPr>
        <w:t>ns in NAREIT defined FFO.</w:t>
      </w:r>
    </w:p>
    <w:p w14:paraId="3829FBC6" w14:textId="77777777" w:rsidR="00000000" w:rsidRDefault="00527094">
      <w:pPr>
        <w:pStyle w:val="a3"/>
        <w:spacing w:before="0" w:beforeAutospacing="0" w:after="0" w:afterAutospacing="0"/>
        <w:ind w:firstLine="360"/>
        <w:jc w:val="both"/>
        <w:rPr>
          <w:sz w:val="20"/>
          <w:szCs w:val="20"/>
        </w:rPr>
      </w:pPr>
      <w:r>
        <w:rPr>
          <w:sz w:val="20"/>
          <w:szCs w:val="20"/>
        </w:rPr>
        <w:t> </w:t>
      </w:r>
    </w:p>
    <w:p w14:paraId="3DACAE7A" w14:textId="77777777" w:rsidR="00000000" w:rsidRDefault="00527094">
      <w:pPr>
        <w:pStyle w:val="a3"/>
        <w:spacing w:before="0" w:beforeAutospacing="0" w:after="0" w:afterAutospacing="0"/>
        <w:ind w:firstLine="360"/>
        <w:jc w:val="both"/>
        <w:rPr>
          <w:sz w:val="20"/>
          <w:szCs w:val="20"/>
        </w:rPr>
      </w:pPr>
      <w:r>
        <w:rPr>
          <w:sz w:val="20"/>
          <w:szCs w:val="20"/>
        </w:rPr>
        <w:t>The Company presents FFO available to the Company’s common shareholders as it considers it an important supplemental measure of our operating performance and believes it is frequently used by securities analysts, investors and o</w:t>
      </w:r>
      <w:r>
        <w:rPr>
          <w:sz w:val="20"/>
          <w:szCs w:val="20"/>
        </w:rPr>
        <w:t>ther interested parties in the evaluation of REITs, many of which present FFO available to the Company’s common shareholders when reporting results. Comparison of our presentation of FFO available to the Company’s common shareholders to similarly titled me</w:t>
      </w:r>
      <w:r>
        <w:rPr>
          <w:sz w:val="20"/>
          <w:szCs w:val="20"/>
        </w:rPr>
        <w:t>asures for other REITs may not necessarily be meaningful due to possible differences in the application of the NAREIT definition used by such REITs.</w:t>
      </w:r>
    </w:p>
    <w:p w14:paraId="24AE461B" w14:textId="77777777" w:rsidR="00000000" w:rsidRDefault="00527094">
      <w:pPr>
        <w:pStyle w:val="a3"/>
        <w:spacing w:before="0" w:beforeAutospacing="0" w:after="0" w:afterAutospacing="0"/>
        <w:ind w:firstLine="360"/>
        <w:jc w:val="both"/>
        <w:rPr>
          <w:sz w:val="20"/>
          <w:szCs w:val="20"/>
        </w:rPr>
      </w:pPr>
      <w:r>
        <w:rPr>
          <w:sz w:val="20"/>
          <w:szCs w:val="20"/>
        </w:rPr>
        <w:t> </w:t>
      </w:r>
    </w:p>
    <w:p w14:paraId="4CC42DBC" w14:textId="77777777" w:rsidR="00000000" w:rsidRDefault="00527094">
      <w:pPr>
        <w:pStyle w:val="a3"/>
        <w:spacing w:before="0" w:beforeAutospacing="0" w:after="0" w:afterAutospacing="0"/>
        <w:ind w:firstLine="360"/>
        <w:jc w:val="both"/>
        <w:rPr>
          <w:sz w:val="20"/>
          <w:szCs w:val="20"/>
        </w:rPr>
      </w:pPr>
      <w:r>
        <w:rPr>
          <w:sz w:val="20"/>
          <w:szCs w:val="20"/>
        </w:rPr>
        <w:t>The Company also presents FFO available to the Company’s common shareholders as adjusted as an additional</w:t>
      </w:r>
      <w:r>
        <w:rPr>
          <w:sz w:val="20"/>
          <w:szCs w:val="20"/>
        </w:rPr>
        <w:t xml:space="preserve"> supplemental measure as it believes it is more reflective of its core operating performance and provides investors and analysts an additional measure to compare the Company’s performance across reporting periods on a consistent basis by excluding items th</w:t>
      </w:r>
      <w:r>
        <w:rPr>
          <w:sz w:val="20"/>
          <w:szCs w:val="20"/>
        </w:rPr>
        <w:t>at we do not believe are indicative of our core operating performance. FFO available to the Company’s common shareholders as adjusted is generally calculated by the Company as FFO available to the Company’s common shareholders excluding certain transaction</w:t>
      </w:r>
      <w:r>
        <w:rPr>
          <w:sz w:val="20"/>
          <w:szCs w:val="20"/>
        </w:rPr>
        <w:t>al income and expenses and non-operating impairments which management believes are not reflective of the results within the Company’s operating real estate portfolio.</w:t>
      </w:r>
    </w:p>
    <w:p w14:paraId="1D1B5A6B" w14:textId="77777777" w:rsidR="00000000" w:rsidRDefault="00527094">
      <w:pPr>
        <w:pStyle w:val="a3"/>
        <w:spacing w:before="0" w:beforeAutospacing="0" w:after="0" w:afterAutospacing="0"/>
        <w:ind w:firstLine="360"/>
        <w:jc w:val="both"/>
        <w:rPr>
          <w:sz w:val="20"/>
          <w:szCs w:val="20"/>
        </w:rPr>
      </w:pPr>
      <w:r>
        <w:rPr>
          <w:sz w:val="20"/>
          <w:szCs w:val="20"/>
        </w:rPr>
        <w:t> </w:t>
      </w:r>
    </w:p>
    <w:p w14:paraId="3D687B89" w14:textId="77777777" w:rsidR="00000000" w:rsidRDefault="00527094">
      <w:pPr>
        <w:pStyle w:val="a3"/>
        <w:spacing w:before="0" w:beforeAutospacing="0" w:after="0" w:afterAutospacing="0"/>
        <w:ind w:firstLine="360"/>
        <w:jc w:val="both"/>
        <w:rPr>
          <w:sz w:val="20"/>
          <w:szCs w:val="20"/>
        </w:rPr>
      </w:pPr>
      <w:r>
        <w:rPr>
          <w:sz w:val="20"/>
          <w:szCs w:val="20"/>
        </w:rPr>
        <w:t>FFO is a supplemental non-GAAP financial measure of real estate companies’ operating pe</w:t>
      </w:r>
      <w:r>
        <w:rPr>
          <w:sz w:val="20"/>
          <w:szCs w:val="20"/>
        </w:rPr>
        <w:t>rformances, which does not represent cash generated from operating activities in accordance with GAAP and therefore should not be considered an alternative for net income or cash flows from operations as a measure of liquidity.  Our method of calculating F</w:t>
      </w:r>
      <w:r>
        <w:rPr>
          <w:sz w:val="20"/>
          <w:szCs w:val="20"/>
        </w:rPr>
        <w:t>FO available to the Company’s common shareholders and FFO available to the Company’s common shareholders as adjusted may be different from methods used by other REITs and, accordingly, may not be comparable to such other REITs.</w:t>
      </w:r>
    </w:p>
    <w:p w14:paraId="6C58073D" w14:textId="77777777" w:rsidR="00000000" w:rsidRDefault="00527094">
      <w:pPr>
        <w:pStyle w:val="a3"/>
        <w:spacing w:before="0" w:beforeAutospacing="0" w:after="0" w:afterAutospacing="0"/>
        <w:ind w:firstLine="720"/>
        <w:jc w:val="both"/>
        <w:rPr>
          <w:sz w:val="20"/>
          <w:szCs w:val="20"/>
        </w:rPr>
      </w:pPr>
      <w:r>
        <w:rPr>
          <w:sz w:val="20"/>
          <w:szCs w:val="20"/>
        </w:rPr>
        <w:t> </w:t>
      </w:r>
    </w:p>
    <w:p w14:paraId="081AB283" w14:textId="77777777" w:rsidR="00000000" w:rsidRDefault="00527094">
      <w:pPr>
        <w:jc w:val="center"/>
        <w:divId w:val="100608121"/>
        <w:rPr>
          <w:rFonts w:eastAsia="Times New Roman"/>
          <w:sz w:val="20"/>
          <w:szCs w:val="20"/>
        </w:rPr>
      </w:pPr>
      <w:r>
        <w:rPr>
          <w:rFonts w:eastAsia="Times New Roman"/>
          <w:sz w:val="20"/>
          <w:szCs w:val="20"/>
        </w:rPr>
        <w:t xml:space="preserve">31 </w:t>
      </w:r>
    </w:p>
    <w:p w14:paraId="033F0F1B" w14:textId="77777777" w:rsidR="00000000" w:rsidRDefault="00527094">
      <w:pPr>
        <w:divId w:val="100608121"/>
        <w:rPr>
          <w:rFonts w:eastAsia="Times New Roman"/>
          <w:sz w:val="20"/>
          <w:szCs w:val="20"/>
        </w:rPr>
      </w:pPr>
      <w:r>
        <w:rPr>
          <w:rFonts w:eastAsia="Times New Roman"/>
          <w:sz w:val="20"/>
          <w:szCs w:val="20"/>
        </w:rPr>
        <w:pict w14:anchorId="313CE313">
          <v:rect id="_x0000_i1059" style="width:0;height:1.5pt" o:hralign="center" o:hrstd="t" o:hr="t" fillcolor="#a0a0a0" stroked="f"/>
        </w:pict>
      </w:r>
    </w:p>
    <w:p w14:paraId="2533252D" w14:textId="77777777" w:rsidR="00000000" w:rsidRDefault="00527094">
      <w:pPr>
        <w:divId w:val="1006081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625E2D4" w14:textId="77777777" w:rsidR="00000000" w:rsidRDefault="00527094">
      <w:pPr>
        <w:pStyle w:val="a3"/>
        <w:spacing w:before="0" w:beforeAutospacing="0" w:after="0" w:afterAutospacing="0"/>
        <w:rPr>
          <w:sz w:val="20"/>
          <w:szCs w:val="20"/>
        </w:rPr>
      </w:pPr>
      <w:r>
        <w:rPr>
          <w:sz w:val="20"/>
          <w:szCs w:val="20"/>
        </w:rPr>
        <w:t> </w:t>
      </w:r>
    </w:p>
    <w:p w14:paraId="667BA153" w14:textId="77777777" w:rsidR="00000000" w:rsidRDefault="00527094">
      <w:pPr>
        <w:pStyle w:val="a3"/>
        <w:spacing w:before="0" w:beforeAutospacing="0" w:after="0" w:afterAutospacing="0"/>
        <w:ind w:firstLine="360"/>
        <w:jc w:val="both"/>
        <w:rPr>
          <w:sz w:val="20"/>
          <w:szCs w:val="20"/>
        </w:rPr>
      </w:pPr>
      <w:r>
        <w:rPr>
          <w:sz w:val="20"/>
          <w:szCs w:val="20"/>
        </w:rPr>
        <w:t>The Company’s reconciliation of net income available to the Company’s common shareholders to FFO available to the Company’</w:t>
      </w:r>
      <w:r>
        <w:rPr>
          <w:sz w:val="20"/>
          <w:szCs w:val="20"/>
        </w:rPr>
        <w:t>s common shareholders and FFO available to the Company’s common shareholders as adjusted, is reflected in the table below (in thousands, except per share data). In conjunction with the adoption of NAREIT’s FFO White Paper – 2018 Restatement, the Company ha</w:t>
      </w:r>
      <w:r>
        <w:rPr>
          <w:sz w:val="20"/>
          <w:szCs w:val="20"/>
        </w:rPr>
        <w:t>s reclassified $6.7 million and $10.2 million from transactional income into FFO available to the Company’s common shareholders for the three and six months ended June 30, 2018, respectively, relating to incidental gains and losses on the sale of assets an</w:t>
      </w:r>
      <w:r>
        <w:rPr>
          <w:sz w:val="20"/>
          <w:szCs w:val="20"/>
        </w:rPr>
        <w:t>d mark-to-market changes in equity securities. This reclassification had no impact on FFO available to the Company’s common shareholders as adjusted for the three and six months ended June 30, 2018.</w:t>
      </w:r>
    </w:p>
    <w:p w14:paraId="2FE8E3D7"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3C00ED94" w14:textId="77777777">
        <w:trPr>
          <w:tblCellSpacing w:w="0" w:type="dxa"/>
        </w:trPr>
        <w:tc>
          <w:tcPr>
            <w:tcW w:w="0" w:type="auto"/>
            <w:vAlign w:val="bottom"/>
            <w:hideMark/>
          </w:tcPr>
          <w:p w14:paraId="14797E2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3E99036"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024E2CA1" w14:textId="77777777" w:rsidR="00000000" w:rsidRDefault="00527094">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14:paraId="0C12DB2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A6D5523"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F67E982" w14:textId="77777777" w:rsidR="00000000" w:rsidRDefault="00527094">
            <w:pPr>
              <w:pStyle w:val="a3"/>
              <w:spacing w:before="0" w:beforeAutospacing="0" w:after="0" w:afterAutospacing="0"/>
              <w:jc w:val="center"/>
              <w:rPr>
                <w:sz w:val="20"/>
                <w:szCs w:val="20"/>
              </w:rPr>
            </w:pPr>
            <w:r>
              <w:rPr>
                <w:b/>
                <w:bCs/>
                <w:sz w:val="20"/>
                <w:szCs w:val="20"/>
              </w:rPr>
              <w:t>Six Months End</w:t>
            </w:r>
            <w:r>
              <w:rPr>
                <w:b/>
                <w:bCs/>
                <w:sz w:val="20"/>
                <w:szCs w:val="20"/>
              </w:rPr>
              <w:t>ed June 30,</w:t>
            </w:r>
          </w:p>
        </w:tc>
        <w:tc>
          <w:tcPr>
            <w:tcW w:w="0" w:type="auto"/>
            <w:tcMar>
              <w:top w:w="0" w:type="dxa"/>
              <w:left w:w="0" w:type="dxa"/>
              <w:bottom w:w="15" w:type="dxa"/>
              <w:right w:w="0" w:type="dxa"/>
            </w:tcMar>
            <w:vAlign w:val="bottom"/>
            <w:hideMark/>
          </w:tcPr>
          <w:p w14:paraId="30760DEC" w14:textId="77777777" w:rsidR="00000000" w:rsidRDefault="00527094">
            <w:pPr>
              <w:rPr>
                <w:rFonts w:eastAsia="Times New Roman"/>
                <w:sz w:val="20"/>
                <w:szCs w:val="20"/>
              </w:rPr>
            </w:pPr>
            <w:r>
              <w:rPr>
                <w:rFonts w:eastAsia="Times New Roman"/>
                <w:sz w:val="20"/>
                <w:szCs w:val="20"/>
              </w:rPr>
              <w:t> </w:t>
            </w:r>
          </w:p>
        </w:tc>
      </w:tr>
      <w:tr w:rsidR="00000000" w14:paraId="2FAF5D7B" w14:textId="77777777">
        <w:trPr>
          <w:tblCellSpacing w:w="0" w:type="dxa"/>
        </w:trPr>
        <w:tc>
          <w:tcPr>
            <w:tcW w:w="0" w:type="auto"/>
            <w:vAlign w:val="bottom"/>
            <w:hideMark/>
          </w:tcPr>
          <w:p w14:paraId="0AA70E4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5DA6BAA"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7613E5C"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8A234F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21D62CD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082F06D"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2A4E418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73530F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EA4216F"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9A397E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4069CFC"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CC127E5"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9244671" w14:textId="77777777" w:rsidR="00000000" w:rsidRDefault="00527094">
            <w:pPr>
              <w:rPr>
                <w:rFonts w:eastAsia="Times New Roman"/>
                <w:sz w:val="20"/>
                <w:szCs w:val="20"/>
              </w:rPr>
            </w:pPr>
            <w:r>
              <w:rPr>
                <w:rFonts w:eastAsia="Times New Roman"/>
                <w:sz w:val="20"/>
                <w:szCs w:val="20"/>
              </w:rPr>
              <w:t> </w:t>
            </w:r>
          </w:p>
        </w:tc>
      </w:tr>
      <w:tr w:rsidR="00000000" w14:paraId="4678028E" w14:textId="77777777">
        <w:trPr>
          <w:tblCellSpacing w:w="0" w:type="dxa"/>
        </w:trPr>
        <w:tc>
          <w:tcPr>
            <w:tcW w:w="2600" w:type="pct"/>
            <w:shd w:val="clear" w:color="auto" w:fill="CCEEFF"/>
            <w:vAlign w:val="bottom"/>
            <w:hideMark/>
          </w:tcPr>
          <w:p w14:paraId="75A1F7E5" w14:textId="77777777" w:rsidR="00000000" w:rsidRDefault="00527094">
            <w:pPr>
              <w:pStyle w:val="a3"/>
              <w:spacing w:before="0" w:beforeAutospacing="0" w:after="0" w:afterAutospacing="0"/>
              <w:ind w:left="180" w:hanging="180"/>
              <w:rPr>
                <w:sz w:val="20"/>
                <w:szCs w:val="20"/>
              </w:rPr>
            </w:pPr>
            <w:r>
              <w:rPr>
                <w:b/>
                <w:bCs/>
                <w:sz w:val="20"/>
                <w:szCs w:val="20"/>
              </w:rPr>
              <w:t>Net income available to the Company’s common shareholders</w:t>
            </w:r>
          </w:p>
        </w:tc>
        <w:tc>
          <w:tcPr>
            <w:tcW w:w="50" w:type="pct"/>
            <w:tcBorders>
              <w:bottom w:val="nil"/>
            </w:tcBorders>
            <w:shd w:val="clear" w:color="auto" w:fill="CCEEFF"/>
            <w:vAlign w:val="bottom"/>
            <w:hideMark/>
          </w:tcPr>
          <w:p w14:paraId="61AFFF94"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7ECC67B"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11871DE0" w14:textId="77777777" w:rsidR="00000000" w:rsidRDefault="00527094">
            <w:pPr>
              <w:jc w:val="right"/>
              <w:rPr>
                <w:rFonts w:eastAsia="Times New Roman"/>
                <w:sz w:val="20"/>
                <w:szCs w:val="20"/>
              </w:rPr>
            </w:pPr>
            <w:r>
              <w:rPr>
                <w:rFonts w:eastAsia="Times New Roman"/>
                <w:b/>
                <w:bCs/>
                <w:sz w:val="20"/>
                <w:szCs w:val="20"/>
              </w:rPr>
              <w:t>86,493</w:t>
            </w:r>
          </w:p>
        </w:tc>
        <w:tc>
          <w:tcPr>
            <w:tcW w:w="50" w:type="pct"/>
            <w:tcBorders>
              <w:bottom w:val="nil"/>
            </w:tcBorders>
            <w:shd w:val="clear" w:color="auto" w:fill="CCEEFF"/>
            <w:vAlign w:val="bottom"/>
            <w:hideMark/>
          </w:tcPr>
          <w:p w14:paraId="0791CEE7"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FBB340E"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BC8E982"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75B2F3C5" w14:textId="77777777" w:rsidR="00000000" w:rsidRDefault="00527094">
            <w:pPr>
              <w:jc w:val="right"/>
              <w:rPr>
                <w:rFonts w:eastAsia="Times New Roman"/>
                <w:sz w:val="20"/>
                <w:szCs w:val="20"/>
              </w:rPr>
            </w:pPr>
            <w:r>
              <w:rPr>
                <w:rFonts w:eastAsia="Times New Roman"/>
                <w:b/>
                <w:bCs/>
                <w:sz w:val="20"/>
                <w:szCs w:val="20"/>
              </w:rPr>
              <w:t>150,852</w:t>
            </w:r>
          </w:p>
        </w:tc>
        <w:tc>
          <w:tcPr>
            <w:tcW w:w="50" w:type="pct"/>
            <w:tcBorders>
              <w:bottom w:val="nil"/>
            </w:tcBorders>
            <w:shd w:val="clear" w:color="auto" w:fill="CCEEFF"/>
            <w:vAlign w:val="bottom"/>
            <w:hideMark/>
          </w:tcPr>
          <w:p w14:paraId="6D3EBAB5"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A8DB28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907D4B7"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4C78563C" w14:textId="77777777" w:rsidR="00000000" w:rsidRDefault="00527094">
            <w:pPr>
              <w:jc w:val="right"/>
              <w:rPr>
                <w:rFonts w:eastAsia="Times New Roman"/>
                <w:sz w:val="20"/>
                <w:szCs w:val="20"/>
              </w:rPr>
            </w:pPr>
            <w:r>
              <w:rPr>
                <w:rFonts w:eastAsia="Times New Roman"/>
                <w:b/>
                <w:bCs/>
                <w:sz w:val="20"/>
                <w:szCs w:val="20"/>
              </w:rPr>
              <w:t>188,128</w:t>
            </w:r>
          </w:p>
        </w:tc>
        <w:tc>
          <w:tcPr>
            <w:tcW w:w="50" w:type="pct"/>
            <w:tcBorders>
              <w:bottom w:val="nil"/>
            </w:tcBorders>
            <w:shd w:val="clear" w:color="auto" w:fill="CCEEFF"/>
            <w:vAlign w:val="bottom"/>
            <w:hideMark/>
          </w:tcPr>
          <w:p w14:paraId="3F9108E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A0F35DF"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4928F70"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3595BD50" w14:textId="77777777" w:rsidR="00000000" w:rsidRDefault="00527094">
            <w:pPr>
              <w:jc w:val="right"/>
              <w:rPr>
                <w:rFonts w:eastAsia="Times New Roman"/>
                <w:sz w:val="20"/>
                <w:szCs w:val="20"/>
              </w:rPr>
            </w:pPr>
            <w:r>
              <w:rPr>
                <w:rFonts w:eastAsia="Times New Roman"/>
                <w:b/>
                <w:bCs/>
                <w:sz w:val="20"/>
                <w:szCs w:val="20"/>
              </w:rPr>
              <w:t>280,353</w:t>
            </w:r>
          </w:p>
        </w:tc>
        <w:tc>
          <w:tcPr>
            <w:tcW w:w="50" w:type="pct"/>
            <w:tcBorders>
              <w:bottom w:val="nil"/>
            </w:tcBorders>
            <w:shd w:val="clear" w:color="auto" w:fill="CCEEFF"/>
            <w:vAlign w:val="bottom"/>
            <w:hideMark/>
          </w:tcPr>
          <w:p w14:paraId="4C8C8931" w14:textId="77777777" w:rsidR="00000000" w:rsidRDefault="00527094">
            <w:pPr>
              <w:rPr>
                <w:rFonts w:eastAsia="Times New Roman"/>
                <w:sz w:val="20"/>
                <w:szCs w:val="20"/>
              </w:rPr>
            </w:pPr>
            <w:r>
              <w:rPr>
                <w:rFonts w:eastAsia="Times New Roman"/>
                <w:sz w:val="20"/>
                <w:szCs w:val="20"/>
              </w:rPr>
              <w:t> </w:t>
            </w:r>
          </w:p>
        </w:tc>
      </w:tr>
      <w:tr w:rsidR="00000000" w14:paraId="0C227EE2" w14:textId="77777777">
        <w:trPr>
          <w:tblCellSpacing w:w="0" w:type="dxa"/>
        </w:trPr>
        <w:tc>
          <w:tcPr>
            <w:tcW w:w="0" w:type="auto"/>
            <w:shd w:val="clear" w:color="auto" w:fill="FFFFFF"/>
            <w:vAlign w:val="bottom"/>
            <w:hideMark/>
          </w:tcPr>
          <w:p w14:paraId="0506CEB1" w14:textId="77777777" w:rsidR="00000000" w:rsidRDefault="00527094">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14:paraId="71340C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C6FD0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0E66A56" w14:textId="77777777" w:rsidR="00000000" w:rsidRDefault="00527094">
            <w:pPr>
              <w:jc w:val="right"/>
              <w:rPr>
                <w:rFonts w:eastAsia="Times New Roman"/>
                <w:sz w:val="20"/>
                <w:szCs w:val="20"/>
              </w:rPr>
            </w:pPr>
            <w:r>
              <w:rPr>
                <w:rFonts w:eastAsia="Times New Roman"/>
                <w:sz w:val="20"/>
                <w:szCs w:val="20"/>
              </w:rPr>
              <w:t>(14,762</w:t>
            </w:r>
          </w:p>
        </w:tc>
        <w:tc>
          <w:tcPr>
            <w:tcW w:w="50" w:type="pct"/>
            <w:shd w:val="clear" w:color="auto" w:fill="FFFFFF"/>
            <w:vAlign w:val="bottom"/>
            <w:hideMark/>
          </w:tcPr>
          <w:p w14:paraId="728A28E6"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950009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3325E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E40E2BC" w14:textId="77777777" w:rsidR="00000000" w:rsidRDefault="00527094">
            <w:pPr>
              <w:jc w:val="right"/>
              <w:rPr>
                <w:rFonts w:eastAsia="Times New Roman"/>
                <w:sz w:val="20"/>
                <w:szCs w:val="20"/>
              </w:rPr>
            </w:pPr>
            <w:r>
              <w:rPr>
                <w:rFonts w:eastAsia="Times New Roman"/>
                <w:sz w:val="20"/>
                <w:szCs w:val="20"/>
              </w:rPr>
              <w:t>(96,788</w:t>
            </w:r>
          </w:p>
        </w:tc>
        <w:tc>
          <w:tcPr>
            <w:tcW w:w="50" w:type="pct"/>
            <w:shd w:val="clear" w:color="auto" w:fill="FFFFFF"/>
            <w:vAlign w:val="bottom"/>
            <w:hideMark/>
          </w:tcPr>
          <w:p w14:paraId="5A471066"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734D0B8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C0C25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6EB69C8" w14:textId="77777777" w:rsidR="00000000" w:rsidRDefault="00527094">
            <w:pPr>
              <w:jc w:val="right"/>
              <w:rPr>
                <w:rFonts w:eastAsia="Times New Roman"/>
                <w:sz w:val="20"/>
                <w:szCs w:val="20"/>
              </w:rPr>
            </w:pPr>
            <w:r>
              <w:rPr>
                <w:rFonts w:eastAsia="Times New Roman"/>
                <w:sz w:val="20"/>
                <w:szCs w:val="20"/>
              </w:rPr>
              <w:t>(38,357</w:t>
            </w:r>
          </w:p>
        </w:tc>
        <w:tc>
          <w:tcPr>
            <w:tcW w:w="50" w:type="pct"/>
            <w:shd w:val="clear" w:color="auto" w:fill="FFFFFF"/>
            <w:vAlign w:val="bottom"/>
            <w:hideMark/>
          </w:tcPr>
          <w:p w14:paraId="6045D4BA"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71FED0D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9DB55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841EB12" w14:textId="77777777" w:rsidR="00000000" w:rsidRDefault="00527094">
            <w:pPr>
              <w:jc w:val="right"/>
              <w:rPr>
                <w:rFonts w:eastAsia="Times New Roman"/>
                <w:sz w:val="20"/>
                <w:szCs w:val="20"/>
              </w:rPr>
            </w:pPr>
            <w:r>
              <w:rPr>
                <w:rFonts w:eastAsia="Times New Roman"/>
                <w:sz w:val="20"/>
                <w:szCs w:val="20"/>
              </w:rPr>
              <w:t>(154,212</w:t>
            </w:r>
          </w:p>
        </w:tc>
        <w:tc>
          <w:tcPr>
            <w:tcW w:w="50" w:type="pct"/>
            <w:shd w:val="clear" w:color="auto" w:fill="FFFFFF"/>
            <w:vAlign w:val="bottom"/>
            <w:hideMark/>
          </w:tcPr>
          <w:p w14:paraId="73E3FB09" w14:textId="77777777" w:rsidR="00000000" w:rsidRDefault="00527094">
            <w:pPr>
              <w:rPr>
                <w:rFonts w:eastAsia="Times New Roman"/>
                <w:sz w:val="20"/>
                <w:szCs w:val="20"/>
              </w:rPr>
            </w:pPr>
            <w:r>
              <w:rPr>
                <w:rFonts w:eastAsia="Times New Roman"/>
                <w:sz w:val="20"/>
                <w:szCs w:val="20"/>
              </w:rPr>
              <w:t>)</w:t>
            </w:r>
          </w:p>
        </w:tc>
      </w:tr>
      <w:tr w:rsidR="00000000" w14:paraId="12BCA28D" w14:textId="77777777">
        <w:trPr>
          <w:tblCellSpacing w:w="0" w:type="dxa"/>
        </w:trPr>
        <w:tc>
          <w:tcPr>
            <w:tcW w:w="0" w:type="auto"/>
            <w:shd w:val="clear" w:color="auto" w:fill="CCEEFF"/>
            <w:vAlign w:val="bottom"/>
            <w:hideMark/>
          </w:tcPr>
          <w:p w14:paraId="226A6C42" w14:textId="77777777" w:rsidR="00000000" w:rsidRDefault="00527094">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14:paraId="67C7F6B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51BDE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3EF0974" w14:textId="77777777" w:rsidR="00000000" w:rsidRDefault="00527094">
            <w:pPr>
              <w:jc w:val="right"/>
              <w:rPr>
                <w:rFonts w:eastAsia="Times New Roman"/>
                <w:sz w:val="20"/>
                <w:szCs w:val="20"/>
              </w:rPr>
            </w:pPr>
            <w:r>
              <w:rPr>
                <w:rFonts w:eastAsia="Times New Roman"/>
                <w:sz w:val="20"/>
                <w:szCs w:val="20"/>
              </w:rPr>
              <w:t>(8,496</w:t>
            </w:r>
          </w:p>
        </w:tc>
        <w:tc>
          <w:tcPr>
            <w:tcW w:w="50" w:type="pct"/>
            <w:shd w:val="clear" w:color="auto" w:fill="CCEEFF"/>
            <w:vAlign w:val="bottom"/>
            <w:hideMark/>
          </w:tcPr>
          <w:p w14:paraId="444A8C5E"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AF7DB3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A1005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8967765" w14:textId="77777777" w:rsidR="00000000" w:rsidRDefault="00527094">
            <w:pPr>
              <w:jc w:val="right"/>
              <w:rPr>
                <w:rFonts w:eastAsia="Times New Roman"/>
                <w:sz w:val="20"/>
                <w:szCs w:val="20"/>
              </w:rPr>
            </w:pPr>
            <w:r>
              <w:rPr>
                <w:rFonts w:eastAsia="Times New Roman"/>
                <w:sz w:val="20"/>
                <w:szCs w:val="20"/>
              </w:rPr>
              <w:t>(1,510</w:t>
            </w:r>
          </w:p>
        </w:tc>
        <w:tc>
          <w:tcPr>
            <w:tcW w:w="50" w:type="pct"/>
            <w:shd w:val="clear" w:color="auto" w:fill="CCEEFF"/>
            <w:vAlign w:val="bottom"/>
            <w:hideMark/>
          </w:tcPr>
          <w:p w14:paraId="6F6F589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DA5D50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EAF88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A4C9A8C" w14:textId="77777777" w:rsidR="00000000" w:rsidRDefault="00527094">
            <w:pPr>
              <w:jc w:val="right"/>
              <w:rPr>
                <w:rFonts w:eastAsia="Times New Roman"/>
                <w:sz w:val="20"/>
                <w:szCs w:val="20"/>
              </w:rPr>
            </w:pPr>
            <w:r>
              <w:rPr>
                <w:rFonts w:eastAsia="Times New Roman"/>
                <w:sz w:val="20"/>
                <w:szCs w:val="20"/>
              </w:rPr>
              <w:t>(13,186</w:t>
            </w:r>
          </w:p>
        </w:tc>
        <w:tc>
          <w:tcPr>
            <w:tcW w:w="50" w:type="pct"/>
            <w:shd w:val="clear" w:color="auto" w:fill="CCEEFF"/>
            <w:vAlign w:val="bottom"/>
            <w:hideMark/>
          </w:tcPr>
          <w:p w14:paraId="27D1C880"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6058F9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62A3C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93279F6" w14:textId="77777777" w:rsidR="00000000" w:rsidRDefault="00527094">
            <w:pPr>
              <w:jc w:val="right"/>
              <w:rPr>
                <w:rFonts w:eastAsia="Times New Roman"/>
                <w:sz w:val="20"/>
                <w:szCs w:val="20"/>
              </w:rPr>
            </w:pPr>
            <w:r>
              <w:rPr>
                <w:rFonts w:eastAsia="Times New Roman"/>
                <w:sz w:val="20"/>
                <w:szCs w:val="20"/>
              </w:rPr>
              <w:t>(3,549</w:t>
            </w:r>
          </w:p>
        </w:tc>
        <w:tc>
          <w:tcPr>
            <w:tcW w:w="50" w:type="pct"/>
            <w:shd w:val="clear" w:color="auto" w:fill="CCEEFF"/>
            <w:vAlign w:val="bottom"/>
            <w:hideMark/>
          </w:tcPr>
          <w:p w14:paraId="207DBCB1" w14:textId="77777777" w:rsidR="00000000" w:rsidRDefault="00527094">
            <w:pPr>
              <w:rPr>
                <w:rFonts w:eastAsia="Times New Roman"/>
                <w:sz w:val="20"/>
                <w:szCs w:val="20"/>
              </w:rPr>
            </w:pPr>
            <w:r>
              <w:rPr>
                <w:rFonts w:eastAsia="Times New Roman"/>
                <w:sz w:val="20"/>
                <w:szCs w:val="20"/>
              </w:rPr>
              <w:t>)</w:t>
            </w:r>
          </w:p>
        </w:tc>
      </w:tr>
      <w:tr w:rsidR="00000000" w14:paraId="337ABC1E" w14:textId="77777777">
        <w:trPr>
          <w:tblCellSpacing w:w="0" w:type="dxa"/>
        </w:trPr>
        <w:tc>
          <w:tcPr>
            <w:tcW w:w="0" w:type="auto"/>
            <w:shd w:val="clear" w:color="auto" w:fill="FFFFFF"/>
            <w:vAlign w:val="bottom"/>
            <w:hideMark/>
          </w:tcPr>
          <w:p w14:paraId="69B4C34D" w14:textId="77777777" w:rsidR="00000000" w:rsidRDefault="00527094">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14:paraId="56B5572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DC9E5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BB3A4DB" w14:textId="77777777" w:rsidR="00000000" w:rsidRDefault="00527094">
            <w:pPr>
              <w:jc w:val="right"/>
              <w:rPr>
                <w:rFonts w:eastAsia="Times New Roman"/>
                <w:sz w:val="20"/>
                <w:szCs w:val="20"/>
              </w:rPr>
            </w:pPr>
            <w:r>
              <w:rPr>
                <w:rFonts w:eastAsia="Times New Roman"/>
                <w:sz w:val="20"/>
                <w:szCs w:val="20"/>
              </w:rPr>
              <w:t>68,723</w:t>
            </w:r>
          </w:p>
        </w:tc>
        <w:tc>
          <w:tcPr>
            <w:tcW w:w="50" w:type="pct"/>
            <w:shd w:val="clear" w:color="auto" w:fill="FFFFFF"/>
            <w:vAlign w:val="bottom"/>
            <w:hideMark/>
          </w:tcPr>
          <w:p w14:paraId="35C84E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71042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B8B1F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A8F54B9" w14:textId="77777777" w:rsidR="00000000" w:rsidRDefault="00527094">
            <w:pPr>
              <w:jc w:val="right"/>
              <w:rPr>
                <w:rFonts w:eastAsia="Times New Roman"/>
                <w:sz w:val="20"/>
                <w:szCs w:val="20"/>
              </w:rPr>
            </w:pPr>
            <w:r>
              <w:rPr>
                <w:rFonts w:eastAsia="Times New Roman"/>
                <w:sz w:val="20"/>
                <w:szCs w:val="20"/>
              </w:rPr>
              <w:t>77,250</w:t>
            </w:r>
          </w:p>
        </w:tc>
        <w:tc>
          <w:tcPr>
            <w:tcW w:w="50" w:type="pct"/>
            <w:shd w:val="clear" w:color="auto" w:fill="FFFFFF"/>
            <w:vAlign w:val="bottom"/>
            <w:hideMark/>
          </w:tcPr>
          <w:p w14:paraId="77B225C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613F8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CFFDD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749A6A6" w14:textId="77777777" w:rsidR="00000000" w:rsidRDefault="00527094">
            <w:pPr>
              <w:jc w:val="right"/>
              <w:rPr>
                <w:rFonts w:eastAsia="Times New Roman"/>
                <w:sz w:val="20"/>
                <w:szCs w:val="20"/>
              </w:rPr>
            </w:pPr>
            <w:r>
              <w:rPr>
                <w:rFonts w:eastAsia="Times New Roman"/>
                <w:sz w:val="20"/>
                <w:szCs w:val="20"/>
              </w:rPr>
              <w:t>139,983</w:t>
            </w:r>
          </w:p>
        </w:tc>
        <w:tc>
          <w:tcPr>
            <w:tcW w:w="50" w:type="pct"/>
            <w:shd w:val="clear" w:color="auto" w:fill="FFFFFF"/>
            <w:vAlign w:val="bottom"/>
            <w:hideMark/>
          </w:tcPr>
          <w:p w14:paraId="0F8B19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4DE7E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C5BE3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E1F1A27" w14:textId="77777777" w:rsidR="00000000" w:rsidRDefault="00527094">
            <w:pPr>
              <w:jc w:val="right"/>
              <w:rPr>
                <w:rFonts w:eastAsia="Times New Roman"/>
                <w:sz w:val="20"/>
                <w:szCs w:val="20"/>
              </w:rPr>
            </w:pPr>
            <w:r>
              <w:rPr>
                <w:rFonts w:eastAsia="Times New Roman"/>
                <w:sz w:val="20"/>
                <w:szCs w:val="20"/>
              </w:rPr>
              <w:t>156,242</w:t>
            </w:r>
          </w:p>
        </w:tc>
        <w:tc>
          <w:tcPr>
            <w:tcW w:w="50" w:type="pct"/>
            <w:shd w:val="clear" w:color="auto" w:fill="FFFFFF"/>
            <w:vAlign w:val="bottom"/>
            <w:hideMark/>
          </w:tcPr>
          <w:p w14:paraId="2A3AF94D" w14:textId="77777777" w:rsidR="00000000" w:rsidRDefault="00527094">
            <w:pPr>
              <w:rPr>
                <w:rFonts w:eastAsia="Times New Roman"/>
                <w:sz w:val="20"/>
                <w:szCs w:val="20"/>
              </w:rPr>
            </w:pPr>
            <w:r>
              <w:rPr>
                <w:rFonts w:eastAsia="Times New Roman"/>
                <w:sz w:val="20"/>
                <w:szCs w:val="20"/>
              </w:rPr>
              <w:t> </w:t>
            </w:r>
          </w:p>
        </w:tc>
      </w:tr>
      <w:tr w:rsidR="00000000" w14:paraId="6134CE6A" w14:textId="77777777">
        <w:trPr>
          <w:tblCellSpacing w:w="0" w:type="dxa"/>
        </w:trPr>
        <w:tc>
          <w:tcPr>
            <w:tcW w:w="0" w:type="auto"/>
            <w:shd w:val="clear" w:color="auto" w:fill="CCEEFF"/>
            <w:vAlign w:val="bottom"/>
            <w:hideMark/>
          </w:tcPr>
          <w:p w14:paraId="068F86C5" w14:textId="77777777" w:rsidR="00000000" w:rsidRDefault="00527094">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14:paraId="4B31EC1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39FA0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C38CA30" w14:textId="77777777" w:rsidR="00000000" w:rsidRDefault="00527094">
            <w:pPr>
              <w:jc w:val="right"/>
              <w:rPr>
                <w:rFonts w:eastAsia="Times New Roman"/>
                <w:sz w:val="20"/>
                <w:szCs w:val="20"/>
              </w:rPr>
            </w:pPr>
            <w:r>
              <w:rPr>
                <w:rFonts w:eastAsia="Times New Roman"/>
                <w:sz w:val="20"/>
                <w:szCs w:val="20"/>
              </w:rPr>
              <w:t>10,115</w:t>
            </w:r>
          </w:p>
        </w:tc>
        <w:tc>
          <w:tcPr>
            <w:tcW w:w="50" w:type="pct"/>
            <w:shd w:val="clear" w:color="auto" w:fill="CCEEFF"/>
            <w:vAlign w:val="bottom"/>
            <w:hideMark/>
          </w:tcPr>
          <w:p w14:paraId="19B1546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FFB96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7870E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290D2AC" w14:textId="77777777" w:rsidR="00000000" w:rsidRDefault="00527094">
            <w:pPr>
              <w:jc w:val="right"/>
              <w:rPr>
                <w:rFonts w:eastAsia="Times New Roman"/>
                <w:sz w:val="20"/>
                <w:szCs w:val="20"/>
              </w:rPr>
            </w:pPr>
            <w:r>
              <w:rPr>
                <w:rFonts w:eastAsia="Times New Roman"/>
                <w:sz w:val="20"/>
                <w:szCs w:val="20"/>
              </w:rPr>
              <w:t>11,611</w:t>
            </w:r>
          </w:p>
        </w:tc>
        <w:tc>
          <w:tcPr>
            <w:tcW w:w="50" w:type="pct"/>
            <w:shd w:val="clear" w:color="auto" w:fill="CCEEFF"/>
            <w:vAlign w:val="bottom"/>
            <w:hideMark/>
          </w:tcPr>
          <w:p w14:paraId="58EEC82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817EC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EA30E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062CAC2" w14:textId="77777777" w:rsidR="00000000" w:rsidRDefault="00527094">
            <w:pPr>
              <w:jc w:val="right"/>
              <w:rPr>
                <w:rFonts w:eastAsia="Times New Roman"/>
                <w:sz w:val="20"/>
                <w:szCs w:val="20"/>
              </w:rPr>
            </w:pPr>
            <w:r>
              <w:rPr>
                <w:rFonts w:eastAsia="Times New Roman"/>
                <w:sz w:val="20"/>
                <w:szCs w:val="20"/>
              </w:rPr>
              <w:t>20,276</w:t>
            </w:r>
          </w:p>
        </w:tc>
        <w:tc>
          <w:tcPr>
            <w:tcW w:w="50" w:type="pct"/>
            <w:shd w:val="clear" w:color="auto" w:fill="CCEEFF"/>
            <w:vAlign w:val="bottom"/>
            <w:hideMark/>
          </w:tcPr>
          <w:p w14:paraId="4909613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E2AA8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B413E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6CFE48" w14:textId="77777777" w:rsidR="00000000" w:rsidRDefault="00527094">
            <w:pPr>
              <w:jc w:val="right"/>
              <w:rPr>
                <w:rFonts w:eastAsia="Times New Roman"/>
                <w:sz w:val="20"/>
                <w:szCs w:val="20"/>
              </w:rPr>
            </w:pPr>
            <w:r>
              <w:rPr>
                <w:rFonts w:eastAsia="Times New Roman"/>
                <w:sz w:val="20"/>
                <w:szCs w:val="20"/>
              </w:rPr>
              <w:t>20,895</w:t>
            </w:r>
          </w:p>
        </w:tc>
        <w:tc>
          <w:tcPr>
            <w:tcW w:w="50" w:type="pct"/>
            <w:shd w:val="clear" w:color="auto" w:fill="CCEEFF"/>
            <w:vAlign w:val="bottom"/>
            <w:hideMark/>
          </w:tcPr>
          <w:p w14:paraId="1063D6D1" w14:textId="77777777" w:rsidR="00000000" w:rsidRDefault="00527094">
            <w:pPr>
              <w:rPr>
                <w:rFonts w:eastAsia="Times New Roman"/>
                <w:sz w:val="20"/>
                <w:szCs w:val="20"/>
              </w:rPr>
            </w:pPr>
            <w:r>
              <w:rPr>
                <w:rFonts w:eastAsia="Times New Roman"/>
                <w:sz w:val="20"/>
                <w:szCs w:val="20"/>
              </w:rPr>
              <w:t> </w:t>
            </w:r>
          </w:p>
        </w:tc>
      </w:tr>
      <w:tr w:rsidR="00000000" w14:paraId="2814D7A3" w14:textId="77777777">
        <w:trPr>
          <w:tblCellSpacing w:w="0" w:type="dxa"/>
        </w:trPr>
        <w:tc>
          <w:tcPr>
            <w:tcW w:w="0" w:type="auto"/>
            <w:shd w:val="clear" w:color="auto" w:fill="FFFFFF"/>
            <w:vAlign w:val="bottom"/>
            <w:hideMark/>
          </w:tcPr>
          <w:p w14:paraId="41DFA514" w14:textId="77777777" w:rsidR="00000000" w:rsidRDefault="00527094">
            <w:pPr>
              <w:pStyle w:val="a3"/>
              <w:spacing w:before="0" w:beforeAutospacing="0" w:after="0" w:afterAutospacing="0"/>
              <w:rPr>
                <w:sz w:val="20"/>
                <w:szCs w:val="20"/>
              </w:rPr>
            </w:pPr>
            <w:r>
              <w:rPr>
                <w:sz w:val="20"/>
                <w:szCs w:val="20"/>
              </w:rPr>
              <w:t>Impairment charges</w:t>
            </w:r>
          </w:p>
        </w:tc>
        <w:tc>
          <w:tcPr>
            <w:tcW w:w="50" w:type="pct"/>
            <w:shd w:val="clear" w:color="auto" w:fill="FFFFFF"/>
            <w:vAlign w:val="bottom"/>
            <w:hideMark/>
          </w:tcPr>
          <w:p w14:paraId="3BCCD1A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94926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DC1F208" w14:textId="77777777" w:rsidR="00000000" w:rsidRDefault="00527094">
            <w:pPr>
              <w:jc w:val="right"/>
              <w:rPr>
                <w:rFonts w:eastAsia="Times New Roman"/>
                <w:sz w:val="20"/>
                <w:szCs w:val="20"/>
              </w:rPr>
            </w:pPr>
            <w:r>
              <w:rPr>
                <w:rFonts w:eastAsia="Times New Roman"/>
                <w:sz w:val="20"/>
                <w:szCs w:val="20"/>
              </w:rPr>
              <w:t>18,247</w:t>
            </w:r>
          </w:p>
        </w:tc>
        <w:tc>
          <w:tcPr>
            <w:tcW w:w="50" w:type="pct"/>
            <w:shd w:val="clear" w:color="auto" w:fill="FFFFFF"/>
            <w:vAlign w:val="bottom"/>
            <w:hideMark/>
          </w:tcPr>
          <w:p w14:paraId="246EEA9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2B24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11498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A3F847B" w14:textId="77777777" w:rsidR="00000000" w:rsidRDefault="00527094">
            <w:pPr>
              <w:jc w:val="right"/>
              <w:rPr>
                <w:rFonts w:eastAsia="Times New Roman"/>
                <w:sz w:val="20"/>
                <w:szCs w:val="20"/>
              </w:rPr>
            </w:pPr>
            <w:r>
              <w:rPr>
                <w:rFonts w:eastAsia="Times New Roman"/>
                <w:sz w:val="20"/>
                <w:szCs w:val="20"/>
              </w:rPr>
              <w:t>22,920</w:t>
            </w:r>
          </w:p>
        </w:tc>
        <w:tc>
          <w:tcPr>
            <w:tcW w:w="50" w:type="pct"/>
            <w:shd w:val="clear" w:color="auto" w:fill="FFFFFF"/>
            <w:vAlign w:val="bottom"/>
            <w:hideMark/>
          </w:tcPr>
          <w:p w14:paraId="71CA4FD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66510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4097D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A0D385D" w14:textId="77777777" w:rsidR="00000000" w:rsidRDefault="00527094">
            <w:pPr>
              <w:jc w:val="right"/>
              <w:rPr>
                <w:rFonts w:eastAsia="Times New Roman"/>
                <w:sz w:val="20"/>
                <w:szCs w:val="20"/>
              </w:rPr>
            </w:pPr>
            <w:r>
              <w:rPr>
                <w:rFonts w:eastAsia="Times New Roman"/>
                <w:sz w:val="20"/>
                <w:szCs w:val="20"/>
              </w:rPr>
              <w:t>24,655</w:t>
            </w:r>
          </w:p>
        </w:tc>
        <w:tc>
          <w:tcPr>
            <w:tcW w:w="50" w:type="pct"/>
            <w:shd w:val="clear" w:color="auto" w:fill="FFFFFF"/>
            <w:vAlign w:val="bottom"/>
            <w:hideMark/>
          </w:tcPr>
          <w:p w14:paraId="6838494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5F646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AE3A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11C9EFD" w14:textId="77777777" w:rsidR="00000000" w:rsidRDefault="00527094">
            <w:pPr>
              <w:jc w:val="right"/>
              <w:rPr>
                <w:rFonts w:eastAsia="Times New Roman"/>
                <w:sz w:val="20"/>
                <w:szCs w:val="20"/>
              </w:rPr>
            </w:pPr>
            <w:r>
              <w:rPr>
                <w:rFonts w:eastAsia="Times New Roman"/>
                <w:sz w:val="20"/>
                <w:szCs w:val="20"/>
              </w:rPr>
              <w:t>30,634</w:t>
            </w:r>
          </w:p>
        </w:tc>
        <w:tc>
          <w:tcPr>
            <w:tcW w:w="50" w:type="pct"/>
            <w:shd w:val="clear" w:color="auto" w:fill="FFFFFF"/>
            <w:vAlign w:val="bottom"/>
            <w:hideMark/>
          </w:tcPr>
          <w:p w14:paraId="020C2C87" w14:textId="77777777" w:rsidR="00000000" w:rsidRDefault="00527094">
            <w:pPr>
              <w:rPr>
                <w:rFonts w:eastAsia="Times New Roman"/>
                <w:sz w:val="20"/>
                <w:szCs w:val="20"/>
              </w:rPr>
            </w:pPr>
            <w:r>
              <w:rPr>
                <w:rFonts w:eastAsia="Times New Roman"/>
                <w:sz w:val="20"/>
                <w:szCs w:val="20"/>
              </w:rPr>
              <w:t> </w:t>
            </w:r>
          </w:p>
        </w:tc>
      </w:tr>
      <w:tr w:rsidR="00000000" w14:paraId="27C28D9E" w14:textId="77777777">
        <w:trPr>
          <w:tblCellSpacing w:w="0" w:type="dxa"/>
        </w:trPr>
        <w:tc>
          <w:tcPr>
            <w:tcW w:w="0" w:type="auto"/>
            <w:shd w:val="clear" w:color="auto" w:fill="CCEEFF"/>
            <w:vAlign w:val="bottom"/>
            <w:hideMark/>
          </w:tcPr>
          <w:p w14:paraId="42A16295" w14:textId="77777777" w:rsidR="00000000" w:rsidRDefault="00527094">
            <w:pPr>
              <w:pStyle w:val="a3"/>
              <w:spacing w:before="0" w:beforeAutospacing="0" w:after="0" w:afterAutospacing="0"/>
              <w:rPr>
                <w:sz w:val="20"/>
                <w:szCs w:val="20"/>
              </w:rPr>
            </w:pPr>
            <w:r>
              <w:rPr>
                <w:sz w:val="20"/>
                <w:szCs w:val="20"/>
              </w:rPr>
              <w:t>Profit participation from other real estate investments, net</w:t>
            </w:r>
          </w:p>
        </w:tc>
        <w:tc>
          <w:tcPr>
            <w:tcW w:w="50" w:type="pct"/>
            <w:shd w:val="clear" w:color="auto" w:fill="CCEEFF"/>
            <w:vAlign w:val="bottom"/>
            <w:hideMark/>
          </w:tcPr>
          <w:p w14:paraId="444FBA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C03D6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70043BB" w14:textId="77777777" w:rsidR="00000000" w:rsidRDefault="00527094">
            <w:pPr>
              <w:jc w:val="right"/>
              <w:rPr>
                <w:rFonts w:eastAsia="Times New Roman"/>
                <w:sz w:val="20"/>
                <w:szCs w:val="20"/>
              </w:rPr>
            </w:pPr>
            <w:r>
              <w:rPr>
                <w:rFonts w:eastAsia="Times New Roman"/>
                <w:sz w:val="20"/>
                <w:szCs w:val="20"/>
              </w:rPr>
              <w:t>(8,754</w:t>
            </w:r>
          </w:p>
        </w:tc>
        <w:tc>
          <w:tcPr>
            <w:tcW w:w="50" w:type="pct"/>
            <w:shd w:val="clear" w:color="auto" w:fill="CCEEFF"/>
            <w:vAlign w:val="bottom"/>
            <w:hideMark/>
          </w:tcPr>
          <w:p w14:paraId="30330FF6"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1F81E9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BA78F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ABFB470" w14:textId="77777777" w:rsidR="00000000" w:rsidRDefault="00527094">
            <w:pPr>
              <w:jc w:val="right"/>
              <w:rPr>
                <w:rFonts w:eastAsia="Times New Roman"/>
                <w:sz w:val="20"/>
                <w:szCs w:val="20"/>
              </w:rPr>
            </w:pPr>
            <w:r>
              <w:rPr>
                <w:rFonts w:eastAsia="Times New Roman"/>
                <w:sz w:val="20"/>
                <w:szCs w:val="20"/>
              </w:rPr>
              <w:t>(5,253</w:t>
            </w:r>
          </w:p>
        </w:tc>
        <w:tc>
          <w:tcPr>
            <w:tcW w:w="50" w:type="pct"/>
            <w:shd w:val="clear" w:color="auto" w:fill="CCEEFF"/>
            <w:vAlign w:val="bottom"/>
            <w:hideMark/>
          </w:tcPr>
          <w:p w14:paraId="7779E734"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AA7B0C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357193"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352DF7B" w14:textId="77777777" w:rsidR="00000000" w:rsidRDefault="00527094">
            <w:pPr>
              <w:jc w:val="right"/>
              <w:rPr>
                <w:rFonts w:eastAsia="Times New Roman"/>
                <w:sz w:val="20"/>
                <w:szCs w:val="20"/>
              </w:rPr>
            </w:pPr>
            <w:r>
              <w:rPr>
                <w:rFonts w:eastAsia="Times New Roman"/>
                <w:sz w:val="20"/>
                <w:szCs w:val="20"/>
              </w:rPr>
              <w:t>(9,784</w:t>
            </w:r>
          </w:p>
        </w:tc>
        <w:tc>
          <w:tcPr>
            <w:tcW w:w="50" w:type="pct"/>
            <w:shd w:val="clear" w:color="auto" w:fill="CCEEFF"/>
            <w:vAlign w:val="bottom"/>
            <w:hideMark/>
          </w:tcPr>
          <w:p w14:paraId="2D544BAD"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5E7E5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4C9AD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1DE05A0" w14:textId="77777777" w:rsidR="00000000" w:rsidRDefault="00527094">
            <w:pPr>
              <w:jc w:val="right"/>
              <w:rPr>
                <w:rFonts w:eastAsia="Times New Roman"/>
                <w:sz w:val="20"/>
                <w:szCs w:val="20"/>
              </w:rPr>
            </w:pPr>
            <w:r>
              <w:rPr>
                <w:rFonts w:eastAsia="Times New Roman"/>
                <w:sz w:val="20"/>
                <w:szCs w:val="20"/>
              </w:rPr>
              <w:t>(9,981</w:t>
            </w:r>
          </w:p>
        </w:tc>
        <w:tc>
          <w:tcPr>
            <w:tcW w:w="50" w:type="pct"/>
            <w:shd w:val="clear" w:color="auto" w:fill="CCEEFF"/>
            <w:vAlign w:val="bottom"/>
            <w:hideMark/>
          </w:tcPr>
          <w:p w14:paraId="5D8A8FFC" w14:textId="77777777" w:rsidR="00000000" w:rsidRDefault="00527094">
            <w:pPr>
              <w:rPr>
                <w:rFonts w:eastAsia="Times New Roman"/>
                <w:sz w:val="20"/>
                <w:szCs w:val="20"/>
              </w:rPr>
            </w:pPr>
            <w:r>
              <w:rPr>
                <w:rFonts w:eastAsia="Times New Roman"/>
                <w:sz w:val="20"/>
                <w:szCs w:val="20"/>
              </w:rPr>
              <w:t>)</w:t>
            </w:r>
          </w:p>
        </w:tc>
      </w:tr>
      <w:tr w:rsidR="00000000" w14:paraId="59C16191" w14:textId="77777777">
        <w:trPr>
          <w:tblCellSpacing w:w="0" w:type="dxa"/>
        </w:trPr>
        <w:tc>
          <w:tcPr>
            <w:tcW w:w="0" w:type="auto"/>
            <w:shd w:val="clear" w:color="auto" w:fill="FFFFFF"/>
            <w:vAlign w:val="bottom"/>
            <w:hideMark/>
          </w:tcPr>
          <w:p w14:paraId="6DBF9C6B" w14:textId="77777777" w:rsidR="00000000" w:rsidRDefault="00527094">
            <w:pPr>
              <w:pStyle w:val="a3"/>
              <w:spacing w:before="0" w:beforeAutospacing="0" w:after="0" w:afterAutospacing="0"/>
              <w:rPr>
                <w:sz w:val="20"/>
                <w:szCs w:val="20"/>
              </w:rPr>
            </w:pPr>
            <w:r>
              <w:rPr>
                <w:sz w:val="20"/>
                <w:szCs w:val="20"/>
              </w:rPr>
              <w:t>(Gain)/loss on marketable securities</w:t>
            </w:r>
          </w:p>
        </w:tc>
        <w:tc>
          <w:tcPr>
            <w:tcW w:w="50" w:type="pct"/>
            <w:shd w:val="clear" w:color="auto" w:fill="FFFFFF"/>
            <w:vAlign w:val="bottom"/>
            <w:hideMark/>
          </w:tcPr>
          <w:p w14:paraId="6AE0B3A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58CE0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EE4E3F1" w14:textId="77777777" w:rsidR="00000000" w:rsidRDefault="00527094">
            <w:pPr>
              <w:jc w:val="right"/>
              <w:rPr>
                <w:rFonts w:eastAsia="Times New Roman"/>
                <w:sz w:val="20"/>
                <w:szCs w:val="20"/>
              </w:rPr>
            </w:pPr>
            <w:r>
              <w:rPr>
                <w:rFonts w:eastAsia="Times New Roman"/>
                <w:sz w:val="20"/>
                <w:szCs w:val="20"/>
              </w:rPr>
              <w:t>(71</w:t>
            </w:r>
          </w:p>
        </w:tc>
        <w:tc>
          <w:tcPr>
            <w:tcW w:w="50" w:type="pct"/>
            <w:shd w:val="clear" w:color="auto" w:fill="FFFFFF"/>
            <w:vAlign w:val="bottom"/>
            <w:hideMark/>
          </w:tcPr>
          <w:p w14:paraId="5E0988FD"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ED936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02A45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6668F52" w14:textId="77777777" w:rsidR="00000000" w:rsidRDefault="00527094">
            <w:pPr>
              <w:jc w:val="right"/>
              <w:rPr>
                <w:rFonts w:eastAsia="Times New Roman"/>
                <w:sz w:val="20"/>
                <w:szCs w:val="20"/>
              </w:rPr>
            </w:pPr>
            <w:r>
              <w:rPr>
                <w:rFonts w:eastAsia="Times New Roman"/>
                <w:sz w:val="20"/>
                <w:szCs w:val="20"/>
              </w:rPr>
              <w:t>(24</w:t>
            </w:r>
          </w:p>
        </w:tc>
        <w:tc>
          <w:tcPr>
            <w:tcW w:w="50" w:type="pct"/>
            <w:shd w:val="clear" w:color="auto" w:fill="FFFFFF"/>
            <w:vAlign w:val="bottom"/>
            <w:hideMark/>
          </w:tcPr>
          <w:p w14:paraId="4794F2BD"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8310E1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F70CA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CAD639F" w14:textId="77777777" w:rsidR="00000000" w:rsidRDefault="00527094">
            <w:pPr>
              <w:jc w:val="right"/>
              <w:rPr>
                <w:rFonts w:eastAsia="Times New Roman"/>
                <w:sz w:val="20"/>
                <w:szCs w:val="20"/>
              </w:rPr>
            </w:pPr>
            <w:r>
              <w:rPr>
                <w:rFonts w:eastAsia="Times New Roman"/>
                <w:sz w:val="20"/>
                <w:szCs w:val="20"/>
              </w:rPr>
              <w:t>(1,574</w:t>
            </w:r>
          </w:p>
        </w:tc>
        <w:tc>
          <w:tcPr>
            <w:tcW w:w="50" w:type="pct"/>
            <w:shd w:val="clear" w:color="auto" w:fill="FFFFFF"/>
            <w:vAlign w:val="bottom"/>
            <w:hideMark/>
          </w:tcPr>
          <w:p w14:paraId="62D39563"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6A16F3D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9683F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2522972" w14:textId="77777777" w:rsidR="00000000" w:rsidRDefault="00527094">
            <w:pPr>
              <w:jc w:val="right"/>
              <w:rPr>
                <w:rFonts w:eastAsia="Times New Roman"/>
                <w:sz w:val="20"/>
                <w:szCs w:val="20"/>
              </w:rPr>
            </w:pPr>
            <w:r>
              <w:rPr>
                <w:rFonts w:eastAsia="Times New Roman"/>
                <w:sz w:val="20"/>
                <w:szCs w:val="20"/>
              </w:rPr>
              <w:t>1,486</w:t>
            </w:r>
          </w:p>
        </w:tc>
        <w:tc>
          <w:tcPr>
            <w:tcW w:w="50" w:type="pct"/>
            <w:shd w:val="clear" w:color="auto" w:fill="FFFFFF"/>
            <w:vAlign w:val="bottom"/>
            <w:hideMark/>
          </w:tcPr>
          <w:p w14:paraId="050CDE86" w14:textId="77777777" w:rsidR="00000000" w:rsidRDefault="00527094">
            <w:pPr>
              <w:rPr>
                <w:rFonts w:eastAsia="Times New Roman"/>
                <w:sz w:val="20"/>
                <w:szCs w:val="20"/>
              </w:rPr>
            </w:pPr>
            <w:r>
              <w:rPr>
                <w:rFonts w:eastAsia="Times New Roman"/>
                <w:sz w:val="20"/>
                <w:szCs w:val="20"/>
              </w:rPr>
              <w:t> </w:t>
            </w:r>
          </w:p>
        </w:tc>
      </w:tr>
      <w:tr w:rsidR="00000000" w14:paraId="15A1871B" w14:textId="77777777">
        <w:trPr>
          <w:tblCellSpacing w:w="0" w:type="dxa"/>
        </w:trPr>
        <w:tc>
          <w:tcPr>
            <w:tcW w:w="0" w:type="auto"/>
            <w:shd w:val="clear" w:color="auto" w:fill="CCEEFF"/>
            <w:vAlign w:val="bottom"/>
            <w:hideMark/>
          </w:tcPr>
          <w:p w14:paraId="6AC8DBED" w14:textId="77777777" w:rsidR="00000000" w:rsidRDefault="00527094">
            <w:pPr>
              <w:pStyle w:val="a3"/>
              <w:spacing w:before="0" w:beforeAutospacing="0" w:after="0" w:afterAutospacing="0"/>
              <w:rPr>
                <w:sz w:val="20"/>
                <w:szCs w:val="20"/>
              </w:rPr>
            </w:pPr>
            <w:r>
              <w:rPr>
                <w:sz w:val="20"/>
                <w:szCs w:val="20"/>
              </w:rPr>
              <w:t>Noncontrolling interests (1)</w:t>
            </w:r>
          </w:p>
        </w:tc>
        <w:tc>
          <w:tcPr>
            <w:tcW w:w="50" w:type="pct"/>
            <w:shd w:val="clear" w:color="auto" w:fill="CCEEFF"/>
            <w:vAlign w:val="bottom"/>
            <w:hideMark/>
          </w:tcPr>
          <w:p w14:paraId="36AA14A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5E7006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A06DF3B" w14:textId="77777777" w:rsidR="00000000" w:rsidRDefault="00527094">
            <w:pPr>
              <w:jc w:val="right"/>
              <w:rPr>
                <w:rFonts w:eastAsia="Times New Roman"/>
                <w:sz w:val="20"/>
                <w:szCs w:val="20"/>
              </w:rPr>
            </w:pPr>
            <w:r>
              <w:rPr>
                <w:rFonts w:eastAsia="Times New Roman"/>
                <w:sz w:val="20"/>
                <w:szCs w:val="20"/>
              </w:rPr>
              <w:t>(333</w:t>
            </w:r>
          </w:p>
        </w:tc>
        <w:tc>
          <w:tcPr>
            <w:tcW w:w="50" w:type="pct"/>
            <w:shd w:val="clear" w:color="auto" w:fill="CCEEFF"/>
            <w:tcMar>
              <w:top w:w="0" w:type="dxa"/>
              <w:left w:w="0" w:type="dxa"/>
              <w:bottom w:w="15" w:type="dxa"/>
              <w:right w:w="0" w:type="dxa"/>
            </w:tcMar>
            <w:vAlign w:val="bottom"/>
            <w:hideMark/>
          </w:tcPr>
          <w:p w14:paraId="74AED1A4"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1AD807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826CAEC"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3438A49" w14:textId="77777777" w:rsidR="00000000" w:rsidRDefault="00527094">
            <w:pPr>
              <w:jc w:val="right"/>
              <w:rPr>
                <w:rFonts w:eastAsia="Times New Roman"/>
                <w:sz w:val="20"/>
                <w:szCs w:val="20"/>
              </w:rPr>
            </w:pPr>
            <w:r>
              <w:rPr>
                <w:rFonts w:eastAsia="Times New Roman"/>
                <w:sz w:val="20"/>
                <w:szCs w:val="20"/>
              </w:rPr>
              <w:t>(507</w:t>
            </w:r>
          </w:p>
        </w:tc>
        <w:tc>
          <w:tcPr>
            <w:tcW w:w="50" w:type="pct"/>
            <w:shd w:val="clear" w:color="auto" w:fill="CCEEFF"/>
            <w:tcMar>
              <w:top w:w="0" w:type="dxa"/>
              <w:left w:w="0" w:type="dxa"/>
              <w:bottom w:w="15" w:type="dxa"/>
              <w:right w:w="0" w:type="dxa"/>
            </w:tcMar>
            <w:vAlign w:val="bottom"/>
            <w:hideMark/>
          </w:tcPr>
          <w:p w14:paraId="011D0876"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1DA46B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DD8E9DA"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59014AE" w14:textId="77777777" w:rsidR="00000000" w:rsidRDefault="00527094">
            <w:pPr>
              <w:jc w:val="right"/>
              <w:rPr>
                <w:rFonts w:eastAsia="Times New Roman"/>
                <w:sz w:val="20"/>
                <w:szCs w:val="20"/>
              </w:rPr>
            </w:pPr>
            <w:r>
              <w:rPr>
                <w:rFonts w:eastAsia="Times New Roman"/>
                <w:sz w:val="20"/>
                <w:szCs w:val="20"/>
              </w:rPr>
              <w:t>(581</w:t>
            </w:r>
          </w:p>
        </w:tc>
        <w:tc>
          <w:tcPr>
            <w:tcW w:w="50" w:type="pct"/>
            <w:shd w:val="clear" w:color="auto" w:fill="CCEEFF"/>
            <w:tcMar>
              <w:top w:w="0" w:type="dxa"/>
              <w:left w:w="0" w:type="dxa"/>
              <w:bottom w:w="15" w:type="dxa"/>
              <w:right w:w="0" w:type="dxa"/>
            </w:tcMar>
            <w:vAlign w:val="bottom"/>
            <w:hideMark/>
          </w:tcPr>
          <w:p w14:paraId="437631CD"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861501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84ACBF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8807AE2" w14:textId="77777777" w:rsidR="00000000" w:rsidRDefault="00527094">
            <w:pPr>
              <w:jc w:val="right"/>
              <w:rPr>
                <w:rFonts w:eastAsia="Times New Roman"/>
                <w:sz w:val="20"/>
                <w:szCs w:val="20"/>
              </w:rPr>
            </w:pPr>
            <w:r>
              <w:rPr>
                <w:rFonts w:eastAsia="Times New Roman"/>
                <w:sz w:val="20"/>
                <w:szCs w:val="20"/>
              </w:rPr>
              <w:t>(1,924</w:t>
            </w:r>
          </w:p>
        </w:tc>
        <w:tc>
          <w:tcPr>
            <w:tcW w:w="50" w:type="pct"/>
            <w:shd w:val="clear" w:color="auto" w:fill="CCEEFF"/>
            <w:tcMar>
              <w:top w:w="0" w:type="dxa"/>
              <w:left w:w="0" w:type="dxa"/>
              <w:bottom w:w="15" w:type="dxa"/>
              <w:right w:w="0" w:type="dxa"/>
            </w:tcMar>
            <w:vAlign w:val="bottom"/>
            <w:hideMark/>
          </w:tcPr>
          <w:p w14:paraId="63F6FF00" w14:textId="77777777" w:rsidR="00000000" w:rsidRDefault="00527094">
            <w:pPr>
              <w:rPr>
                <w:rFonts w:eastAsia="Times New Roman"/>
                <w:sz w:val="20"/>
                <w:szCs w:val="20"/>
              </w:rPr>
            </w:pPr>
            <w:r>
              <w:rPr>
                <w:rFonts w:eastAsia="Times New Roman"/>
                <w:sz w:val="20"/>
                <w:szCs w:val="20"/>
              </w:rPr>
              <w:t>)</w:t>
            </w:r>
          </w:p>
        </w:tc>
      </w:tr>
      <w:tr w:rsidR="00000000" w14:paraId="487435E5" w14:textId="77777777">
        <w:trPr>
          <w:tblCellSpacing w:w="0" w:type="dxa"/>
        </w:trPr>
        <w:tc>
          <w:tcPr>
            <w:tcW w:w="0" w:type="auto"/>
            <w:shd w:val="clear" w:color="auto" w:fill="FFFFFF"/>
            <w:vAlign w:val="bottom"/>
            <w:hideMark/>
          </w:tcPr>
          <w:p w14:paraId="70C8E40F" w14:textId="77777777" w:rsidR="00000000" w:rsidRDefault="00527094">
            <w:pPr>
              <w:pStyle w:val="a3"/>
              <w:spacing w:before="0" w:beforeAutospacing="0" w:after="0" w:afterAutospacing="0"/>
              <w:rPr>
                <w:sz w:val="20"/>
                <w:szCs w:val="20"/>
              </w:rPr>
            </w:pPr>
            <w:r>
              <w:rPr>
                <w:b/>
                <w:bCs/>
                <w:sz w:val="20"/>
                <w:szCs w:val="20"/>
              </w:rPr>
              <w:t>FFO available to the Company’s common shareholders</w:t>
            </w:r>
          </w:p>
        </w:tc>
        <w:tc>
          <w:tcPr>
            <w:tcW w:w="50" w:type="pct"/>
            <w:shd w:val="clear" w:color="auto" w:fill="FFFFFF"/>
            <w:vAlign w:val="bottom"/>
            <w:hideMark/>
          </w:tcPr>
          <w:p w14:paraId="65E1F7B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8E88FBB" w14:textId="77777777" w:rsidR="00000000" w:rsidRDefault="0052709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7CDEBC84" w14:textId="77777777" w:rsidR="00000000" w:rsidRDefault="00527094">
            <w:pPr>
              <w:jc w:val="right"/>
              <w:rPr>
                <w:rFonts w:eastAsia="Times New Roman"/>
                <w:sz w:val="20"/>
                <w:szCs w:val="20"/>
              </w:rPr>
            </w:pPr>
            <w:r>
              <w:rPr>
                <w:rFonts w:eastAsia="Times New Roman"/>
                <w:b/>
                <w:bCs/>
                <w:sz w:val="20"/>
                <w:szCs w:val="20"/>
              </w:rPr>
              <w:t>151,162</w:t>
            </w:r>
          </w:p>
        </w:tc>
        <w:tc>
          <w:tcPr>
            <w:tcW w:w="50" w:type="pct"/>
            <w:shd w:val="clear" w:color="auto" w:fill="FFFFFF"/>
            <w:tcMar>
              <w:top w:w="0" w:type="dxa"/>
              <w:left w:w="0" w:type="dxa"/>
              <w:bottom w:w="15" w:type="dxa"/>
              <w:right w:w="0" w:type="dxa"/>
            </w:tcMar>
            <w:vAlign w:val="bottom"/>
            <w:hideMark/>
          </w:tcPr>
          <w:p w14:paraId="07F30E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6D5EE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8DDDD1F" w14:textId="77777777" w:rsidR="00000000" w:rsidRDefault="0052709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427899A5" w14:textId="77777777" w:rsidR="00000000" w:rsidRDefault="00527094">
            <w:pPr>
              <w:jc w:val="right"/>
              <w:rPr>
                <w:rFonts w:eastAsia="Times New Roman"/>
                <w:sz w:val="20"/>
                <w:szCs w:val="20"/>
              </w:rPr>
            </w:pPr>
            <w:r>
              <w:rPr>
                <w:rFonts w:eastAsia="Times New Roman"/>
                <w:b/>
                <w:bCs/>
                <w:sz w:val="20"/>
                <w:szCs w:val="20"/>
              </w:rPr>
              <w:t>158,551</w:t>
            </w:r>
          </w:p>
        </w:tc>
        <w:tc>
          <w:tcPr>
            <w:tcW w:w="50" w:type="pct"/>
            <w:shd w:val="clear" w:color="auto" w:fill="FFFFFF"/>
            <w:tcMar>
              <w:top w:w="0" w:type="dxa"/>
              <w:left w:w="0" w:type="dxa"/>
              <w:bottom w:w="15" w:type="dxa"/>
              <w:right w:w="0" w:type="dxa"/>
            </w:tcMar>
            <w:vAlign w:val="bottom"/>
            <w:hideMark/>
          </w:tcPr>
          <w:p w14:paraId="27AB2F4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426713"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7793665" w14:textId="77777777" w:rsidR="00000000" w:rsidRDefault="0052709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70288925" w14:textId="77777777" w:rsidR="00000000" w:rsidRDefault="00527094">
            <w:pPr>
              <w:jc w:val="right"/>
              <w:rPr>
                <w:rFonts w:eastAsia="Times New Roman"/>
                <w:sz w:val="20"/>
                <w:szCs w:val="20"/>
              </w:rPr>
            </w:pPr>
            <w:r>
              <w:rPr>
                <w:rFonts w:eastAsia="Times New Roman"/>
                <w:b/>
                <w:bCs/>
                <w:sz w:val="20"/>
                <w:szCs w:val="20"/>
              </w:rPr>
              <w:t>309,560</w:t>
            </w:r>
          </w:p>
        </w:tc>
        <w:tc>
          <w:tcPr>
            <w:tcW w:w="50" w:type="pct"/>
            <w:shd w:val="clear" w:color="auto" w:fill="FFFFFF"/>
            <w:tcMar>
              <w:top w:w="0" w:type="dxa"/>
              <w:left w:w="0" w:type="dxa"/>
              <w:bottom w:w="15" w:type="dxa"/>
              <w:right w:w="0" w:type="dxa"/>
            </w:tcMar>
            <w:vAlign w:val="bottom"/>
            <w:hideMark/>
          </w:tcPr>
          <w:p w14:paraId="5E2243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74532B"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A790F6" w14:textId="77777777" w:rsidR="00000000" w:rsidRDefault="0052709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3770D5E7" w14:textId="77777777" w:rsidR="00000000" w:rsidRDefault="00527094">
            <w:pPr>
              <w:jc w:val="right"/>
              <w:rPr>
                <w:rFonts w:eastAsia="Times New Roman"/>
                <w:sz w:val="20"/>
                <w:szCs w:val="20"/>
              </w:rPr>
            </w:pPr>
            <w:r>
              <w:rPr>
                <w:rFonts w:eastAsia="Times New Roman"/>
                <w:b/>
                <w:bCs/>
                <w:sz w:val="20"/>
                <w:szCs w:val="20"/>
              </w:rPr>
              <w:t>319,944</w:t>
            </w:r>
          </w:p>
        </w:tc>
        <w:tc>
          <w:tcPr>
            <w:tcW w:w="50" w:type="pct"/>
            <w:shd w:val="clear" w:color="auto" w:fill="FFFFFF"/>
            <w:tcMar>
              <w:top w:w="0" w:type="dxa"/>
              <w:left w:w="0" w:type="dxa"/>
              <w:bottom w:w="15" w:type="dxa"/>
              <w:right w:w="0" w:type="dxa"/>
            </w:tcMar>
            <w:vAlign w:val="bottom"/>
            <w:hideMark/>
          </w:tcPr>
          <w:p w14:paraId="7ECAE305" w14:textId="77777777" w:rsidR="00000000" w:rsidRDefault="00527094">
            <w:pPr>
              <w:rPr>
                <w:rFonts w:eastAsia="Times New Roman"/>
                <w:sz w:val="20"/>
                <w:szCs w:val="20"/>
              </w:rPr>
            </w:pPr>
            <w:r>
              <w:rPr>
                <w:rFonts w:eastAsia="Times New Roman"/>
                <w:sz w:val="20"/>
                <w:szCs w:val="20"/>
              </w:rPr>
              <w:t> </w:t>
            </w:r>
          </w:p>
        </w:tc>
      </w:tr>
      <w:tr w:rsidR="00000000" w14:paraId="63872CF3" w14:textId="77777777">
        <w:trPr>
          <w:tblCellSpacing w:w="0" w:type="dxa"/>
        </w:trPr>
        <w:tc>
          <w:tcPr>
            <w:tcW w:w="0" w:type="auto"/>
            <w:shd w:val="clear" w:color="auto" w:fill="CCEEFF"/>
            <w:vAlign w:val="bottom"/>
            <w:hideMark/>
          </w:tcPr>
          <w:p w14:paraId="2D446E6E" w14:textId="77777777" w:rsidR="00000000" w:rsidRDefault="00527094">
            <w:pPr>
              <w:pStyle w:val="a3"/>
              <w:spacing w:before="0" w:beforeAutospacing="0" w:after="0" w:afterAutospacing="0"/>
              <w:rPr>
                <w:sz w:val="20"/>
                <w:szCs w:val="20"/>
              </w:rPr>
            </w:pPr>
            <w:r>
              <w:rPr>
                <w:sz w:val="20"/>
                <w:szCs w:val="20"/>
              </w:rPr>
              <w:t>Transactional (income)/expense:</w:t>
            </w:r>
          </w:p>
        </w:tc>
        <w:tc>
          <w:tcPr>
            <w:tcW w:w="0" w:type="auto"/>
            <w:shd w:val="clear" w:color="auto" w:fill="CCEEFF"/>
            <w:vAlign w:val="bottom"/>
            <w:hideMark/>
          </w:tcPr>
          <w:p w14:paraId="354D3C7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483A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B9E4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2A50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42356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8257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90EBD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3784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1952D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B09C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02AF5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0DA89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8CE9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E96F3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D337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CB1A0" w14:textId="77777777" w:rsidR="00000000" w:rsidRDefault="00527094">
            <w:pPr>
              <w:rPr>
                <w:rFonts w:eastAsia="Times New Roman"/>
                <w:sz w:val="20"/>
                <w:szCs w:val="20"/>
              </w:rPr>
            </w:pPr>
            <w:r>
              <w:rPr>
                <w:rFonts w:eastAsia="Times New Roman"/>
                <w:sz w:val="20"/>
                <w:szCs w:val="20"/>
              </w:rPr>
              <w:t> </w:t>
            </w:r>
          </w:p>
        </w:tc>
      </w:tr>
      <w:tr w:rsidR="00000000" w14:paraId="38E75AD7" w14:textId="77777777">
        <w:trPr>
          <w:tblCellSpacing w:w="0" w:type="dxa"/>
        </w:trPr>
        <w:tc>
          <w:tcPr>
            <w:tcW w:w="0" w:type="auto"/>
            <w:shd w:val="clear" w:color="auto" w:fill="FFFFFF"/>
            <w:vAlign w:val="bottom"/>
            <w:hideMark/>
          </w:tcPr>
          <w:p w14:paraId="53D460B6" w14:textId="77777777" w:rsidR="00000000" w:rsidRDefault="00527094">
            <w:pPr>
              <w:pStyle w:val="a3"/>
              <w:spacing w:before="0" w:beforeAutospacing="0" w:after="0" w:afterAutospacing="0"/>
              <w:ind w:left="180"/>
              <w:rPr>
                <w:sz w:val="20"/>
                <w:szCs w:val="20"/>
              </w:rPr>
            </w:pPr>
            <w:r>
              <w:rPr>
                <w:sz w:val="20"/>
                <w:szCs w:val="20"/>
              </w:rPr>
              <w:t>Distribution in excess of basis</w:t>
            </w:r>
          </w:p>
        </w:tc>
        <w:tc>
          <w:tcPr>
            <w:tcW w:w="50" w:type="pct"/>
            <w:shd w:val="clear" w:color="auto" w:fill="FFFFFF"/>
            <w:vAlign w:val="bottom"/>
            <w:hideMark/>
          </w:tcPr>
          <w:p w14:paraId="158EF85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D8F8D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6D03464"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C76AEB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1909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7E2E5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2C5876B" w14:textId="77777777" w:rsidR="00000000" w:rsidRDefault="00527094">
            <w:pPr>
              <w:jc w:val="right"/>
              <w:rPr>
                <w:rFonts w:eastAsia="Times New Roman"/>
                <w:sz w:val="20"/>
                <w:szCs w:val="20"/>
              </w:rPr>
            </w:pPr>
            <w:r>
              <w:rPr>
                <w:rFonts w:eastAsia="Times New Roman"/>
                <w:sz w:val="20"/>
                <w:szCs w:val="20"/>
              </w:rPr>
              <w:t>(3,550</w:t>
            </w:r>
          </w:p>
        </w:tc>
        <w:tc>
          <w:tcPr>
            <w:tcW w:w="50" w:type="pct"/>
            <w:shd w:val="clear" w:color="auto" w:fill="FFFFFF"/>
            <w:vAlign w:val="bottom"/>
            <w:hideMark/>
          </w:tcPr>
          <w:p w14:paraId="0EE8E15A" w14:textId="77777777" w:rsidR="00000000" w:rsidRDefault="00527094">
            <w:pPr>
              <w:rPr>
                <w:rFonts w:eastAsia="Times New Roman"/>
                <w:sz w:val="20"/>
                <w:szCs w:val="20"/>
              </w:rPr>
            </w:pPr>
            <w:r>
              <w:rPr>
                <w:rFonts w:eastAsia="Times New Roman"/>
                <w:sz w:val="20"/>
                <w:szCs w:val="20"/>
              </w:rPr>
              <w:t>)</w:t>
            </w:r>
          </w:p>
        </w:tc>
        <w:tc>
          <w:tcPr>
            <w:tcW w:w="0" w:type="auto"/>
            <w:shd w:val="clear" w:color="auto" w:fill="FFFFFF"/>
            <w:vAlign w:val="bottom"/>
            <w:hideMark/>
          </w:tcPr>
          <w:p w14:paraId="1719E62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9E4ED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25EB2" w14:textId="77777777" w:rsidR="00000000" w:rsidRDefault="0052709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037CA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5C8F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EA054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0D936CD" w14:textId="77777777" w:rsidR="00000000" w:rsidRDefault="00527094">
            <w:pPr>
              <w:jc w:val="right"/>
              <w:rPr>
                <w:rFonts w:eastAsia="Times New Roman"/>
                <w:sz w:val="20"/>
                <w:szCs w:val="20"/>
              </w:rPr>
            </w:pPr>
            <w:r>
              <w:rPr>
                <w:rFonts w:eastAsia="Times New Roman"/>
                <w:sz w:val="20"/>
                <w:szCs w:val="20"/>
              </w:rPr>
              <w:t>(3,550</w:t>
            </w:r>
          </w:p>
        </w:tc>
        <w:tc>
          <w:tcPr>
            <w:tcW w:w="50" w:type="pct"/>
            <w:shd w:val="clear" w:color="auto" w:fill="FFFFFF"/>
            <w:vAlign w:val="bottom"/>
            <w:hideMark/>
          </w:tcPr>
          <w:p w14:paraId="581857A6" w14:textId="77777777" w:rsidR="00000000" w:rsidRDefault="00527094">
            <w:pPr>
              <w:rPr>
                <w:rFonts w:eastAsia="Times New Roman"/>
                <w:sz w:val="20"/>
                <w:szCs w:val="20"/>
              </w:rPr>
            </w:pPr>
            <w:r>
              <w:rPr>
                <w:rFonts w:eastAsia="Times New Roman"/>
                <w:sz w:val="20"/>
                <w:szCs w:val="20"/>
              </w:rPr>
              <w:t>)</w:t>
            </w:r>
          </w:p>
        </w:tc>
      </w:tr>
      <w:tr w:rsidR="00000000" w14:paraId="7C6F509F" w14:textId="77777777">
        <w:trPr>
          <w:tblCellSpacing w:w="0" w:type="dxa"/>
        </w:trPr>
        <w:tc>
          <w:tcPr>
            <w:tcW w:w="0" w:type="auto"/>
            <w:shd w:val="clear" w:color="auto" w:fill="CCEEFF"/>
            <w:vAlign w:val="bottom"/>
            <w:hideMark/>
          </w:tcPr>
          <w:p w14:paraId="1E94B449" w14:textId="77777777" w:rsidR="00000000" w:rsidRDefault="00527094">
            <w:pPr>
              <w:pStyle w:val="a3"/>
              <w:spacing w:before="0" w:beforeAutospacing="0" w:after="0" w:afterAutospacing="0"/>
              <w:ind w:left="180"/>
              <w:rPr>
                <w:sz w:val="20"/>
                <w:szCs w:val="20"/>
              </w:rPr>
            </w:pPr>
            <w:r>
              <w:rPr>
                <w:sz w:val="20"/>
                <w:szCs w:val="20"/>
              </w:rPr>
              <w:t>Severance costs</w:t>
            </w:r>
          </w:p>
        </w:tc>
        <w:tc>
          <w:tcPr>
            <w:tcW w:w="50" w:type="pct"/>
            <w:shd w:val="clear" w:color="auto" w:fill="CCEEFF"/>
            <w:vAlign w:val="bottom"/>
            <w:hideMark/>
          </w:tcPr>
          <w:p w14:paraId="49D5279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5D9CB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F52A4F3"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08ED12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FA749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57EA9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7CFC154" w14:textId="77777777" w:rsidR="00000000" w:rsidRDefault="00527094">
            <w:pPr>
              <w:jc w:val="right"/>
              <w:rPr>
                <w:rFonts w:eastAsia="Times New Roman"/>
                <w:sz w:val="20"/>
                <w:szCs w:val="20"/>
              </w:rPr>
            </w:pPr>
            <w:r>
              <w:rPr>
                <w:rFonts w:eastAsia="Times New Roman"/>
                <w:sz w:val="20"/>
                <w:szCs w:val="20"/>
              </w:rPr>
              <w:t>492</w:t>
            </w:r>
          </w:p>
        </w:tc>
        <w:tc>
          <w:tcPr>
            <w:tcW w:w="50" w:type="pct"/>
            <w:shd w:val="clear" w:color="auto" w:fill="CCEEFF"/>
            <w:vAlign w:val="bottom"/>
            <w:hideMark/>
          </w:tcPr>
          <w:p w14:paraId="383893E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8DC2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6AB4C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2A7580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8E8842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2342F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CD947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3C567AE" w14:textId="77777777" w:rsidR="00000000" w:rsidRDefault="00527094">
            <w:pPr>
              <w:jc w:val="right"/>
              <w:rPr>
                <w:rFonts w:eastAsia="Times New Roman"/>
                <w:sz w:val="20"/>
                <w:szCs w:val="20"/>
              </w:rPr>
            </w:pPr>
            <w:r>
              <w:rPr>
                <w:rFonts w:eastAsia="Times New Roman"/>
                <w:sz w:val="20"/>
                <w:szCs w:val="20"/>
              </w:rPr>
              <w:t>1,185</w:t>
            </w:r>
          </w:p>
        </w:tc>
        <w:tc>
          <w:tcPr>
            <w:tcW w:w="50" w:type="pct"/>
            <w:shd w:val="clear" w:color="auto" w:fill="CCEEFF"/>
            <w:vAlign w:val="bottom"/>
            <w:hideMark/>
          </w:tcPr>
          <w:p w14:paraId="37275EDF" w14:textId="77777777" w:rsidR="00000000" w:rsidRDefault="00527094">
            <w:pPr>
              <w:rPr>
                <w:rFonts w:eastAsia="Times New Roman"/>
                <w:sz w:val="20"/>
                <w:szCs w:val="20"/>
              </w:rPr>
            </w:pPr>
            <w:r>
              <w:rPr>
                <w:rFonts w:eastAsia="Times New Roman"/>
                <w:sz w:val="20"/>
                <w:szCs w:val="20"/>
              </w:rPr>
              <w:t> </w:t>
            </w:r>
          </w:p>
        </w:tc>
      </w:tr>
      <w:tr w:rsidR="00000000" w14:paraId="2E4B2EF7" w14:textId="77777777">
        <w:trPr>
          <w:tblCellSpacing w:w="0" w:type="dxa"/>
        </w:trPr>
        <w:tc>
          <w:tcPr>
            <w:tcW w:w="0" w:type="auto"/>
            <w:shd w:val="clear" w:color="auto" w:fill="FFFFFF"/>
            <w:vAlign w:val="bottom"/>
            <w:hideMark/>
          </w:tcPr>
          <w:p w14:paraId="5574EC21" w14:textId="77777777" w:rsidR="00000000" w:rsidRDefault="00527094">
            <w:pPr>
              <w:pStyle w:val="a3"/>
              <w:spacing w:before="0" w:beforeAutospacing="0" w:after="0" w:afterAutospacing="0"/>
              <w:ind w:left="180"/>
              <w:rPr>
                <w:sz w:val="20"/>
                <w:szCs w:val="20"/>
              </w:rPr>
            </w:pPr>
            <w:r>
              <w:rPr>
                <w:sz w:val="20"/>
                <w:szCs w:val="20"/>
              </w:rPr>
              <w:t>Gain on forgiveness of debt</w:t>
            </w:r>
          </w:p>
        </w:tc>
        <w:tc>
          <w:tcPr>
            <w:tcW w:w="50" w:type="pct"/>
            <w:shd w:val="clear" w:color="auto" w:fill="FFFFFF"/>
            <w:vAlign w:val="bottom"/>
            <w:hideMark/>
          </w:tcPr>
          <w:p w14:paraId="01939E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2CFAE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3A1CD87"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1568B1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221D9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D74A7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9504159"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6E7BAD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F6A2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BEC93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439DBC9"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AB17D3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1DA6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9AE82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3C8461B" w14:textId="77777777" w:rsidR="00000000" w:rsidRDefault="00527094">
            <w:pPr>
              <w:jc w:val="right"/>
              <w:rPr>
                <w:rFonts w:eastAsia="Times New Roman"/>
                <w:sz w:val="20"/>
                <w:szCs w:val="20"/>
              </w:rPr>
            </w:pPr>
            <w:r>
              <w:rPr>
                <w:rFonts w:eastAsia="Times New Roman"/>
                <w:sz w:val="20"/>
                <w:szCs w:val="20"/>
              </w:rPr>
              <w:t>(4,274</w:t>
            </w:r>
          </w:p>
        </w:tc>
        <w:tc>
          <w:tcPr>
            <w:tcW w:w="50" w:type="pct"/>
            <w:shd w:val="clear" w:color="auto" w:fill="FFFFFF"/>
            <w:vAlign w:val="bottom"/>
            <w:hideMark/>
          </w:tcPr>
          <w:p w14:paraId="253646E9" w14:textId="77777777" w:rsidR="00000000" w:rsidRDefault="00527094">
            <w:pPr>
              <w:rPr>
                <w:rFonts w:eastAsia="Times New Roman"/>
                <w:sz w:val="20"/>
                <w:szCs w:val="20"/>
              </w:rPr>
            </w:pPr>
            <w:r>
              <w:rPr>
                <w:rFonts w:eastAsia="Times New Roman"/>
                <w:sz w:val="20"/>
                <w:szCs w:val="20"/>
              </w:rPr>
              <w:t>)</w:t>
            </w:r>
          </w:p>
        </w:tc>
      </w:tr>
      <w:tr w:rsidR="00000000" w14:paraId="7EFB3515" w14:textId="77777777">
        <w:trPr>
          <w:tblCellSpacing w:w="0" w:type="dxa"/>
        </w:trPr>
        <w:tc>
          <w:tcPr>
            <w:tcW w:w="0" w:type="auto"/>
            <w:shd w:val="clear" w:color="auto" w:fill="CCEEFF"/>
            <w:vAlign w:val="bottom"/>
            <w:hideMark/>
          </w:tcPr>
          <w:p w14:paraId="155576CD" w14:textId="77777777" w:rsidR="00000000" w:rsidRDefault="00527094">
            <w:pPr>
              <w:pStyle w:val="a3"/>
              <w:spacing w:before="0" w:beforeAutospacing="0" w:after="0" w:afterAutospacing="0"/>
              <w:ind w:left="180"/>
              <w:rPr>
                <w:sz w:val="20"/>
                <w:szCs w:val="20"/>
              </w:rPr>
            </w:pPr>
            <w:r>
              <w:rPr>
                <w:sz w:val="20"/>
                <w:szCs w:val="20"/>
              </w:rPr>
              <w:t>Other income, net</w:t>
            </w:r>
          </w:p>
        </w:tc>
        <w:tc>
          <w:tcPr>
            <w:tcW w:w="50" w:type="pct"/>
            <w:shd w:val="clear" w:color="auto" w:fill="CCEEFF"/>
            <w:tcMar>
              <w:top w:w="0" w:type="dxa"/>
              <w:left w:w="0" w:type="dxa"/>
              <w:bottom w:w="15" w:type="dxa"/>
              <w:right w:w="0" w:type="dxa"/>
            </w:tcMar>
            <w:vAlign w:val="bottom"/>
            <w:hideMark/>
          </w:tcPr>
          <w:p w14:paraId="0ABB4B6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E475E7E"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300DF97" w14:textId="77777777" w:rsidR="00000000" w:rsidRDefault="00527094">
            <w:pPr>
              <w:jc w:val="right"/>
              <w:rPr>
                <w:rFonts w:eastAsia="Times New Roman"/>
                <w:sz w:val="20"/>
                <w:szCs w:val="20"/>
              </w:rPr>
            </w:pPr>
            <w:r>
              <w:rPr>
                <w:rFonts w:eastAsia="Times New Roman"/>
                <w:sz w:val="20"/>
                <w:szCs w:val="20"/>
              </w:rPr>
              <w:t>(1,000</w:t>
            </w:r>
          </w:p>
        </w:tc>
        <w:tc>
          <w:tcPr>
            <w:tcW w:w="50" w:type="pct"/>
            <w:shd w:val="clear" w:color="auto" w:fill="CCEEFF"/>
            <w:tcMar>
              <w:top w:w="0" w:type="dxa"/>
              <w:left w:w="0" w:type="dxa"/>
              <w:bottom w:w="15" w:type="dxa"/>
              <w:right w:w="0" w:type="dxa"/>
            </w:tcMar>
            <w:vAlign w:val="bottom"/>
            <w:hideMark/>
          </w:tcPr>
          <w:p w14:paraId="738E793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BCC6F1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CCED658"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601B3A8" w14:textId="77777777" w:rsidR="00000000" w:rsidRDefault="00527094">
            <w:pPr>
              <w:jc w:val="right"/>
              <w:rPr>
                <w:rFonts w:eastAsia="Times New Roman"/>
                <w:sz w:val="20"/>
                <w:szCs w:val="20"/>
              </w:rPr>
            </w:pPr>
            <w:r>
              <w:rPr>
                <w:rFonts w:eastAsia="Times New Roman"/>
                <w:sz w:val="20"/>
                <w:szCs w:val="20"/>
              </w:rPr>
              <w:t>236</w:t>
            </w:r>
          </w:p>
        </w:tc>
        <w:tc>
          <w:tcPr>
            <w:tcW w:w="50" w:type="pct"/>
            <w:shd w:val="clear" w:color="auto" w:fill="CCEEFF"/>
            <w:tcMar>
              <w:top w:w="0" w:type="dxa"/>
              <w:left w:w="0" w:type="dxa"/>
              <w:bottom w:w="15" w:type="dxa"/>
              <w:right w:w="0" w:type="dxa"/>
            </w:tcMar>
            <w:vAlign w:val="bottom"/>
            <w:hideMark/>
          </w:tcPr>
          <w:p w14:paraId="5A55E4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C31FCD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4BC941A"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18A6970" w14:textId="77777777" w:rsidR="00000000" w:rsidRDefault="00527094">
            <w:pPr>
              <w:jc w:val="right"/>
              <w:rPr>
                <w:rFonts w:eastAsia="Times New Roman"/>
                <w:sz w:val="20"/>
                <w:szCs w:val="20"/>
              </w:rPr>
            </w:pPr>
            <w:r>
              <w:rPr>
                <w:rFonts w:eastAsia="Times New Roman"/>
                <w:sz w:val="20"/>
                <w:szCs w:val="20"/>
              </w:rPr>
              <w:t>(2,000</w:t>
            </w:r>
          </w:p>
        </w:tc>
        <w:tc>
          <w:tcPr>
            <w:tcW w:w="50" w:type="pct"/>
            <w:shd w:val="clear" w:color="auto" w:fill="CCEEFF"/>
            <w:tcMar>
              <w:top w:w="0" w:type="dxa"/>
              <w:left w:w="0" w:type="dxa"/>
              <w:bottom w:w="15" w:type="dxa"/>
              <w:right w:w="0" w:type="dxa"/>
            </w:tcMar>
            <w:vAlign w:val="bottom"/>
            <w:hideMark/>
          </w:tcPr>
          <w:p w14:paraId="55FBA5C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214D1EA"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3C5BE12"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4199DFE" w14:textId="77777777" w:rsidR="00000000" w:rsidRDefault="00527094">
            <w:pPr>
              <w:jc w:val="right"/>
              <w:rPr>
                <w:rFonts w:eastAsia="Times New Roman"/>
                <w:sz w:val="20"/>
                <w:szCs w:val="20"/>
              </w:rPr>
            </w:pPr>
            <w:r>
              <w:rPr>
                <w:rFonts w:eastAsia="Times New Roman"/>
                <w:sz w:val="20"/>
                <w:szCs w:val="20"/>
              </w:rPr>
              <w:t>236</w:t>
            </w:r>
          </w:p>
        </w:tc>
        <w:tc>
          <w:tcPr>
            <w:tcW w:w="50" w:type="pct"/>
            <w:shd w:val="clear" w:color="auto" w:fill="CCEEFF"/>
            <w:tcMar>
              <w:top w:w="0" w:type="dxa"/>
              <w:left w:w="0" w:type="dxa"/>
              <w:bottom w:w="15" w:type="dxa"/>
              <w:right w:w="0" w:type="dxa"/>
            </w:tcMar>
            <w:vAlign w:val="bottom"/>
            <w:hideMark/>
          </w:tcPr>
          <w:p w14:paraId="55CEF0DD" w14:textId="77777777" w:rsidR="00000000" w:rsidRDefault="00527094">
            <w:pPr>
              <w:rPr>
                <w:rFonts w:eastAsia="Times New Roman"/>
                <w:sz w:val="20"/>
                <w:szCs w:val="20"/>
              </w:rPr>
            </w:pPr>
            <w:r>
              <w:rPr>
                <w:rFonts w:eastAsia="Times New Roman"/>
                <w:sz w:val="20"/>
                <w:szCs w:val="20"/>
              </w:rPr>
              <w:t> </w:t>
            </w:r>
          </w:p>
        </w:tc>
      </w:tr>
      <w:tr w:rsidR="00000000" w14:paraId="2E61F5C7" w14:textId="77777777">
        <w:trPr>
          <w:tblCellSpacing w:w="0" w:type="dxa"/>
        </w:trPr>
        <w:tc>
          <w:tcPr>
            <w:tcW w:w="0" w:type="auto"/>
            <w:shd w:val="clear" w:color="auto" w:fill="FFFFFF"/>
            <w:vAlign w:val="bottom"/>
            <w:hideMark/>
          </w:tcPr>
          <w:p w14:paraId="06306EED" w14:textId="77777777" w:rsidR="00000000" w:rsidRDefault="00527094">
            <w:pPr>
              <w:pStyle w:val="a3"/>
              <w:spacing w:before="0" w:beforeAutospacing="0" w:after="0" w:afterAutospacing="0"/>
              <w:rPr>
                <w:sz w:val="20"/>
                <w:szCs w:val="20"/>
              </w:rPr>
            </w:pPr>
            <w:r>
              <w:rPr>
                <w:sz w:val="20"/>
                <w:szCs w:val="20"/>
              </w:rPr>
              <w:t>Total transactional income, net</w:t>
            </w:r>
          </w:p>
        </w:tc>
        <w:tc>
          <w:tcPr>
            <w:tcW w:w="50" w:type="pct"/>
            <w:shd w:val="clear" w:color="auto" w:fill="FFFFFF"/>
            <w:vAlign w:val="bottom"/>
            <w:hideMark/>
          </w:tcPr>
          <w:p w14:paraId="0B1C3D29"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563172C"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57CE58C" w14:textId="77777777" w:rsidR="00000000" w:rsidRDefault="00527094">
            <w:pPr>
              <w:jc w:val="right"/>
              <w:rPr>
                <w:rFonts w:eastAsia="Times New Roman"/>
                <w:sz w:val="20"/>
                <w:szCs w:val="20"/>
              </w:rPr>
            </w:pPr>
            <w:r>
              <w:rPr>
                <w:rFonts w:eastAsia="Times New Roman"/>
                <w:sz w:val="20"/>
                <w:szCs w:val="20"/>
              </w:rPr>
              <w:t>(1,000</w:t>
            </w:r>
          </w:p>
        </w:tc>
        <w:tc>
          <w:tcPr>
            <w:tcW w:w="50" w:type="pct"/>
            <w:shd w:val="clear" w:color="auto" w:fill="FFFFFF"/>
            <w:tcMar>
              <w:top w:w="0" w:type="dxa"/>
              <w:left w:w="0" w:type="dxa"/>
              <w:bottom w:w="15" w:type="dxa"/>
              <w:right w:w="0" w:type="dxa"/>
            </w:tcMar>
            <w:vAlign w:val="bottom"/>
            <w:hideMark/>
          </w:tcPr>
          <w:p w14:paraId="337F21A6"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F3AA57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7EA76A2"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8D60BBA" w14:textId="77777777" w:rsidR="00000000" w:rsidRDefault="00527094">
            <w:pPr>
              <w:jc w:val="right"/>
              <w:rPr>
                <w:rFonts w:eastAsia="Times New Roman"/>
                <w:sz w:val="20"/>
                <w:szCs w:val="20"/>
              </w:rPr>
            </w:pPr>
            <w:r>
              <w:rPr>
                <w:rFonts w:eastAsia="Times New Roman"/>
                <w:sz w:val="20"/>
                <w:szCs w:val="20"/>
              </w:rPr>
              <w:t>(2,822</w:t>
            </w:r>
          </w:p>
        </w:tc>
        <w:tc>
          <w:tcPr>
            <w:tcW w:w="50" w:type="pct"/>
            <w:shd w:val="clear" w:color="auto" w:fill="FFFFFF"/>
            <w:tcMar>
              <w:top w:w="0" w:type="dxa"/>
              <w:left w:w="0" w:type="dxa"/>
              <w:bottom w:w="15" w:type="dxa"/>
              <w:right w:w="0" w:type="dxa"/>
            </w:tcMar>
            <w:vAlign w:val="bottom"/>
            <w:hideMark/>
          </w:tcPr>
          <w:p w14:paraId="468CC78B"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1D00BC5"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5604A1A"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A079081" w14:textId="77777777" w:rsidR="00000000" w:rsidRDefault="00527094">
            <w:pPr>
              <w:jc w:val="right"/>
              <w:rPr>
                <w:rFonts w:eastAsia="Times New Roman"/>
                <w:sz w:val="20"/>
                <w:szCs w:val="20"/>
              </w:rPr>
            </w:pPr>
            <w:r>
              <w:rPr>
                <w:rFonts w:eastAsia="Times New Roman"/>
                <w:sz w:val="20"/>
                <w:szCs w:val="20"/>
              </w:rPr>
              <w:t>(2,000</w:t>
            </w:r>
          </w:p>
        </w:tc>
        <w:tc>
          <w:tcPr>
            <w:tcW w:w="50" w:type="pct"/>
            <w:shd w:val="clear" w:color="auto" w:fill="FFFFFF"/>
            <w:tcMar>
              <w:top w:w="0" w:type="dxa"/>
              <w:left w:w="0" w:type="dxa"/>
              <w:bottom w:w="15" w:type="dxa"/>
              <w:right w:w="0" w:type="dxa"/>
            </w:tcMar>
            <w:vAlign w:val="bottom"/>
            <w:hideMark/>
          </w:tcPr>
          <w:p w14:paraId="2F3F5C29"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2CBF6CA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6B93C9B"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B56E7A4" w14:textId="77777777" w:rsidR="00000000" w:rsidRDefault="00527094">
            <w:pPr>
              <w:jc w:val="right"/>
              <w:rPr>
                <w:rFonts w:eastAsia="Times New Roman"/>
                <w:sz w:val="20"/>
                <w:szCs w:val="20"/>
              </w:rPr>
            </w:pPr>
            <w:r>
              <w:rPr>
                <w:rFonts w:eastAsia="Times New Roman"/>
                <w:sz w:val="20"/>
                <w:szCs w:val="20"/>
              </w:rPr>
              <w:t>(6,403</w:t>
            </w:r>
          </w:p>
        </w:tc>
        <w:tc>
          <w:tcPr>
            <w:tcW w:w="50" w:type="pct"/>
            <w:shd w:val="clear" w:color="auto" w:fill="FFFFFF"/>
            <w:tcMar>
              <w:top w:w="0" w:type="dxa"/>
              <w:left w:w="0" w:type="dxa"/>
              <w:bottom w:w="15" w:type="dxa"/>
              <w:right w:w="0" w:type="dxa"/>
            </w:tcMar>
            <w:vAlign w:val="bottom"/>
            <w:hideMark/>
          </w:tcPr>
          <w:p w14:paraId="6001568B" w14:textId="77777777" w:rsidR="00000000" w:rsidRDefault="00527094">
            <w:pPr>
              <w:rPr>
                <w:rFonts w:eastAsia="Times New Roman"/>
                <w:sz w:val="20"/>
                <w:szCs w:val="20"/>
              </w:rPr>
            </w:pPr>
            <w:r>
              <w:rPr>
                <w:rFonts w:eastAsia="Times New Roman"/>
                <w:sz w:val="20"/>
                <w:szCs w:val="20"/>
              </w:rPr>
              <w:t>)</w:t>
            </w:r>
          </w:p>
        </w:tc>
      </w:tr>
      <w:tr w:rsidR="00000000" w14:paraId="577D1365" w14:textId="77777777">
        <w:trPr>
          <w:tblCellSpacing w:w="0" w:type="dxa"/>
        </w:trPr>
        <w:tc>
          <w:tcPr>
            <w:tcW w:w="0" w:type="auto"/>
            <w:shd w:val="clear" w:color="auto" w:fill="CCEEFF"/>
            <w:vAlign w:val="bottom"/>
            <w:hideMark/>
          </w:tcPr>
          <w:p w14:paraId="7F1EA09E" w14:textId="77777777" w:rsidR="00000000" w:rsidRDefault="00527094">
            <w:pPr>
              <w:pStyle w:val="a3"/>
              <w:spacing w:before="0" w:beforeAutospacing="0" w:after="0" w:afterAutospacing="0"/>
              <w:ind w:left="180" w:hanging="180"/>
              <w:rPr>
                <w:sz w:val="20"/>
                <w:szCs w:val="20"/>
              </w:rPr>
            </w:pPr>
            <w:r>
              <w:rPr>
                <w:b/>
                <w:bCs/>
                <w:sz w:val="20"/>
                <w:szCs w:val="20"/>
              </w:rPr>
              <w:t>FFO available to the Company's common shareholders as adjusted</w:t>
            </w:r>
          </w:p>
        </w:tc>
        <w:tc>
          <w:tcPr>
            <w:tcW w:w="50" w:type="pct"/>
            <w:shd w:val="clear" w:color="auto" w:fill="CCEEFF"/>
            <w:vAlign w:val="bottom"/>
            <w:hideMark/>
          </w:tcPr>
          <w:p w14:paraId="5504B89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12B82E8"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6D49BB45" w14:textId="77777777" w:rsidR="00000000" w:rsidRDefault="00527094">
            <w:pPr>
              <w:jc w:val="right"/>
              <w:rPr>
                <w:rFonts w:eastAsia="Times New Roman"/>
                <w:sz w:val="20"/>
                <w:szCs w:val="20"/>
              </w:rPr>
            </w:pPr>
            <w:r>
              <w:rPr>
                <w:rFonts w:eastAsia="Times New Roman"/>
                <w:b/>
                <w:bCs/>
                <w:sz w:val="20"/>
                <w:szCs w:val="20"/>
              </w:rPr>
              <w:t>150,162</w:t>
            </w:r>
          </w:p>
        </w:tc>
        <w:tc>
          <w:tcPr>
            <w:tcW w:w="50" w:type="pct"/>
            <w:shd w:val="clear" w:color="auto" w:fill="CCEEFF"/>
            <w:tcMar>
              <w:top w:w="0" w:type="dxa"/>
              <w:left w:w="0" w:type="dxa"/>
              <w:bottom w:w="45" w:type="dxa"/>
              <w:right w:w="0" w:type="dxa"/>
            </w:tcMar>
            <w:vAlign w:val="bottom"/>
            <w:hideMark/>
          </w:tcPr>
          <w:p w14:paraId="40A240B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99E063"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941EE03"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0154BDD7" w14:textId="77777777" w:rsidR="00000000" w:rsidRDefault="00527094">
            <w:pPr>
              <w:jc w:val="right"/>
              <w:rPr>
                <w:rFonts w:eastAsia="Times New Roman"/>
                <w:sz w:val="20"/>
                <w:szCs w:val="20"/>
              </w:rPr>
            </w:pPr>
            <w:r>
              <w:rPr>
                <w:rFonts w:eastAsia="Times New Roman"/>
                <w:b/>
                <w:bCs/>
                <w:sz w:val="20"/>
                <w:szCs w:val="20"/>
              </w:rPr>
              <w:t>155,729</w:t>
            </w:r>
          </w:p>
        </w:tc>
        <w:tc>
          <w:tcPr>
            <w:tcW w:w="50" w:type="pct"/>
            <w:shd w:val="clear" w:color="auto" w:fill="CCEEFF"/>
            <w:tcMar>
              <w:top w:w="0" w:type="dxa"/>
              <w:left w:w="0" w:type="dxa"/>
              <w:bottom w:w="45" w:type="dxa"/>
              <w:right w:w="0" w:type="dxa"/>
            </w:tcMar>
            <w:vAlign w:val="bottom"/>
            <w:hideMark/>
          </w:tcPr>
          <w:p w14:paraId="2B037EE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292F2D"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703B7F7"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34B53C06" w14:textId="77777777" w:rsidR="00000000" w:rsidRDefault="00527094">
            <w:pPr>
              <w:jc w:val="right"/>
              <w:rPr>
                <w:rFonts w:eastAsia="Times New Roman"/>
                <w:sz w:val="20"/>
                <w:szCs w:val="20"/>
              </w:rPr>
            </w:pPr>
            <w:r>
              <w:rPr>
                <w:rFonts w:eastAsia="Times New Roman"/>
                <w:b/>
                <w:bCs/>
                <w:sz w:val="20"/>
                <w:szCs w:val="20"/>
              </w:rPr>
              <w:t>307,560</w:t>
            </w:r>
          </w:p>
        </w:tc>
        <w:tc>
          <w:tcPr>
            <w:tcW w:w="50" w:type="pct"/>
            <w:shd w:val="clear" w:color="auto" w:fill="CCEEFF"/>
            <w:tcMar>
              <w:top w:w="0" w:type="dxa"/>
              <w:left w:w="0" w:type="dxa"/>
              <w:bottom w:w="45" w:type="dxa"/>
              <w:right w:w="0" w:type="dxa"/>
            </w:tcMar>
            <w:vAlign w:val="bottom"/>
            <w:hideMark/>
          </w:tcPr>
          <w:p w14:paraId="27CC7BF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BD492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ACA932"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CE3D44E" w14:textId="77777777" w:rsidR="00000000" w:rsidRDefault="00527094">
            <w:pPr>
              <w:jc w:val="right"/>
              <w:rPr>
                <w:rFonts w:eastAsia="Times New Roman"/>
                <w:sz w:val="20"/>
                <w:szCs w:val="20"/>
              </w:rPr>
            </w:pPr>
            <w:r>
              <w:rPr>
                <w:rFonts w:eastAsia="Times New Roman"/>
                <w:b/>
                <w:bCs/>
                <w:sz w:val="20"/>
                <w:szCs w:val="20"/>
              </w:rPr>
              <w:t>313,541</w:t>
            </w:r>
          </w:p>
        </w:tc>
        <w:tc>
          <w:tcPr>
            <w:tcW w:w="50" w:type="pct"/>
            <w:shd w:val="clear" w:color="auto" w:fill="CCEEFF"/>
            <w:tcMar>
              <w:top w:w="0" w:type="dxa"/>
              <w:left w:w="0" w:type="dxa"/>
              <w:bottom w:w="45" w:type="dxa"/>
              <w:right w:w="0" w:type="dxa"/>
            </w:tcMar>
            <w:vAlign w:val="bottom"/>
            <w:hideMark/>
          </w:tcPr>
          <w:p w14:paraId="5B5498F7" w14:textId="77777777" w:rsidR="00000000" w:rsidRDefault="00527094">
            <w:pPr>
              <w:rPr>
                <w:rFonts w:eastAsia="Times New Roman"/>
                <w:sz w:val="20"/>
                <w:szCs w:val="20"/>
              </w:rPr>
            </w:pPr>
            <w:r>
              <w:rPr>
                <w:rFonts w:eastAsia="Times New Roman"/>
                <w:sz w:val="20"/>
                <w:szCs w:val="20"/>
              </w:rPr>
              <w:t> </w:t>
            </w:r>
          </w:p>
        </w:tc>
      </w:tr>
      <w:tr w:rsidR="00000000" w14:paraId="016D7F27" w14:textId="77777777">
        <w:trPr>
          <w:tblCellSpacing w:w="0" w:type="dxa"/>
        </w:trPr>
        <w:tc>
          <w:tcPr>
            <w:tcW w:w="0" w:type="auto"/>
            <w:shd w:val="clear" w:color="auto" w:fill="FFFFFF"/>
            <w:vAlign w:val="bottom"/>
            <w:hideMark/>
          </w:tcPr>
          <w:p w14:paraId="745DF775" w14:textId="77777777" w:rsidR="00000000" w:rsidRDefault="00527094">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FFFFFF"/>
            <w:vAlign w:val="bottom"/>
            <w:hideMark/>
          </w:tcPr>
          <w:p w14:paraId="53EB47A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9A19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28433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690E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0FF0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14699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47D2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E3430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00E6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86817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123C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66143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23093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4EDB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BFD5B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80BE6" w14:textId="77777777" w:rsidR="00000000" w:rsidRDefault="00527094">
            <w:pPr>
              <w:rPr>
                <w:rFonts w:eastAsia="Times New Roman"/>
                <w:sz w:val="20"/>
                <w:szCs w:val="20"/>
              </w:rPr>
            </w:pPr>
            <w:r>
              <w:rPr>
                <w:rFonts w:eastAsia="Times New Roman"/>
                <w:sz w:val="20"/>
                <w:szCs w:val="20"/>
              </w:rPr>
              <w:t> </w:t>
            </w:r>
          </w:p>
        </w:tc>
      </w:tr>
      <w:tr w:rsidR="00000000" w14:paraId="502F2FB0" w14:textId="77777777">
        <w:trPr>
          <w:tblCellSpacing w:w="0" w:type="dxa"/>
        </w:trPr>
        <w:tc>
          <w:tcPr>
            <w:tcW w:w="0" w:type="auto"/>
            <w:shd w:val="clear" w:color="auto" w:fill="CCEEFF"/>
            <w:vAlign w:val="bottom"/>
            <w:hideMark/>
          </w:tcPr>
          <w:p w14:paraId="60B3B3BD" w14:textId="77777777" w:rsidR="00000000" w:rsidRDefault="00527094">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14:paraId="690338D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A7A97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A1CA6D3" w14:textId="77777777" w:rsidR="00000000" w:rsidRDefault="00527094">
            <w:pPr>
              <w:jc w:val="right"/>
              <w:rPr>
                <w:rFonts w:eastAsia="Times New Roman"/>
                <w:sz w:val="20"/>
                <w:szCs w:val="20"/>
              </w:rPr>
            </w:pPr>
            <w:r>
              <w:rPr>
                <w:rFonts w:eastAsia="Times New Roman"/>
                <w:sz w:val="20"/>
                <w:szCs w:val="20"/>
              </w:rPr>
              <w:t>419,697</w:t>
            </w:r>
          </w:p>
        </w:tc>
        <w:tc>
          <w:tcPr>
            <w:tcW w:w="50" w:type="pct"/>
            <w:shd w:val="clear" w:color="auto" w:fill="CCEEFF"/>
            <w:vAlign w:val="bottom"/>
            <w:hideMark/>
          </w:tcPr>
          <w:p w14:paraId="2838C4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184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A1E85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05A5766" w14:textId="77777777" w:rsidR="00000000" w:rsidRDefault="00527094">
            <w:pPr>
              <w:jc w:val="right"/>
              <w:rPr>
                <w:rFonts w:eastAsia="Times New Roman"/>
                <w:sz w:val="20"/>
                <w:szCs w:val="20"/>
              </w:rPr>
            </w:pPr>
            <w:r>
              <w:rPr>
                <w:rFonts w:eastAsia="Times New Roman"/>
                <w:sz w:val="20"/>
                <w:szCs w:val="20"/>
              </w:rPr>
              <w:t>420,731</w:t>
            </w:r>
          </w:p>
        </w:tc>
        <w:tc>
          <w:tcPr>
            <w:tcW w:w="50" w:type="pct"/>
            <w:shd w:val="clear" w:color="auto" w:fill="CCEEFF"/>
            <w:vAlign w:val="bottom"/>
            <w:hideMark/>
          </w:tcPr>
          <w:p w14:paraId="14D7B42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271CA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83F0E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DBD1EB6" w14:textId="77777777" w:rsidR="00000000" w:rsidRDefault="00527094">
            <w:pPr>
              <w:jc w:val="right"/>
              <w:rPr>
                <w:rFonts w:eastAsia="Times New Roman"/>
                <w:sz w:val="20"/>
                <w:szCs w:val="20"/>
              </w:rPr>
            </w:pPr>
            <w:r>
              <w:rPr>
                <w:rFonts w:eastAsia="Times New Roman"/>
                <w:sz w:val="20"/>
                <w:szCs w:val="20"/>
              </w:rPr>
              <w:t>419,581</w:t>
            </w:r>
          </w:p>
        </w:tc>
        <w:tc>
          <w:tcPr>
            <w:tcW w:w="50" w:type="pct"/>
            <w:shd w:val="clear" w:color="auto" w:fill="CCEEFF"/>
            <w:vAlign w:val="bottom"/>
            <w:hideMark/>
          </w:tcPr>
          <w:p w14:paraId="3B501BB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42F4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E0F8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4C69C31" w14:textId="77777777" w:rsidR="00000000" w:rsidRDefault="00527094">
            <w:pPr>
              <w:jc w:val="right"/>
              <w:rPr>
                <w:rFonts w:eastAsia="Times New Roman"/>
                <w:sz w:val="20"/>
                <w:szCs w:val="20"/>
              </w:rPr>
            </w:pPr>
            <w:r>
              <w:rPr>
                <w:rFonts w:eastAsia="Times New Roman"/>
                <w:sz w:val="20"/>
                <w:szCs w:val="20"/>
              </w:rPr>
              <w:t>422,060</w:t>
            </w:r>
          </w:p>
        </w:tc>
        <w:tc>
          <w:tcPr>
            <w:tcW w:w="50" w:type="pct"/>
            <w:shd w:val="clear" w:color="auto" w:fill="CCEEFF"/>
            <w:vAlign w:val="bottom"/>
            <w:hideMark/>
          </w:tcPr>
          <w:p w14:paraId="7262B7B9" w14:textId="77777777" w:rsidR="00000000" w:rsidRDefault="00527094">
            <w:pPr>
              <w:rPr>
                <w:rFonts w:eastAsia="Times New Roman"/>
                <w:sz w:val="20"/>
                <w:szCs w:val="20"/>
              </w:rPr>
            </w:pPr>
            <w:r>
              <w:rPr>
                <w:rFonts w:eastAsia="Times New Roman"/>
                <w:sz w:val="20"/>
                <w:szCs w:val="20"/>
              </w:rPr>
              <w:t> </w:t>
            </w:r>
          </w:p>
        </w:tc>
      </w:tr>
      <w:tr w:rsidR="00000000" w14:paraId="24A29125" w14:textId="77777777">
        <w:trPr>
          <w:tblCellSpacing w:w="0" w:type="dxa"/>
        </w:trPr>
        <w:tc>
          <w:tcPr>
            <w:tcW w:w="0" w:type="auto"/>
            <w:shd w:val="clear" w:color="auto" w:fill="FFFFFF"/>
            <w:vAlign w:val="bottom"/>
            <w:hideMark/>
          </w:tcPr>
          <w:p w14:paraId="3D4559F7" w14:textId="77777777" w:rsidR="00000000" w:rsidRDefault="00527094">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14:paraId="2899293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CE8CE1"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CFF572D" w14:textId="77777777" w:rsidR="00000000" w:rsidRDefault="00527094">
            <w:pPr>
              <w:jc w:val="right"/>
              <w:rPr>
                <w:rFonts w:eastAsia="Times New Roman"/>
                <w:sz w:val="20"/>
                <w:szCs w:val="20"/>
              </w:rPr>
            </w:pPr>
            <w:r>
              <w:rPr>
                <w:rFonts w:eastAsia="Times New Roman"/>
                <w:sz w:val="20"/>
                <w:szCs w:val="20"/>
              </w:rPr>
              <w:t>835</w:t>
            </w:r>
          </w:p>
        </w:tc>
        <w:tc>
          <w:tcPr>
            <w:tcW w:w="50" w:type="pct"/>
            <w:shd w:val="clear" w:color="auto" w:fill="FFFFFF"/>
            <w:vAlign w:val="bottom"/>
            <w:hideMark/>
          </w:tcPr>
          <w:p w14:paraId="3AC01F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762CC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A052D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097C546" w14:textId="77777777" w:rsidR="00000000" w:rsidRDefault="00527094">
            <w:pPr>
              <w:jc w:val="right"/>
              <w:rPr>
                <w:rFonts w:eastAsia="Times New Roman"/>
                <w:sz w:val="20"/>
                <w:szCs w:val="20"/>
              </w:rPr>
            </w:pPr>
            <w:r>
              <w:rPr>
                <w:rFonts w:eastAsia="Times New Roman"/>
                <w:sz w:val="20"/>
                <w:szCs w:val="20"/>
              </w:rPr>
              <w:t>935</w:t>
            </w:r>
          </w:p>
        </w:tc>
        <w:tc>
          <w:tcPr>
            <w:tcW w:w="50" w:type="pct"/>
            <w:shd w:val="clear" w:color="auto" w:fill="FFFFFF"/>
            <w:vAlign w:val="bottom"/>
            <w:hideMark/>
          </w:tcPr>
          <w:p w14:paraId="7977D1D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BAF7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B22ED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5BAE031" w14:textId="77777777" w:rsidR="00000000" w:rsidRDefault="00527094">
            <w:pPr>
              <w:jc w:val="right"/>
              <w:rPr>
                <w:rFonts w:eastAsia="Times New Roman"/>
                <w:sz w:val="20"/>
                <w:szCs w:val="20"/>
              </w:rPr>
            </w:pPr>
            <w:r>
              <w:rPr>
                <w:rFonts w:eastAsia="Times New Roman"/>
                <w:sz w:val="20"/>
                <w:szCs w:val="20"/>
              </w:rPr>
              <w:t>825</w:t>
            </w:r>
          </w:p>
        </w:tc>
        <w:tc>
          <w:tcPr>
            <w:tcW w:w="50" w:type="pct"/>
            <w:shd w:val="clear" w:color="auto" w:fill="FFFFFF"/>
            <w:vAlign w:val="bottom"/>
            <w:hideMark/>
          </w:tcPr>
          <w:p w14:paraId="5D37909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B2D41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7E302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E0AD0F8" w14:textId="77777777" w:rsidR="00000000" w:rsidRDefault="00527094">
            <w:pPr>
              <w:jc w:val="right"/>
              <w:rPr>
                <w:rFonts w:eastAsia="Times New Roman"/>
                <w:sz w:val="20"/>
                <w:szCs w:val="20"/>
              </w:rPr>
            </w:pPr>
            <w:r>
              <w:rPr>
                <w:rFonts w:eastAsia="Times New Roman"/>
                <w:sz w:val="20"/>
                <w:szCs w:val="20"/>
              </w:rPr>
              <w:t>927</w:t>
            </w:r>
          </w:p>
        </w:tc>
        <w:tc>
          <w:tcPr>
            <w:tcW w:w="50" w:type="pct"/>
            <w:shd w:val="clear" w:color="auto" w:fill="FFFFFF"/>
            <w:vAlign w:val="bottom"/>
            <w:hideMark/>
          </w:tcPr>
          <w:p w14:paraId="1FFF6A6D" w14:textId="77777777" w:rsidR="00000000" w:rsidRDefault="00527094">
            <w:pPr>
              <w:rPr>
                <w:rFonts w:eastAsia="Times New Roman"/>
                <w:sz w:val="20"/>
                <w:szCs w:val="20"/>
              </w:rPr>
            </w:pPr>
            <w:r>
              <w:rPr>
                <w:rFonts w:eastAsia="Times New Roman"/>
                <w:sz w:val="20"/>
                <w:szCs w:val="20"/>
              </w:rPr>
              <w:t> </w:t>
            </w:r>
          </w:p>
        </w:tc>
      </w:tr>
      <w:tr w:rsidR="00000000" w14:paraId="1718DA0D" w14:textId="77777777">
        <w:trPr>
          <w:tblCellSpacing w:w="0" w:type="dxa"/>
        </w:trPr>
        <w:tc>
          <w:tcPr>
            <w:tcW w:w="0" w:type="auto"/>
            <w:shd w:val="clear" w:color="auto" w:fill="CCEEFF"/>
            <w:vAlign w:val="bottom"/>
            <w:hideMark/>
          </w:tcPr>
          <w:p w14:paraId="0BA6FF1A" w14:textId="77777777" w:rsidR="00000000" w:rsidRDefault="00527094">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14:paraId="209546F0"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CF2B66"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BC0A319" w14:textId="77777777" w:rsidR="00000000" w:rsidRDefault="00527094">
            <w:pPr>
              <w:jc w:val="right"/>
              <w:rPr>
                <w:rFonts w:eastAsia="Times New Roman"/>
                <w:sz w:val="20"/>
                <w:szCs w:val="20"/>
              </w:rPr>
            </w:pPr>
            <w:r>
              <w:rPr>
                <w:rFonts w:eastAsia="Times New Roman"/>
                <w:sz w:val="20"/>
                <w:szCs w:val="20"/>
              </w:rPr>
              <w:t>949</w:t>
            </w:r>
          </w:p>
        </w:tc>
        <w:tc>
          <w:tcPr>
            <w:tcW w:w="50" w:type="pct"/>
            <w:shd w:val="clear" w:color="auto" w:fill="CCEEFF"/>
            <w:tcMar>
              <w:top w:w="0" w:type="dxa"/>
              <w:left w:w="0" w:type="dxa"/>
              <w:bottom w:w="15" w:type="dxa"/>
              <w:right w:w="0" w:type="dxa"/>
            </w:tcMar>
            <w:vAlign w:val="bottom"/>
            <w:hideMark/>
          </w:tcPr>
          <w:p w14:paraId="683DD5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21D99D"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8A629BC"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99BF8FF" w14:textId="77777777" w:rsidR="00000000" w:rsidRDefault="00527094">
            <w:pPr>
              <w:jc w:val="right"/>
              <w:rPr>
                <w:rFonts w:eastAsia="Times New Roman"/>
                <w:sz w:val="20"/>
                <w:szCs w:val="20"/>
              </w:rPr>
            </w:pPr>
            <w:r>
              <w:rPr>
                <w:rFonts w:eastAsia="Times New Roman"/>
                <w:sz w:val="20"/>
                <w:szCs w:val="20"/>
              </w:rPr>
              <w:t>350</w:t>
            </w:r>
          </w:p>
        </w:tc>
        <w:tc>
          <w:tcPr>
            <w:tcW w:w="50" w:type="pct"/>
            <w:shd w:val="clear" w:color="auto" w:fill="CCEEFF"/>
            <w:tcMar>
              <w:top w:w="0" w:type="dxa"/>
              <w:left w:w="0" w:type="dxa"/>
              <w:bottom w:w="15" w:type="dxa"/>
              <w:right w:w="0" w:type="dxa"/>
            </w:tcMar>
            <w:vAlign w:val="bottom"/>
            <w:hideMark/>
          </w:tcPr>
          <w:p w14:paraId="6FAC377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D88834"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9EE00BD"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A9F484D" w14:textId="77777777" w:rsidR="00000000" w:rsidRDefault="00527094">
            <w:pPr>
              <w:jc w:val="right"/>
              <w:rPr>
                <w:rFonts w:eastAsia="Times New Roman"/>
                <w:sz w:val="20"/>
                <w:szCs w:val="20"/>
              </w:rPr>
            </w:pPr>
            <w:r>
              <w:rPr>
                <w:rFonts w:eastAsia="Times New Roman"/>
                <w:sz w:val="20"/>
                <w:szCs w:val="20"/>
              </w:rPr>
              <w:t>1,166</w:t>
            </w:r>
          </w:p>
        </w:tc>
        <w:tc>
          <w:tcPr>
            <w:tcW w:w="50" w:type="pct"/>
            <w:shd w:val="clear" w:color="auto" w:fill="CCEEFF"/>
            <w:tcMar>
              <w:top w:w="0" w:type="dxa"/>
              <w:left w:w="0" w:type="dxa"/>
              <w:bottom w:w="15" w:type="dxa"/>
              <w:right w:w="0" w:type="dxa"/>
            </w:tcMar>
            <w:vAlign w:val="bottom"/>
            <w:hideMark/>
          </w:tcPr>
          <w:p w14:paraId="6BA56C3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3472C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B255554"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2474118" w14:textId="77777777" w:rsidR="00000000" w:rsidRDefault="00527094">
            <w:pPr>
              <w:jc w:val="right"/>
              <w:rPr>
                <w:rFonts w:eastAsia="Times New Roman"/>
                <w:sz w:val="20"/>
                <w:szCs w:val="20"/>
              </w:rPr>
            </w:pPr>
            <w:r>
              <w:rPr>
                <w:rFonts w:eastAsia="Times New Roman"/>
                <w:sz w:val="20"/>
                <w:szCs w:val="20"/>
              </w:rPr>
              <w:t>352</w:t>
            </w:r>
          </w:p>
        </w:tc>
        <w:tc>
          <w:tcPr>
            <w:tcW w:w="50" w:type="pct"/>
            <w:shd w:val="clear" w:color="auto" w:fill="CCEEFF"/>
            <w:tcMar>
              <w:top w:w="0" w:type="dxa"/>
              <w:left w:w="0" w:type="dxa"/>
              <w:bottom w:w="15" w:type="dxa"/>
              <w:right w:w="0" w:type="dxa"/>
            </w:tcMar>
            <w:vAlign w:val="bottom"/>
            <w:hideMark/>
          </w:tcPr>
          <w:p w14:paraId="12991DCC" w14:textId="77777777" w:rsidR="00000000" w:rsidRDefault="00527094">
            <w:pPr>
              <w:rPr>
                <w:rFonts w:eastAsia="Times New Roman"/>
                <w:sz w:val="20"/>
                <w:szCs w:val="20"/>
              </w:rPr>
            </w:pPr>
            <w:r>
              <w:rPr>
                <w:rFonts w:eastAsia="Times New Roman"/>
                <w:sz w:val="20"/>
                <w:szCs w:val="20"/>
              </w:rPr>
              <w:t> </w:t>
            </w:r>
          </w:p>
        </w:tc>
      </w:tr>
      <w:tr w:rsidR="00000000" w14:paraId="635D88AC" w14:textId="77777777">
        <w:trPr>
          <w:tblCellSpacing w:w="0" w:type="dxa"/>
        </w:trPr>
        <w:tc>
          <w:tcPr>
            <w:tcW w:w="0" w:type="auto"/>
            <w:shd w:val="clear" w:color="auto" w:fill="FFFFFF"/>
            <w:vAlign w:val="bottom"/>
            <w:hideMark/>
          </w:tcPr>
          <w:p w14:paraId="2F71EE61" w14:textId="77777777" w:rsidR="00000000" w:rsidRDefault="00527094">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14:paraId="40D2C7EB"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14C638D"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1A94089E" w14:textId="77777777" w:rsidR="00000000" w:rsidRDefault="00527094">
            <w:pPr>
              <w:jc w:val="right"/>
              <w:rPr>
                <w:rFonts w:eastAsia="Times New Roman"/>
                <w:sz w:val="20"/>
                <w:szCs w:val="20"/>
              </w:rPr>
            </w:pPr>
            <w:r>
              <w:rPr>
                <w:rFonts w:eastAsia="Times New Roman"/>
                <w:sz w:val="20"/>
                <w:szCs w:val="20"/>
              </w:rPr>
              <w:t>421,481</w:t>
            </w:r>
          </w:p>
        </w:tc>
        <w:tc>
          <w:tcPr>
            <w:tcW w:w="50" w:type="pct"/>
            <w:shd w:val="clear" w:color="auto" w:fill="FFFFFF"/>
            <w:tcMar>
              <w:top w:w="0" w:type="dxa"/>
              <w:left w:w="0" w:type="dxa"/>
              <w:bottom w:w="45" w:type="dxa"/>
              <w:right w:w="0" w:type="dxa"/>
            </w:tcMar>
            <w:vAlign w:val="bottom"/>
            <w:hideMark/>
          </w:tcPr>
          <w:p w14:paraId="3C1B5A8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6DEC8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417C2F3"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6E9E97D4" w14:textId="77777777" w:rsidR="00000000" w:rsidRDefault="00527094">
            <w:pPr>
              <w:jc w:val="right"/>
              <w:rPr>
                <w:rFonts w:eastAsia="Times New Roman"/>
                <w:sz w:val="20"/>
                <w:szCs w:val="20"/>
              </w:rPr>
            </w:pPr>
            <w:r>
              <w:rPr>
                <w:rFonts w:eastAsia="Times New Roman"/>
                <w:sz w:val="20"/>
                <w:szCs w:val="20"/>
              </w:rPr>
              <w:t>422,016</w:t>
            </w:r>
          </w:p>
        </w:tc>
        <w:tc>
          <w:tcPr>
            <w:tcW w:w="50" w:type="pct"/>
            <w:shd w:val="clear" w:color="auto" w:fill="FFFFFF"/>
            <w:tcMar>
              <w:top w:w="0" w:type="dxa"/>
              <w:left w:w="0" w:type="dxa"/>
              <w:bottom w:w="45" w:type="dxa"/>
              <w:right w:w="0" w:type="dxa"/>
            </w:tcMar>
            <w:vAlign w:val="bottom"/>
            <w:hideMark/>
          </w:tcPr>
          <w:p w14:paraId="5533842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61D69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8711899"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15C96799" w14:textId="77777777" w:rsidR="00000000" w:rsidRDefault="00527094">
            <w:pPr>
              <w:jc w:val="right"/>
              <w:rPr>
                <w:rFonts w:eastAsia="Times New Roman"/>
                <w:sz w:val="20"/>
                <w:szCs w:val="20"/>
              </w:rPr>
            </w:pPr>
            <w:r>
              <w:rPr>
                <w:rFonts w:eastAsia="Times New Roman"/>
                <w:sz w:val="20"/>
                <w:szCs w:val="20"/>
              </w:rPr>
              <w:t>421,572</w:t>
            </w:r>
          </w:p>
        </w:tc>
        <w:tc>
          <w:tcPr>
            <w:tcW w:w="50" w:type="pct"/>
            <w:shd w:val="clear" w:color="auto" w:fill="FFFFFF"/>
            <w:tcMar>
              <w:top w:w="0" w:type="dxa"/>
              <w:left w:w="0" w:type="dxa"/>
              <w:bottom w:w="45" w:type="dxa"/>
              <w:right w:w="0" w:type="dxa"/>
            </w:tcMar>
            <w:vAlign w:val="bottom"/>
            <w:hideMark/>
          </w:tcPr>
          <w:p w14:paraId="6A980D0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38CB7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BE1783B" w14:textId="77777777" w:rsidR="00000000" w:rsidRDefault="0052709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03CE4288" w14:textId="77777777" w:rsidR="00000000" w:rsidRDefault="00527094">
            <w:pPr>
              <w:jc w:val="right"/>
              <w:rPr>
                <w:rFonts w:eastAsia="Times New Roman"/>
                <w:sz w:val="20"/>
                <w:szCs w:val="20"/>
              </w:rPr>
            </w:pPr>
            <w:r>
              <w:rPr>
                <w:rFonts w:eastAsia="Times New Roman"/>
                <w:sz w:val="20"/>
                <w:szCs w:val="20"/>
              </w:rPr>
              <w:t>423,339</w:t>
            </w:r>
          </w:p>
        </w:tc>
        <w:tc>
          <w:tcPr>
            <w:tcW w:w="50" w:type="pct"/>
            <w:shd w:val="clear" w:color="auto" w:fill="FFFFFF"/>
            <w:tcMar>
              <w:top w:w="0" w:type="dxa"/>
              <w:left w:w="0" w:type="dxa"/>
              <w:bottom w:w="45" w:type="dxa"/>
              <w:right w:w="0" w:type="dxa"/>
            </w:tcMar>
            <w:vAlign w:val="bottom"/>
            <w:hideMark/>
          </w:tcPr>
          <w:p w14:paraId="1ADB1FBE" w14:textId="77777777" w:rsidR="00000000" w:rsidRDefault="00527094">
            <w:pPr>
              <w:rPr>
                <w:rFonts w:eastAsia="Times New Roman"/>
                <w:sz w:val="20"/>
                <w:szCs w:val="20"/>
              </w:rPr>
            </w:pPr>
            <w:r>
              <w:rPr>
                <w:rFonts w:eastAsia="Times New Roman"/>
                <w:sz w:val="20"/>
                <w:szCs w:val="20"/>
              </w:rPr>
              <w:t> </w:t>
            </w:r>
          </w:p>
        </w:tc>
      </w:tr>
      <w:tr w:rsidR="00000000" w14:paraId="61E495CD" w14:textId="77777777">
        <w:trPr>
          <w:tblCellSpacing w:w="0" w:type="dxa"/>
        </w:trPr>
        <w:tc>
          <w:tcPr>
            <w:tcW w:w="0" w:type="auto"/>
            <w:shd w:val="clear" w:color="auto" w:fill="CCEEFF"/>
            <w:vAlign w:val="bottom"/>
            <w:hideMark/>
          </w:tcPr>
          <w:p w14:paraId="165127B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6D93A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C5AD3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93822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F5FF1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472B1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4D954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64C94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A14F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520FD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37282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BAF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B5E9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9A7D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48D82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98D2A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D5B744" w14:textId="77777777" w:rsidR="00000000" w:rsidRDefault="00527094">
            <w:pPr>
              <w:rPr>
                <w:rFonts w:eastAsia="Times New Roman"/>
                <w:sz w:val="20"/>
                <w:szCs w:val="20"/>
              </w:rPr>
            </w:pPr>
            <w:r>
              <w:rPr>
                <w:rFonts w:eastAsia="Times New Roman"/>
                <w:sz w:val="20"/>
                <w:szCs w:val="20"/>
              </w:rPr>
              <w:t> </w:t>
            </w:r>
          </w:p>
        </w:tc>
      </w:tr>
      <w:tr w:rsidR="00000000" w14:paraId="309DF245" w14:textId="77777777">
        <w:trPr>
          <w:tblCellSpacing w:w="0" w:type="dxa"/>
        </w:trPr>
        <w:tc>
          <w:tcPr>
            <w:tcW w:w="0" w:type="auto"/>
            <w:shd w:val="clear" w:color="auto" w:fill="FFFFFF"/>
            <w:vAlign w:val="bottom"/>
            <w:hideMark/>
          </w:tcPr>
          <w:p w14:paraId="1953BB1B" w14:textId="77777777" w:rsidR="00000000" w:rsidRDefault="00527094">
            <w:pPr>
              <w:pStyle w:val="a3"/>
              <w:spacing w:before="0" w:beforeAutospacing="0" w:after="0" w:afterAutospacing="0"/>
              <w:rPr>
                <w:sz w:val="20"/>
                <w:szCs w:val="20"/>
              </w:rPr>
            </w:pPr>
            <w:r>
              <w:rPr>
                <w:b/>
                <w:bCs/>
                <w:sz w:val="20"/>
                <w:szCs w:val="20"/>
              </w:rPr>
              <w:t>FFO per common share – basic</w:t>
            </w:r>
          </w:p>
        </w:tc>
        <w:tc>
          <w:tcPr>
            <w:tcW w:w="50" w:type="pct"/>
            <w:shd w:val="clear" w:color="auto" w:fill="FFFFFF"/>
            <w:vAlign w:val="bottom"/>
            <w:hideMark/>
          </w:tcPr>
          <w:p w14:paraId="3C3DC84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396B51"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AD6D141"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FFFFFF"/>
            <w:tcMar>
              <w:top w:w="0" w:type="dxa"/>
              <w:left w:w="0" w:type="dxa"/>
              <w:bottom w:w="45" w:type="dxa"/>
              <w:right w:w="0" w:type="dxa"/>
            </w:tcMar>
            <w:vAlign w:val="bottom"/>
            <w:hideMark/>
          </w:tcPr>
          <w:p w14:paraId="3E26616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72E45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FAE9B20"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881D2F9" w14:textId="77777777" w:rsidR="00000000" w:rsidRDefault="00527094">
            <w:pPr>
              <w:jc w:val="right"/>
              <w:rPr>
                <w:rFonts w:eastAsia="Times New Roman"/>
                <w:sz w:val="20"/>
                <w:szCs w:val="20"/>
              </w:rPr>
            </w:pPr>
            <w:r>
              <w:rPr>
                <w:rFonts w:eastAsia="Times New Roman"/>
                <w:sz w:val="20"/>
                <w:szCs w:val="20"/>
              </w:rPr>
              <w:t>0.38</w:t>
            </w:r>
          </w:p>
        </w:tc>
        <w:tc>
          <w:tcPr>
            <w:tcW w:w="50" w:type="pct"/>
            <w:shd w:val="clear" w:color="auto" w:fill="FFFFFF"/>
            <w:tcMar>
              <w:top w:w="0" w:type="dxa"/>
              <w:left w:w="0" w:type="dxa"/>
              <w:bottom w:w="45" w:type="dxa"/>
              <w:right w:w="0" w:type="dxa"/>
            </w:tcMar>
            <w:vAlign w:val="bottom"/>
            <w:hideMark/>
          </w:tcPr>
          <w:p w14:paraId="678764B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2F742E"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788EF4A"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B50B6E8" w14:textId="77777777" w:rsidR="00000000" w:rsidRDefault="00527094">
            <w:pPr>
              <w:jc w:val="right"/>
              <w:rPr>
                <w:rFonts w:eastAsia="Times New Roman"/>
                <w:sz w:val="20"/>
                <w:szCs w:val="20"/>
              </w:rPr>
            </w:pPr>
            <w:r>
              <w:rPr>
                <w:rFonts w:eastAsia="Times New Roman"/>
                <w:sz w:val="20"/>
                <w:szCs w:val="20"/>
              </w:rPr>
              <w:t>0.74</w:t>
            </w:r>
          </w:p>
        </w:tc>
        <w:tc>
          <w:tcPr>
            <w:tcW w:w="50" w:type="pct"/>
            <w:shd w:val="clear" w:color="auto" w:fill="FFFFFF"/>
            <w:tcMar>
              <w:top w:w="0" w:type="dxa"/>
              <w:left w:w="0" w:type="dxa"/>
              <w:bottom w:w="45" w:type="dxa"/>
              <w:right w:w="0" w:type="dxa"/>
            </w:tcMar>
            <w:vAlign w:val="bottom"/>
            <w:hideMark/>
          </w:tcPr>
          <w:p w14:paraId="1285D7F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BC12E6"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12DE369"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87A1586" w14:textId="77777777" w:rsidR="00000000" w:rsidRDefault="00527094">
            <w:pPr>
              <w:jc w:val="right"/>
              <w:rPr>
                <w:rFonts w:eastAsia="Times New Roman"/>
                <w:sz w:val="20"/>
                <w:szCs w:val="20"/>
              </w:rPr>
            </w:pPr>
            <w:r>
              <w:rPr>
                <w:rFonts w:eastAsia="Times New Roman"/>
                <w:sz w:val="20"/>
                <w:szCs w:val="20"/>
              </w:rPr>
              <w:t>0.76</w:t>
            </w:r>
          </w:p>
        </w:tc>
        <w:tc>
          <w:tcPr>
            <w:tcW w:w="50" w:type="pct"/>
            <w:shd w:val="clear" w:color="auto" w:fill="FFFFFF"/>
            <w:tcMar>
              <w:top w:w="0" w:type="dxa"/>
              <w:left w:w="0" w:type="dxa"/>
              <w:bottom w:w="45" w:type="dxa"/>
              <w:right w:w="0" w:type="dxa"/>
            </w:tcMar>
            <w:vAlign w:val="bottom"/>
            <w:hideMark/>
          </w:tcPr>
          <w:p w14:paraId="2E98A27A" w14:textId="77777777" w:rsidR="00000000" w:rsidRDefault="00527094">
            <w:pPr>
              <w:rPr>
                <w:rFonts w:eastAsia="Times New Roman"/>
                <w:sz w:val="20"/>
                <w:szCs w:val="20"/>
              </w:rPr>
            </w:pPr>
            <w:r>
              <w:rPr>
                <w:rFonts w:eastAsia="Times New Roman"/>
                <w:sz w:val="20"/>
                <w:szCs w:val="20"/>
              </w:rPr>
              <w:t> </w:t>
            </w:r>
          </w:p>
        </w:tc>
      </w:tr>
      <w:tr w:rsidR="00000000" w14:paraId="1E322CE0" w14:textId="77777777">
        <w:trPr>
          <w:tblCellSpacing w:w="0" w:type="dxa"/>
        </w:trPr>
        <w:tc>
          <w:tcPr>
            <w:tcW w:w="0" w:type="auto"/>
            <w:shd w:val="clear" w:color="auto" w:fill="CCEEFF"/>
            <w:vAlign w:val="bottom"/>
            <w:hideMark/>
          </w:tcPr>
          <w:p w14:paraId="366413A3" w14:textId="77777777" w:rsidR="00000000" w:rsidRDefault="00527094">
            <w:pPr>
              <w:pStyle w:val="a3"/>
              <w:spacing w:before="0" w:beforeAutospacing="0" w:after="0" w:afterAutospacing="0"/>
              <w:rPr>
                <w:sz w:val="20"/>
                <w:szCs w:val="20"/>
              </w:rPr>
            </w:pPr>
            <w:r>
              <w:rPr>
                <w:b/>
                <w:bCs/>
                <w:sz w:val="20"/>
                <w:szCs w:val="20"/>
              </w:rPr>
              <w:t>FFO per common share – diluted</w:t>
            </w:r>
            <w:r>
              <w:rPr>
                <w:sz w:val="20"/>
                <w:szCs w:val="20"/>
              </w:rPr>
              <w:t xml:space="preserve"> (2)</w:t>
            </w:r>
          </w:p>
        </w:tc>
        <w:tc>
          <w:tcPr>
            <w:tcW w:w="50" w:type="pct"/>
            <w:shd w:val="clear" w:color="auto" w:fill="CCEEFF"/>
            <w:vAlign w:val="bottom"/>
            <w:hideMark/>
          </w:tcPr>
          <w:p w14:paraId="3852348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4B4D5A3"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8749E76"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CCEEFF"/>
            <w:tcMar>
              <w:top w:w="0" w:type="dxa"/>
              <w:left w:w="0" w:type="dxa"/>
              <w:bottom w:w="45" w:type="dxa"/>
              <w:right w:w="0" w:type="dxa"/>
            </w:tcMar>
            <w:vAlign w:val="bottom"/>
            <w:hideMark/>
          </w:tcPr>
          <w:p w14:paraId="5CF0034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BBE3D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92159EC"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F8374E5" w14:textId="77777777" w:rsidR="00000000" w:rsidRDefault="00527094">
            <w:pPr>
              <w:jc w:val="right"/>
              <w:rPr>
                <w:rFonts w:eastAsia="Times New Roman"/>
                <w:sz w:val="20"/>
                <w:szCs w:val="20"/>
              </w:rPr>
            </w:pPr>
            <w:r>
              <w:rPr>
                <w:rFonts w:eastAsia="Times New Roman"/>
                <w:sz w:val="20"/>
                <w:szCs w:val="20"/>
              </w:rPr>
              <w:t>0.38</w:t>
            </w:r>
          </w:p>
        </w:tc>
        <w:tc>
          <w:tcPr>
            <w:tcW w:w="50" w:type="pct"/>
            <w:shd w:val="clear" w:color="auto" w:fill="CCEEFF"/>
            <w:tcMar>
              <w:top w:w="0" w:type="dxa"/>
              <w:left w:w="0" w:type="dxa"/>
              <w:bottom w:w="45" w:type="dxa"/>
              <w:right w:w="0" w:type="dxa"/>
            </w:tcMar>
            <w:vAlign w:val="bottom"/>
            <w:hideMark/>
          </w:tcPr>
          <w:p w14:paraId="51285D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A8BDD8"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887D266"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D9F5F1A" w14:textId="77777777" w:rsidR="00000000" w:rsidRDefault="00527094">
            <w:pPr>
              <w:jc w:val="right"/>
              <w:rPr>
                <w:rFonts w:eastAsia="Times New Roman"/>
                <w:sz w:val="20"/>
                <w:szCs w:val="20"/>
              </w:rPr>
            </w:pPr>
            <w:r>
              <w:rPr>
                <w:rFonts w:eastAsia="Times New Roman"/>
                <w:sz w:val="20"/>
                <w:szCs w:val="20"/>
              </w:rPr>
              <w:t>0.74</w:t>
            </w:r>
          </w:p>
        </w:tc>
        <w:tc>
          <w:tcPr>
            <w:tcW w:w="50" w:type="pct"/>
            <w:shd w:val="clear" w:color="auto" w:fill="CCEEFF"/>
            <w:tcMar>
              <w:top w:w="0" w:type="dxa"/>
              <w:left w:w="0" w:type="dxa"/>
              <w:bottom w:w="45" w:type="dxa"/>
              <w:right w:w="0" w:type="dxa"/>
            </w:tcMar>
            <w:vAlign w:val="bottom"/>
            <w:hideMark/>
          </w:tcPr>
          <w:p w14:paraId="661076A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A501F2"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5485E81"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45E608A" w14:textId="77777777" w:rsidR="00000000" w:rsidRDefault="00527094">
            <w:pPr>
              <w:jc w:val="right"/>
              <w:rPr>
                <w:rFonts w:eastAsia="Times New Roman"/>
                <w:sz w:val="20"/>
                <w:szCs w:val="20"/>
              </w:rPr>
            </w:pPr>
            <w:r>
              <w:rPr>
                <w:rFonts w:eastAsia="Times New Roman"/>
                <w:sz w:val="20"/>
                <w:szCs w:val="20"/>
              </w:rPr>
              <w:t>0.76</w:t>
            </w:r>
          </w:p>
        </w:tc>
        <w:tc>
          <w:tcPr>
            <w:tcW w:w="50" w:type="pct"/>
            <w:shd w:val="clear" w:color="auto" w:fill="CCEEFF"/>
            <w:tcMar>
              <w:top w:w="0" w:type="dxa"/>
              <w:left w:w="0" w:type="dxa"/>
              <w:bottom w:w="45" w:type="dxa"/>
              <w:right w:w="0" w:type="dxa"/>
            </w:tcMar>
            <w:vAlign w:val="bottom"/>
            <w:hideMark/>
          </w:tcPr>
          <w:p w14:paraId="63AA7AB4" w14:textId="77777777" w:rsidR="00000000" w:rsidRDefault="00527094">
            <w:pPr>
              <w:rPr>
                <w:rFonts w:eastAsia="Times New Roman"/>
                <w:sz w:val="20"/>
                <w:szCs w:val="20"/>
              </w:rPr>
            </w:pPr>
            <w:r>
              <w:rPr>
                <w:rFonts w:eastAsia="Times New Roman"/>
                <w:sz w:val="20"/>
                <w:szCs w:val="20"/>
              </w:rPr>
              <w:t> </w:t>
            </w:r>
          </w:p>
        </w:tc>
      </w:tr>
      <w:tr w:rsidR="00000000" w14:paraId="2C79F05F" w14:textId="77777777">
        <w:trPr>
          <w:tblCellSpacing w:w="0" w:type="dxa"/>
        </w:trPr>
        <w:tc>
          <w:tcPr>
            <w:tcW w:w="0" w:type="auto"/>
            <w:shd w:val="clear" w:color="auto" w:fill="FFFFFF"/>
            <w:vAlign w:val="bottom"/>
            <w:hideMark/>
          </w:tcPr>
          <w:p w14:paraId="05F04CEB" w14:textId="77777777" w:rsidR="00000000" w:rsidRDefault="00527094">
            <w:pPr>
              <w:pStyle w:val="a3"/>
              <w:spacing w:before="0" w:beforeAutospacing="0" w:after="0" w:afterAutospacing="0"/>
              <w:rPr>
                <w:sz w:val="20"/>
                <w:szCs w:val="20"/>
              </w:rPr>
            </w:pPr>
            <w:r>
              <w:rPr>
                <w:b/>
                <w:bCs/>
                <w:sz w:val="20"/>
                <w:szCs w:val="20"/>
              </w:rPr>
              <w:t>FFO as adjusted per common share – basic</w:t>
            </w:r>
          </w:p>
        </w:tc>
        <w:tc>
          <w:tcPr>
            <w:tcW w:w="50" w:type="pct"/>
            <w:shd w:val="clear" w:color="auto" w:fill="FFFFFF"/>
            <w:vAlign w:val="bottom"/>
            <w:hideMark/>
          </w:tcPr>
          <w:p w14:paraId="6EC3880B"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E47026F"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53540A7"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FFFFFF"/>
            <w:tcMar>
              <w:top w:w="0" w:type="dxa"/>
              <w:left w:w="0" w:type="dxa"/>
              <w:bottom w:w="45" w:type="dxa"/>
              <w:right w:w="0" w:type="dxa"/>
            </w:tcMar>
            <w:vAlign w:val="bottom"/>
            <w:hideMark/>
          </w:tcPr>
          <w:p w14:paraId="46FE28D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70FE8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CE1F6CF"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3C634A6" w14:textId="77777777" w:rsidR="00000000" w:rsidRDefault="00527094">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45" w:type="dxa"/>
              <w:right w:w="0" w:type="dxa"/>
            </w:tcMar>
            <w:vAlign w:val="bottom"/>
            <w:hideMark/>
          </w:tcPr>
          <w:p w14:paraId="35DE88C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3287F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E972615"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79CF089" w14:textId="77777777" w:rsidR="00000000" w:rsidRDefault="00527094">
            <w:pPr>
              <w:jc w:val="right"/>
              <w:rPr>
                <w:rFonts w:eastAsia="Times New Roman"/>
                <w:sz w:val="20"/>
                <w:szCs w:val="20"/>
              </w:rPr>
            </w:pPr>
            <w:r>
              <w:rPr>
                <w:rFonts w:eastAsia="Times New Roman"/>
                <w:sz w:val="20"/>
                <w:szCs w:val="20"/>
              </w:rPr>
              <w:t>0.73</w:t>
            </w:r>
          </w:p>
        </w:tc>
        <w:tc>
          <w:tcPr>
            <w:tcW w:w="50" w:type="pct"/>
            <w:shd w:val="clear" w:color="auto" w:fill="FFFFFF"/>
            <w:tcMar>
              <w:top w:w="0" w:type="dxa"/>
              <w:left w:w="0" w:type="dxa"/>
              <w:bottom w:w="45" w:type="dxa"/>
              <w:right w:w="0" w:type="dxa"/>
            </w:tcMar>
            <w:vAlign w:val="bottom"/>
            <w:hideMark/>
          </w:tcPr>
          <w:p w14:paraId="1AC489D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E7ECC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C7407BA"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A595E8F" w14:textId="77777777" w:rsidR="00000000" w:rsidRDefault="00527094">
            <w:pPr>
              <w:jc w:val="right"/>
              <w:rPr>
                <w:rFonts w:eastAsia="Times New Roman"/>
                <w:sz w:val="20"/>
                <w:szCs w:val="20"/>
              </w:rPr>
            </w:pPr>
            <w:r>
              <w:rPr>
                <w:rFonts w:eastAsia="Times New Roman"/>
                <w:sz w:val="20"/>
                <w:szCs w:val="20"/>
              </w:rPr>
              <w:t>0.74</w:t>
            </w:r>
          </w:p>
        </w:tc>
        <w:tc>
          <w:tcPr>
            <w:tcW w:w="50" w:type="pct"/>
            <w:shd w:val="clear" w:color="auto" w:fill="FFFFFF"/>
            <w:tcMar>
              <w:top w:w="0" w:type="dxa"/>
              <w:left w:w="0" w:type="dxa"/>
              <w:bottom w:w="45" w:type="dxa"/>
              <w:right w:w="0" w:type="dxa"/>
            </w:tcMar>
            <w:vAlign w:val="bottom"/>
            <w:hideMark/>
          </w:tcPr>
          <w:p w14:paraId="018D8026" w14:textId="77777777" w:rsidR="00000000" w:rsidRDefault="00527094">
            <w:pPr>
              <w:rPr>
                <w:rFonts w:eastAsia="Times New Roman"/>
                <w:sz w:val="20"/>
                <w:szCs w:val="20"/>
              </w:rPr>
            </w:pPr>
            <w:r>
              <w:rPr>
                <w:rFonts w:eastAsia="Times New Roman"/>
                <w:sz w:val="20"/>
                <w:szCs w:val="20"/>
              </w:rPr>
              <w:t> </w:t>
            </w:r>
          </w:p>
        </w:tc>
      </w:tr>
      <w:tr w:rsidR="00000000" w14:paraId="4A31B263" w14:textId="77777777">
        <w:trPr>
          <w:tblCellSpacing w:w="0" w:type="dxa"/>
        </w:trPr>
        <w:tc>
          <w:tcPr>
            <w:tcW w:w="0" w:type="auto"/>
            <w:shd w:val="clear" w:color="auto" w:fill="CCEEFF"/>
            <w:vAlign w:val="bottom"/>
            <w:hideMark/>
          </w:tcPr>
          <w:p w14:paraId="5D0739B0" w14:textId="77777777" w:rsidR="00000000" w:rsidRDefault="00527094">
            <w:pPr>
              <w:pStyle w:val="a3"/>
              <w:spacing w:before="0" w:beforeAutospacing="0" w:after="0" w:afterAutospacing="0"/>
              <w:rPr>
                <w:sz w:val="20"/>
                <w:szCs w:val="20"/>
              </w:rPr>
            </w:pPr>
            <w:r>
              <w:rPr>
                <w:b/>
                <w:bCs/>
                <w:sz w:val="20"/>
                <w:szCs w:val="20"/>
              </w:rPr>
              <w:t xml:space="preserve">FFO as adjusted per common share – diluted </w:t>
            </w:r>
            <w:r>
              <w:rPr>
                <w:sz w:val="20"/>
                <w:szCs w:val="20"/>
              </w:rPr>
              <w:t>(2)</w:t>
            </w:r>
          </w:p>
        </w:tc>
        <w:tc>
          <w:tcPr>
            <w:tcW w:w="50" w:type="pct"/>
            <w:shd w:val="clear" w:color="auto" w:fill="CCEEFF"/>
            <w:vAlign w:val="bottom"/>
            <w:hideMark/>
          </w:tcPr>
          <w:p w14:paraId="793CFDB9"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3DE9034"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C4EE73D" w14:textId="77777777" w:rsidR="00000000" w:rsidRDefault="00527094">
            <w:pPr>
              <w:jc w:val="right"/>
              <w:rPr>
                <w:rFonts w:eastAsia="Times New Roman"/>
                <w:sz w:val="20"/>
                <w:szCs w:val="20"/>
              </w:rPr>
            </w:pPr>
            <w:r>
              <w:rPr>
                <w:rFonts w:eastAsia="Times New Roman"/>
                <w:sz w:val="20"/>
                <w:szCs w:val="20"/>
              </w:rPr>
              <w:t>0.36</w:t>
            </w:r>
          </w:p>
        </w:tc>
        <w:tc>
          <w:tcPr>
            <w:tcW w:w="50" w:type="pct"/>
            <w:shd w:val="clear" w:color="auto" w:fill="CCEEFF"/>
            <w:tcMar>
              <w:top w:w="0" w:type="dxa"/>
              <w:left w:w="0" w:type="dxa"/>
              <w:bottom w:w="45" w:type="dxa"/>
              <w:right w:w="0" w:type="dxa"/>
            </w:tcMar>
            <w:vAlign w:val="bottom"/>
            <w:hideMark/>
          </w:tcPr>
          <w:p w14:paraId="7A0A12E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834E87"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B687693"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1999DAD" w14:textId="77777777" w:rsidR="00000000" w:rsidRDefault="00527094">
            <w:pPr>
              <w:jc w:val="right"/>
              <w:rPr>
                <w:rFonts w:eastAsia="Times New Roman"/>
                <w:sz w:val="20"/>
                <w:szCs w:val="20"/>
              </w:rPr>
            </w:pPr>
            <w:r>
              <w:rPr>
                <w:rFonts w:eastAsia="Times New Roman"/>
                <w:sz w:val="20"/>
                <w:szCs w:val="20"/>
              </w:rPr>
              <w:t>0.37</w:t>
            </w:r>
          </w:p>
        </w:tc>
        <w:tc>
          <w:tcPr>
            <w:tcW w:w="50" w:type="pct"/>
            <w:shd w:val="clear" w:color="auto" w:fill="CCEEFF"/>
            <w:tcMar>
              <w:top w:w="0" w:type="dxa"/>
              <w:left w:w="0" w:type="dxa"/>
              <w:bottom w:w="45" w:type="dxa"/>
              <w:right w:w="0" w:type="dxa"/>
            </w:tcMar>
            <w:vAlign w:val="bottom"/>
            <w:hideMark/>
          </w:tcPr>
          <w:p w14:paraId="4D42B92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C52B8A"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E240CFA"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8127D02" w14:textId="77777777" w:rsidR="00000000" w:rsidRDefault="00527094">
            <w:pPr>
              <w:jc w:val="right"/>
              <w:rPr>
                <w:rFonts w:eastAsia="Times New Roman"/>
                <w:sz w:val="20"/>
                <w:szCs w:val="20"/>
              </w:rPr>
            </w:pPr>
            <w:r>
              <w:rPr>
                <w:rFonts w:eastAsia="Times New Roman"/>
                <w:sz w:val="20"/>
                <w:szCs w:val="20"/>
              </w:rPr>
              <w:t>0.73</w:t>
            </w:r>
          </w:p>
        </w:tc>
        <w:tc>
          <w:tcPr>
            <w:tcW w:w="50" w:type="pct"/>
            <w:shd w:val="clear" w:color="auto" w:fill="CCEEFF"/>
            <w:tcMar>
              <w:top w:w="0" w:type="dxa"/>
              <w:left w:w="0" w:type="dxa"/>
              <w:bottom w:w="45" w:type="dxa"/>
              <w:right w:w="0" w:type="dxa"/>
            </w:tcMar>
            <w:vAlign w:val="bottom"/>
            <w:hideMark/>
          </w:tcPr>
          <w:p w14:paraId="1852735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1ED01B"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F2261F0" w14:textId="77777777" w:rsidR="00000000" w:rsidRDefault="0052709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51434FE" w14:textId="77777777" w:rsidR="00000000" w:rsidRDefault="00527094">
            <w:pPr>
              <w:jc w:val="right"/>
              <w:rPr>
                <w:rFonts w:eastAsia="Times New Roman"/>
                <w:sz w:val="20"/>
                <w:szCs w:val="20"/>
              </w:rPr>
            </w:pPr>
            <w:r>
              <w:rPr>
                <w:rFonts w:eastAsia="Times New Roman"/>
                <w:sz w:val="20"/>
                <w:szCs w:val="20"/>
              </w:rPr>
              <w:t>0.74</w:t>
            </w:r>
          </w:p>
        </w:tc>
        <w:tc>
          <w:tcPr>
            <w:tcW w:w="50" w:type="pct"/>
            <w:shd w:val="clear" w:color="auto" w:fill="CCEEFF"/>
            <w:tcMar>
              <w:top w:w="0" w:type="dxa"/>
              <w:left w:w="0" w:type="dxa"/>
              <w:bottom w:w="45" w:type="dxa"/>
              <w:right w:w="0" w:type="dxa"/>
            </w:tcMar>
            <w:vAlign w:val="bottom"/>
            <w:hideMark/>
          </w:tcPr>
          <w:p w14:paraId="4341B10A" w14:textId="77777777" w:rsidR="00000000" w:rsidRDefault="00527094">
            <w:pPr>
              <w:rPr>
                <w:rFonts w:eastAsia="Times New Roman"/>
                <w:sz w:val="20"/>
                <w:szCs w:val="20"/>
              </w:rPr>
            </w:pPr>
            <w:r>
              <w:rPr>
                <w:rFonts w:eastAsia="Times New Roman"/>
                <w:sz w:val="20"/>
                <w:szCs w:val="20"/>
              </w:rPr>
              <w:t> </w:t>
            </w:r>
          </w:p>
        </w:tc>
      </w:tr>
    </w:tbl>
    <w:p w14:paraId="6F954D10" w14:textId="77777777" w:rsidR="00000000" w:rsidRDefault="0052709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A557D26" w14:textId="77777777">
        <w:trPr>
          <w:tblCellSpacing w:w="0" w:type="dxa"/>
        </w:trPr>
        <w:tc>
          <w:tcPr>
            <w:tcW w:w="360" w:type="dxa"/>
            <w:vAlign w:val="center"/>
            <w:hideMark/>
          </w:tcPr>
          <w:p w14:paraId="4DBA5B7E" w14:textId="77777777" w:rsidR="00000000" w:rsidRDefault="00527094">
            <w:pPr>
              <w:rPr>
                <w:rFonts w:eastAsia="Times New Roman"/>
                <w:sz w:val="20"/>
                <w:szCs w:val="20"/>
              </w:rPr>
            </w:pPr>
            <w:r>
              <w:rPr>
                <w:rFonts w:eastAsia="Times New Roman"/>
                <w:sz w:val="20"/>
                <w:szCs w:val="20"/>
              </w:rPr>
              <w:t> </w:t>
            </w:r>
          </w:p>
        </w:tc>
        <w:tc>
          <w:tcPr>
            <w:tcW w:w="360" w:type="dxa"/>
            <w:hideMark/>
          </w:tcPr>
          <w:p w14:paraId="0154D435" w14:textId="77777777" w:rsidR="00000000" w:rsidRDefault="00527094">
            <w:pPr>
              <w:pStyle w:val="a3"/>
              <w:spacing w:before="0" w:beforeAutospacing="0" w:after="0" w:afterAutospacing="0"/>
              <w:jc w:val="both"/>
              <w:rPr>
                <w:sz w:val="20"/>
                <w:szCs w:val="20"/>
              </w:rPr>
            </w:pPr>
            <w:r>
              <w:rPr>
                <w:sz w:val="20"/>
                <w:szCs w:val="20"/>
              </w:rPr>
              <w:t>(1)</w:t>
            </w:r>
          </w:p>
        </w:tc>
        <w:tc>
          <w:tcPr>
            <w:tcW w:w="0" w:type="auto"/>
            <w:hideMark/>
          </w:tcPr>
          <w:p w14:paraId="2E5DAA28" w14:textId="77777777" w:rsidR="00000000" w:rsidRDefault="00527094">
            <w:pPr>
              <w:pStyle w:val="a3"/>
              <w:spacing w:before="0" w:beforeAutospacing="0" w:after="0" w:afterAutospacing="0"/>
              <w:jc w:val="both"/>
              <w:rPr>
                <w:sz w:val="20"/>
                <w:szCs w:val="20"/>
              </w:rPr>
            </w:pPr>
            <w:r>
              <w:rPr>
                <w:sz w:val="20"/>
                <w:szCs w:val="20"/>
              </w:rPr>
              <w:t>Related to gains, impairment and depreciation on properties, where applicable.</w:t>
            </w:r>
          </w:p>
        </w:tc>
      </w:tr>
    </w:tbl>
    <w:p w14:paraId="1CAEFE20" w14:textId="77777777" w:rsidR="00000000" w:rsidRDefault="0052709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38CBEDE" w14:textId="77777777">
        <w:trPr>
          <w:tblCellSpacing w:w="0" w:type="dxa"/>
        </w:trPr>
        <w:tc>
          <w:tcPr>
            <w:tcW w:w="360" w:type="dxa"/>
            <w:vAlign w:val="center"/>
            <w:hideMark/>
          </w:tcPr>
          <w:p w14:paraId="0057CF38" w14:textId="77777777" w:rsidR="00000000" w:rsidRDefault="00527094">
            <w:pPr>
              <w:rPr>
                <w:rFonts w:eastAsia="Times New Roman"/>
                <w:sz w:val="20"/>
                <w:szCs w:val="20"/>
              </w:rPr>
            </w:pPr>
            <w:r>
              <w:rPr>
                <w:rFonts w:eastAsia="Times New Roman"/>
                <w:sz w:val="20"/>
                <w:szCs w:val="20"/>
              </w:rPr>
              <w:t> </w:t>
            </w:r>
          </w:p>
        </w:tc>
        <w:tc>
          <w:tcPr>
            <w:tcW w:w="360" w:type="dxa"/>
            <w:hideMark/>
          </w:tcPr>
          <w:p w14:paraId="43B556A9" w14:textId="77777777" w:rsidR="00000000" w:rsidRDefault="00527094">
            <w:pPr>
              <w:pStyle w:val="a3"/>
              <w:spacing w:before="0" w:beforeAutospacing="0" w:after="0" w:afterAutospacing="0"/>
              <w:jc w:val="both"/>
              <w:rPr>
                <w:sz w:val="20"/>
                <w:szCs w:val="20"/>
              </w:rPr>
            </w:pPr>
            <w:r>
              <w:rPr>
                <w:sz w:val="20"/>
                <w:szCs w:val="20"/>
              </w:rPr>
              <w:t>(2)</w:t>
            </w:r>
          </w:p>
        </w:tc>
        <w:tc>
          <w:tcPr>
            <w:tcW w:w="0" w:type="auto"/>
            <w:hideMark/>
          </w:tcPr>
          <w:p w14:paraId="1ECA5788" w14:textId="77777777" w:rsidR="00000000" w:rsidRDefault="00527094">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$228 and $261 for the three months ended June 30, 2019 and 2018, respectively, and $446 and $525 for the six months ended June 30, 2019 and 2018, respectively. The effect of other certain convertible units would have an anti-dilutive effec</w:t>
            </w:r>
            <w:r>
              <w:rPr>
                <w:sz w:val="20"/>
                <w:szCs w:val="20"/>
              </w:rPr>
              <w:t>t upon the calculation of Net income available to the Company’s common shareholders per share. Accordingly, the impact of such conversion has not been included in the determination of diluted earnings per share calculations.</w:t>
            </w:r>
          </w:p>
        </w:tc>
      </w:tr>
    </w:tbl>
    <w:p w14:paraId="598328E8" w14:textId="77777777" w:rsidR="00000000" w:rsidRDefault="00527094">
      <w:pPr>
        <w:pStyle w:val="a3"/>
        <w:spacing w:before="0" w:beforeAutospacing="0" w:after="0" w:afterAutospacing="0"/>
        <w:jc w:val="both"/>
        <w:rPr>
          <w:sz w:val="20"/>
          <w:szCs w:val="20"/>
        </w:rPr>
      </w:pPr>
      <w:r>
        <w:rPr>
          <w:sz w:val="20"/>
          <w:szCs w:val="20"/>
        </w:rPr>
        <w:t> </w:t>
      </w:r>
    </w:p>
    <w:p w14:paraId="17C53974" w14:textId="77777777" w:rsidR="00000000" w:rsidRDefault="00527094">
      <w:pPr>
        <w:pStyle w:val="a3"/>
        <w:spacing w:before="0" w:beforeAutospacing="0" w:after="0" w:afterAutospacing="0"/>
        <w:jc w:val="both"/>
        <w:rPr>
          <w:sz w:val="20"/>
          <w:szCs w:val="20"/>
        </w:rPr>
      </w:pPr>
      <w:r>
        <w:rPr>
          <w:sz w:val="20"/>
          <w:szCs w:val="20"/>
          <w:u w:val="single"/>
        </w:rPr>
        <w:t xml:space="preserve">Same Property Net Operating </w:t>
      </w:r>
      <w:r>
        <w:rPr>
          <w:sz w:val="20"/>
          <w:szCs w:val="20"/>
          <w:u w:val="single"/>
        </w:rPr>
        <w:t>Income(“Same property NOI”)</w:t>
      </w:r>
    </w:p>
    <w:p w14:paraId="0439E392" w14:textId="77777777" w:rsidR="00000000" w:rsidRDefault="00527094">
      <w:pPr>
        <w:pStyle w:val="a3"/>
        <w:spacing w:before="0" w:beforeAutospacing="0" w:after="0" w:afterAutospacing="0"/>
        <w:jc w:val="both"/>
        <w:rPr>
          <w:sz w:val="20"/>
          <w:szCs w:val="20"/>
        </w:rPr>
      </w:pPr>
      <w:r>
        <w:rPr>
          <w:sz w:val="20"/>
          <w:szCs w:val="20"/>
        </w:rPr>
        <w:t> </w:t>
      </w:r>
    </w:p>
    <w:p w14:paraId="3BDC1601" w14:textId="77777777" w:rsidR="00000000" w:rsidRDefault="00527094">
      <w:pPr>
        <w:pStyle w:val="a3"/>
        <w:spacing w:before="0" w:beforeAutospacing="0" w:after="0" w:afterAutospacing="0"/>
        <w:ind w:firstLine="360"/>
        <w:jc w:val="both"/>
        <w:rPr>
          <w:sz w:val="20"/>
          <w:szCs w:val="20"/>
        </w:rPr>
      </w:pPr>
      <w:r>
        <w:rPr>
          <w:sz w:val="20"/>
          <w:szCs w:val="20"/>
        </w:rPr>
        <w:t xml:space="preserve">Same property NOI is a supplemental non-GAAP financial measure of real estate companies’ operating performance and should not be considered an alternative to net income in accordance with GAAP or cash flows from operations as </w:t>
      </w:r>
      <w:r>
        <w:rPr>
          <w:sz w:val="20"/>
          <w:szCs w:val="20"/>
        </w:rPr>
        <w:t xml:space="preserve">a measure of liquidity. The Company considers Same property NOI as an important operating performance measure because it is frequently used by securities analysts and investors to measure only the net operating income of properties that have been owned by </w:t>
      </w:r>
      <w:r>
        <w:rPr>
          <w:sz w:val="20"/>
          <w:szCs w:val="20"/>
        </w:rPr>
        <w:t xml:space="preserve">the Company for the entire current and prior year reporting periods. It excludes properties under redevelopment, development and pending stabilization; properties are deemed stabilized at the earlier of (i) reaching 90% leased or (ii) one year following a </w:t>
      </w:r>
      <w:r>
        <w:rPr>
          <w:sz w:val="20"/>
          <w:szCs w:val="20"/>
        </w:rPr>
        <w:t>project’s inclusion in operating real estate. Same property NOI assists in eliminating disparities in net income due to the development, acquisition or disposition of properties during the particular period presented, and thus provides a more consistent pe</w:t>
      </w:r>
      <w:r>
        <w:rPr>
          <w:sz w:val="20"/>
          <w:szCs w:val="20"/>
        </w:rPr>
        <w:t>rformance measure for the comparison of the Company's properties.</w:t>
      </w:r>
    </w:p>
    <w:p w14:paraId="05450686" w14:textId="77777777" w:rsidR="00000000" w:rsidRDefault="00527094">
      <w:pPr>
        <w:pStyle w:val="a3"/>
        <w:spacing w:before="0" w:beforeAutospacing="0" w:after="0" w:afterAutospacing="0"/>
        <w:ind w:firstLine="360"/>
        <w:jc w:val="both"/>
        <w:rPr>
          <w:sz w:val="20"/>
          <w:szCs w:val="20"/>
        </w:rPr>
      </w:pPr>
      <w:r>
        <w:rPr>
          <w:sz w:val="20"/>
          <w:szCs w:val="20"/>
        </w:rPr>
        <w:t> </w:t>
      </w:r>
    </w:p>
    <w:p w14:paraId="4417F435" w14:textId="77777777" w:rsidR="00000000" w:rsidRDefault="00527094">
      <w:pPr>
        <w:pStyle w:val="a3"/>
        <w:spacing w:before="0" w:beforeAutospacing="0" w:after="0" w:afterAutospacing="0"/>
        <w:ind w:firstLine="360"/>
        <w:jc w:val="both"/>
        <w:rPr>
          <w:sz w:val="20"/>
          <w:szCs w:val="20"/>
        </w:rPr>
      </w:pPr>
      <w:r>
        <w:rPr>
          <w:sz w:val="20"/>
          <w:szCs w:val="20"/>
        </w:rPr>
        <w:t xml:space="preserve">Same property NOI is calculated using revenues from rental properties (excluding straight-line rent adjustments, lease termination fees, TIFs and amortization of above/below market rents) </w:t>
      </w:r>
      <w:r>
        <w:rPr>
          <w:sz w:val="20"/>
          <w:szCs w:val="20"/>
        </w:rPr>
        <w:t xml:space="preserve">less charges for bad debt, operating and maintenance expense, real estate taxes and rent expense plus the Company’s proportionate share of Same property NOI from unconsolidated real estate joint ventures, calculated on the same basis. The Company’s method </w:t>
      </w:r>
      <w:r>
        <w:rPr>
          <w:sz w:val="20"/>
          <w:szCs w:val="20"/>
        </w:rPr>
        <w:t>of calculating Same property NOI available to the Company’s common shareholders may differ from methods used by other REITs and, accordingly, may not be comparable to such other REITs.</w:t>
      </w:r>
    </w:p>
    <w:p w14:paraId="66007190" w14:textId="77777777" w:rsidR="00000000" w:rsidRDefault="00527094">
      <w:pPr>
        <w:pStyle w:val="a3"/>
        <w:spacing w:before="0" w:beforeAutospacing="0" w:after="0" w:afterAutospacing="0"/>
        <w:ind w:firstLine="720"/>
        <w:jc w:val="both"/>
        <w:rPr>
          <w:sz w:val="20"/>
          <w:szCs w:val="20"/>
        </w:rPr>
      </w:pPr>
      <w:r>
        <w:rPr>
          <w:sz w:val="20"/>
          <w:szCs w:val="20"/>
        </w:rPr>
        <w:t> </w:t>
      </w:r>
    </w:p>
    <w:p w14:paraId="3A119920" w14:textId="77777777" w:rsidR="00000000" w:rsidRDefault="00527094">
      <w:pPr>
        <w:jc w:val="center"/>
        <w:divId w:val="1330058724"/>
        <w:rPr>
          <w:rFonts w:eastAsia="Times New Roman"/>
          <w:sz w:val="20"/>
          <w:szCs w:val="20"/>
        </w:rPr>
      </w:pPr>
      <w:r>
        <w:rPr>
          <w:rFonts w:eastAsia="Times New Roman"/>
          <w:sz w:val="20"/>
          <w:szCs w:val="20"/>
        </w:rPr>
        <w:t xml:space="preserve">32 </w:t>
      </w:r>
    </w:p>
    <w:p w14:paraId="502C251C" w14:textId="77777777" w:rsidR="00000000" w:rsidRDefault="00527094">
      <w:pPr>
        <w:divId w:val="1330058724"/>
        <w:rPr>
          <w:rFonts w:eastAsia="Times New Roman"/>
          <w:sz w:val="20"/>
          <w:szCs w:val="20"/>
        </w:rPr>
      </w:pPr>
      <w:r>
        <w:rPr>
          <w:rFonts w:eastAsia="Times New Roman"/>
          <w:sz w:val="20"/>
          <w:szCs w:val="20"/>
        </w:rPr>
        <w:pict w14:anchorId="07E0173D">
          <v:rect id="_x0000_i1060" style="width:0;height:1.5pt" o:hralign="center" o:hrstd="t" o:hr="t" fillcolor="#a0a0a0" stroked="f"/>
        </w:pict>
      </w:r>
    </w:p>
    <w:p w14:paraId="48987DC3" w14:textId="77777777" w:rsidR="00000000" w:rsidRDefault="00527094">
      <w:pPr>
        <w:divId w:val="13300587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D1D6C79" w14:textId="77777777" w:rsidR="00000000" w:rsidRDefault="00527094">
      <w:pPr>
        <w:pStyle w:val="a3"/>
        <w:spacing w:before="0" w:beforeAutospacing="0" w:after="0" w:afterAutospacing="0"/>
        <w:rPr>
          <w:sz w:val="20"/>
          <w:szCs w:val="20"/>
        </w:rPr>
      </w:pPr>
      <w:r>
        <w:rPr>
          <w:sz w:val="20"/>
          <w:szCs w:val="20"/>
        </w:rPr>
        <w:t> </w:t>
      </w:r>
    </w:p>
    <w:p w14:paraId="0CD70E24" w14:textId="77777777" w:rsidR="00000000" w:rsidRDefault="00527094">
      <w:pPr>
        <w:pStyle w:val="a3"/>
        <w:spacing w:before="0" w:beforeAutospacing="0" w:after="0" w:afterAutospacing="0"/>
        <w:ind w:firstLine="360"/>
        <w:jc w:val="both"/>
        <w:rPr>
          <w:sz w:val="20"/>
          <w:szCs w:val="20"/>
        </w:rPr>
      </w:pPr>
      <w:r>
        <w:rPr>
          <w:sz w:val="20"/>
          <w:szCs w:val="20"/>
        </w:rPr>
        <w:t>The following is a reconciliation of Net income available to the Company’s common shareholders to Same property NOI (in thousands):</w:t>
      </w:r>
    </w:p>
    <w:p w14:paraId="314626B0"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05B99AF6" w14:textId="77777777">
        <w:trPr>
          <w:tblCellSpacing w:w="0" w:type="dxa"/>
        </w:trPr>
        <w:tc>
          <w:tcPr>
            <w:tcW w:w="0" w:type="auto"/>
            <w:vAlign w:val="bottom"/>
            <w:hideMark/>
          </w:tcPr>
          <w:p w14:paraId="6B46FCD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D5E81D9"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DA82F15" w14:textId="77777777" w:rsidR="00000000" w:rsidRDefault="00527094">
            <w:pPr>
              <w:pStyle w:val="a3"/>
              <w:spacing w:before="0" w:beforeAutospacing="0" w:after="0" w:afterAutospacing="0"/>
              <w:jc w:val="center"/>
              <w:rPr>
                <w:sz w:val="20"/>
                <w:szCs w:val="20"/>
              </w:rPr>
            </w:pPr>
            <w:r>
              <w:rPr>
                <w:b/>
                <w:bCs/>
                <w:sz w:val="20"/>
                <w:szCs w:val="20"/>
              </w:rPr>
              <w:t>Three Months Ended June 30,</w:t>
            </w:r>
          </w:p>
        </w:tc>
        <w:tc>
          <w:tcPr>
            <w:tcW w:w="0" w:type="auto"/>
            <w:tcBorders>
              <w:bottom w:val="single" w:sz="6" w:space="0" w:color="000000"/>
            </w:tcBorders>
            <w:tcMar>
              <w:top w:w="0" w:type="dxa"/>
              <w:left w:w="0" w:type="dxa"/>
              <w:bottom w:w="15" w:type="dxa"/>
              <w:right w:w="0" w:type="dxa"/>
            </w:tcMar>
            <w:vAlign w:val="bottom"/>
            <w:hideMark/>
          </w:tcPr>
          <w:p w14:paraId="48231CE2" w14:textId="77777777" w:rsidR="00000000" w:rsidRDefault="0052709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0617E54B" w14:textId="77777777" w:rsidR="00000000" w:rsidRDefault="0052709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DC423E5" w14:textId="77777777" w:rsidR="00000000" w:rsidRDefault="0052709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48A1E421" w14:textId="77777777" w:rsidR="00000000" w:rsidRDefault="00527094">
            <w:pPr>
              <w:rPr>
                <w:rFonts w:eastAsia="Times New Roman"/>
                <w:sz w:val="20"/>
                <w:szCs w:val="20"/>
              </w:rPr>
            </w:pPr>
            <w:r>
              <w:rPr>
                <w:rFonts w:eastAsia="Times New Roman"/>
                <w:sz w:val="20"/>
                <w:szCs w:val="20"/>
              </w:rPr>
              <w:t> </w:t>
            </w:r>
          </w:p>
        </w:tc>
      </w:tr>
      <w:tr w:rsidR="00000000" w14:paraId="7026E892" w14:textId="77777777">
        <w:trPr>
          <w:tblCellSpacing w:w="0" w:type="dxa"/>
        </w:trPr>
        <w:tc>
          <w:tcPr>
            <w:tcW w:w="0" w:type="auto"/>
            <w:vAlign w:val="bottom"/>
            <w:hideMark/>
          </w:tcPr>
          <w:p w14:paraId="3C7A821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2DDAB6F"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069D8F"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1D767C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FB59F5B"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5AF19E9"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981CDC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3C0CFE5"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6F4544B"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6527B63"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0554835F"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6409766" w14:textId="77777777" w:rsidR="00000000" w:rsidRDefault="00527094">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6FCED42" w14:textId="77777777" w:rsidR="00000000" w:rsidRDefault="00527094">
            <w:pPr>
              <w:rPr>
                <w:rFonts w:eastAsia="Times New Roman"/>
                <w:sz w:val="20"/>
                <w:szCs w:val="20"/>
              </w:rPr>
            </w:pPr>
            <w:r>
              <w:rPr>
                <w:rFonts w:eastAsia="Times New Roman"/>
                <w:sz w:val="20"/>
                <w:szCs w:val="20"/>
              </w:rPr>
              <w:t> </w:t>
            </w:r>
          </w:p>
        </w:tc>
      </w:tr>
      <w:tr w:rsidR="00000000" w14:paraId="01E57B0D" w14:textId="77777777">
        <w:trPr>
          <w:tblCellSpacing w:w="0" w:type="dxa"/>
        </w:trPr>
        <w:tc>
          <w:tcPr>
            <w:tcW w:w="2600" w:type="pct"/>
            <w:shd w:val="clear" w:color="auto" w:fill="CCEEFF"/>
            <w:vAlign w:val="bottom"/>
            <w:hideMark/>
          </w:tcPr>
          <w:p w14:paraId="1FB522F3" w14:textId="77777777" w:rsidR="00000000" w:rsidRDefault="00527094">
            <w:pPr>
              <w:pStyle w:val="a3"/>
              <w:spacing w:before="0" w:beforeAutospacing="0" w:after="0" w:afterAutospacing="0"/>
              <w:rPr>
                <w:sz w:val="20"/>
                <w:szCs w:val="20"/>
              </w:rPr>
            </w:pPr>
            <w:r>
              <w:rPr>
                <w:b/>
                <w:bCs/>
                <w:sz w:val="20"/>
                <w:szCs w:val="20"/>
              </w:rPr>
              <w:t>Net income available to the Company’s common shareholders</w:t>
            </w:r>
          </w:p>
        </w:tc>
        <w:tc>
          <w:tcPr>
            <w:tcW w:w="50" w:type="pct"/>
            <w:tcBorders>
              <w:bottom w:val="nil"/>
            </w:tcBorders>
            <w:shd w:val="clear" w:color="auto" w:fill="CCEEFF"/>
            <w:vAlign w:val="bottom"/>
            <w:hideMark/>
          </w:tcPr>
          <w:p w14:paraId="030A8C23"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6AED59C"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3C4592AC" w14:textId="77777777" w:rsidR="00000000" w:rsidRDefault="00527094">
            <w:pPr>
              <w:jc w:val="right"/>
              <w:rPr>
                <w:rFonts w:eastAsia="Times New Roman"/>
                <w:sz w:val="20"/>
                <w:szCs w:val="20"/>
              </w:rPr>
            </w:pPr>
            <w:r>
              <w:rPr>
                <w:rFonts w:eastAsia="Times New Roman"/>
                <w:b/>
                <w:bCs/>
                <w:sz w:val="20"/>
                <w:szCs w:val="20"/>
              </w:rPr>
              <w:t>86,493</w:t>
            </w:r>
          </w:p>
        </w:tc>
        <w:tc>
          <w:tcPr>
            <w:tcW w:w="50" w:type="pct"/>
            <w:tcBorders>
              <w:bottom w:val="nil"/>
            </w:tcBorders>
            <w:shd w:val="clear" w:color="auto" w:fill="CCEEFF"/>
            <w:vAlign w:val="bottom"/>
            <w:hideMark/>
          </w:tcPr>
          <w:p w14:paraId="5418A88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10606ED"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F44A1AA"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36FAE25B" w14:textId="77777777" w:rsidR="00000000" w:rsidRDefault="00527094">
            <w:pPr>
              <w:jc w:val="right"/>
              <w:rPr>
                <w:rFonts w:eastAsia="Times New Roman"/>
                <w:sz w:val="20"/>
                <w:szCs w:val="20"/>
              </w:rPr>
            </w:pPr>
            <w:r>
              <w:rPr>
                <w:rFonts w:eastAsia="Times New Roman"/>
                <w:b/>
                <w:bCs/>
                <w:sz w:val="20"/>
                <w:szCs w:val="20"/>
              </w:rPr>
              <w:t>150,852</w:t>
            </w:r>
          </w:p>
        </w:tc>
        <w:tc>
          <w:tcPr>
            <w:tcW w:w="50" w:type="pct"/>
            <w:tcBorders>
              <w:bottom w:val="nil"/>
            </w:tcBorders>
            <w:shd w:val="clear" w:color="auto" w:fill="CCEEFF"/>
            <w:vAlign w:val="bottom"/>
            <w:hideMark/>
          </w:tcPr>
          <w:p w14:paraId="51CA909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31A5217"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CC16A6"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478D8D0F" w14:textId="77777777" w:rsidR="00000000" w:rsidRDefault="00527094">
            <w:pPr>
              <w:jc w:val="right"/>
              <w:rPr>
                <w:rFonts w:eastAsia="Times New Roman"/>
                <w:sz w:val="20"/>
                <w:szCs w:val="20"/>
              </w:rPr>
            </w:pPr>
            <w:r>
              <w:rPr>
                <w:rFonts w:eastAsia="Times New Roman"/>
                <w:b/>
                <w:bCs/>
                <w:sz w:val="20"/>
                <w:szCs w:val="20"/>
              </w:rPr>
              <w:t>188,128</w:t>
            </w:r>
          </w:p>
        </w:tc>
        <w:tc>
          <w:tcPr>
            <w:tcW w:w="50" w:type="pct"/>
            <w:tcBorders>
              <w:bottom w:val="nil"/>
            </w:tcBorders>
            <w:shd w:val="clear" w:color="auto" w:fill="CCEEFF"/>
            <w:vAlign w:val="bottom"/>
            <w:hideMark/>
          </w:tcPr>
          <w:p w14:paraId="1C695F7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1809BCC"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DE597BC" w14:textId="77777777" w:rsidR="00000000" w:rsidRDefault="0052709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3BFACABC" w14:textId="77777777" w:rsidR="00000000" w:rsidRDefault="00527094">
            <w:pPr>
              <w:jc w:val="right"/>
              <w:rPr>
                <w:rFonts w:eastAsia="Times New Roman"/>
                <w:sz w:val="20"/>
                <w:szCs w:val="20"/>
              </w:rPr>
            </w:pPr>
            <w:r>
              <w:rPr>
                <w:rFonts w:eastAsia="Times New Roman"/>
                <w:b/>
                <w:bCs/>
                <w:sz w:val="20"/>
                <w:szCs w:val="20"/>
              </w:rPr>
              <w:t>280,353</w:t>
            </w:r>
          </w:p>
        </w:tc>
        <w:tc>
          <w:tcPr>
            <w:tcW w:w="50" w:type="pct"/>
            <w:tcBorders>
              <w:bottom w:val="nil"/>
            </w:tcBorders>
            <w:shd w:val="clear" w:color="auto" w:fill="CCEEFF"/>
            <w:vAlign w:val="bottom"/>
            <w:hideMark/>
          </w:tcPr>
          <w:p w14:paraId="1F40540F" w14:textId="77777777" w:rsidR="00000000" w:rsidRDefault="00527094">
            <w:pPr>
              <w:rPr>
                <w:rFonts w:eastAsia="Times New Roman"/>
                <w:sz w:val="20"/>
                <w:szCs w:val="20"/>
              </w:rPr>
            </w:pPr>
            <w:r>
              <w:rPr>
                <w:rFonts w:eastAsia="Times New Roman"/>
                <w:sz w:val="20"/>
                <w:szCs w:val="20"/>
              </w:rPr>
              <w:t> </w:t>
            </w:r>
          </w:p>
        </w:tc>
      </w:tr>
      <w:tr w:rsidR="00000000" w14:paraId="40980A61" w14:textId="77777777">
        <w:trPr>
          <w:tblCellSpacing w:w="0" w:type="dxa"/>
        </w:trPr>
        <w:tc>
          <w:tcPr>
            <w:tcW w:w="0" w:type="auto"/>
            <w:shd w:val="clear" w:color="auto" w:fill="FFFFFF"/>
            <w:vAlign w:val="bottom"/>
            <w:hideMark/>
          </w:tcPr>
          <w:p w14:paraId="5BAE4CA8" w14:textId="77777777" w:rsidR="00000000" w:rsidRDefault="00527094">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14:paraId="48BFA5F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4E086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A47EC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A076C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F98C1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7FC8B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4BC9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040D6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83F24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F1716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98EC7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5505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8577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0A17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E0F6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24B85" w14:textId="77777777" w:rsidR="00000000" w:rsidRDefault="00527094">
            <w:pPr>
              <w:rPr>
                <w:rFonts w:eastAsia="Times New Roman"/>
                <w:sz w:val="20"/>
                <w:szCs w:val="20"/>
              </w:rPr>
            </w:pPr>
            <w:r>
              <w:rPr>
                <w:rFonts w:eastAsia="Times New Roman"/>
                <w:sz w:val="20"/>
                <w:szCs w:val="20"/>
              </w:rPr>
              <w:t> </w:t>
            </w:r>
          </w:p>
        </w:tc>
      </w:tr>
      <w:tr w:rsidR="00000000" w14:paraId="0CAEC0C6" w14:textId="77777777">
        <w:trPr>
          <w:tblCellSpacing w:w="0" w:type="dxa"/>
        </w:trPr>
        <w:tc>
          <w:tcPr>
            <w:tcW w:w="0" w:type="auto"/>
            <w:shd w:val="clear" w:color="auto" w:fill="CCEEFF"/>
            <w:vAlign w:val="bottom"/>
            <w:hideMark/>
          </w:tcPr>
          <w:p w14:paraId="23D2F5A5" w14:textId="77777777" w:rsidR="00000000" w:rsidRDefault="00527094">
            <w:pPr>
              <w:pStyle w:val="a3"/>
              <w:spacing w:before="0" w:beforeAutospacing="0" w:after="0" w:afterAutospacing="0"/>
              <w:ind w:left="360" w:hanging="180"/>
              <w:rPr>
                <w:sz w:val="20"/>
                <w:szCs w:val="20"/>
              </w:rPr>
            </w:pPr>
            <w:r>
              <w:rPr>
                <w:sz w:val="20"/>
                <w:szCs w:val="20"/>
              </w:rPr>
              <w:t>Management and other fee income</w:t>
            </w:r>
          </w:p>
        </w:tc>
        <w:tc>
          <w:tcPr>
            <w:tcW w:w="50" w:type="pct"/>
            <w:shd w:val="clear" w:color="auto" w:fill="CCEEFF"/>
            <w:vAlign w:val="bottom"/>
            <w:hideMark/>
          </w:tcPr>
          <w:p w14:paraId="6F267C9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86181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D576B4B" w14:textId="77777777" w:rsidR="00000000" w:rsidRDefault="00527094">
            <w:pPr>
              <w:jc w:val="right"/>
              <w:rPr>
                <w:rFonts w:eastAsia="Times New Roman"/>
                <w:sz w:val="20"/>
                <w:szCs w:val="20"/>
              </w:rPr>
            </w:pPr>
            <w:r>
              <w:rPr>
                <w:rFonts w:eastAsia="Times New Roman"/>
                <w:sz w:val="20"/>
                <w:szCs w:val="20"/>
              </w:rPr>
              <w:t>(4,163</w:t>
            </w:r>
          </w:p>
        </w:tc>
        <w:tc>
          <w:tcPr>
            <w:tcW w:w="50" w:type="pct"/>
            <w:shd w:val="clear" w:color="auto" w:fill="CCEEFF"/>
            <w:vAlign w:val="bottom"/>
            <w:hideMark/>
          </w:tcPr>
          <w:p w14:paraId="7DBC11E1"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306EBA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8C77A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6D75520" w14:textId="77777777" w:rsidR="00000000" w:rsidRDefault="00527094">
            <w:pPr>
              <w:jc w:val="right"/>
              <w:rPr>
                <w:rFonts w:eastAsia="Times New Roman"/>
                <w:sz w:val="20"/>
                <w:szCs w:val="20"/>
              </w:rPr>
            </w:pPr>
            <w:r>
              <w:rPr>
                <w:rFonts w:eastAsia="Times New Roman"/>
                <w:sz w:val="20"/>
                <w:szCs w:val="20"/>
              </w:rPr>
              <w:t>(4,020</w:t>
            </w:r>
          </w:p>
        </w:tc>
        <w:tc>
          <w:tcPr>
            <w:tcW w:w="50" w:type="pct"/>
            <w:shd w:val="clear" w:color="auto" w:fill="CCEEFF"/>
            <w:vAlign w:val="bottom"/>
            <w:hideMark/>
          </w:tcPr>
          <w:p w14:paraId="4DE99872"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158A35D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41411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C6A0496" w14:textId="77777777" w:rsidR="00000000" w:rsidRDefault="00527094">
            <w:pPr>
              <w:jc w:val="right"/>
              <w:rPr>
                <w:rFonts w:eastAsia="Times New Roman"/>
                <w:sz w:val="20"/>
                <w:szCs w:val="20"/>
              </w:rPr>
            </w:pPr>
            <w:r>
              <w:rPr>
                <w:rFonts w:eastAsia="Times New Roman"/>
                <w:sz w:val="20"/>
                <w:szCs w:val="20"/>
              </w:rPr>
              <w:t>(8,539</w:t>
            </w:r>
          </w:p>
        </w:tc>
        <w:tc>
          <w:tcPr>
            <w:tcW w:w="50" w:type="pct"/>
            <w:shd w:val="clear" w:color="auto" w:fill="CCEEFF"/>
            <w:vAlign w:val="bottom"/>
            <w:hideMark/>
          </w:tcPr>
          <w:p w14:paraId="1A3EDF69"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90D8E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28FEF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7C90BC9" w14:textId="77777777" w:rsidR="00000000" w:rsidRDefault="00527094">
            <w:pPr>
              <w:jc w:val="right"/>
              <w:rPr>
                <w:rFonts w:eastAsia="Times New Roman"/>
                <w:sz w:val="20"/>
                <w:szCs w:val="20"/>
              </w:rPr>
            </w:pPr>
            <w:r>
              <w:rPr>
                <w:rFonts w:eastAsia="Times New Roman"/>
                <w:sz w:val="20"/>
                <w:szCs w:val="20"/>
              </w:rPr>
              <w:t>(8,381</w:t>
            </w:r>
          </w:p>
        </w:tc>
        <w:tc>
          <w:tcPr>
            <w:tcW w:w="50" w:type="pct"/>
            <w:shd w:val="clear" w:color="auto" w:fill="CCEEFF"/>
            <w:vAlign w:val="bottom"/>
            <w:hideMark/>
          </w:tcPr>
          <w:p w14:paraId="76D60C9C" w14:textId="77777777" w:rsidR="00000000" w:rsidRDefault="00527094">
            <w:pPr>
              <w:rPr>
                <w:rFonts w:eastAsia="Times New Roman"/>
                <w:sz w:val="20"/>
                <w:szCs w:val="20"/>
              </w:rPr>
            </w:pPr>
            <w:r>
              <w:rPr>
                <w:rFonts w:eastAsia="Times New Roman"/>
                <w:sz w:val="20"/>
                <w:szCs w:val="20"/>
              </w:rPr>
              <w:t>)</w:t>
            </w:r>
          </w:p>
        </w:tc>
      </w:tr>
      <w:tr w:rsidR="00000000" w14:paraId="62CC2311" w14:textId="77777777">
        <w:trPr>
          <w:tblCellSpacing w:w="0" w:type="dxa"/>
        </w:trPr>
        <w:tc>
          <w:tcPr>
            <w:tcW w:w="0" w:type="auto"/>
            <w:shd w:val="clear" w:color="auto" w:fill="FFFFFF"/>
            <w:vAlign w:val="bottom"/>
            <w:hideMark/>
          </w:tcPr>
          <w:p w14:paraId="27262866" w14:textId="77777777" w:rsidR="00000000" w:rsidRDefault="00527094">
            <w:pPr>
              <w:pStyle w:val="a3"/>
              <w:spacing w:before="0" w:beforeAutospacing="0" w:after="0" w:afterAutospacing="0"/>
              <w:ind w:left="180"/>
              <w:rPr>
                <w:sz w:val="20"/>
                <w:szCs w:val="20"/>
              </w:rPr>
            </w:pPr>
            <w:r>
              <w:rPr>
                <w:sz w:val="20"/>
                <w:szCs w:val="20"/>
              </w:rPr>
              <w:t>General and administrative</w:t>
            </w:r>
          </w:p>
        </w:tc>
        <w:tc>
          <w:tcPr>
            <w:tcW w:w="50" w:type="pct"/>
            <w:shd w:val="clear" w:color="auto" w:fill="FFFFFF"/>
            <w:vAlign w:val="bottom"/>
            <w:hideMark/>
          </w:tcPr>
          <w:p w14:paraId="7DE89AE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8CA06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0F2B10A" w14:textId="77777777" w:rsidR="00000000" w:rsidRDefault="00527094">
            <w:pPr>
              <w:jc w:val="right"/>
              <w:rPr>
                <w:rFonts w:eastAsia="Times New Roman"/>
                <w:sz w:val="20"/>
                <w:szCs w:val="20"/>
              </w:rPr>
            </w:pPr>
            <w:r>
              <w:rPr>
                <w:rFonts w:eastAsia="Times New Roman"/>
                <w:sz w:val="20"/>
                <w:szCs w:val="20"/>
              </w:rPr>
              <w:t>22,633</w:t>
            </w:r>
          </w:p>
        </w:tc>
        <w:tc>
          <w:tcPr>
            <w:tcW w:w="50" w:type="pct"/>
            <w:shd w:val="clear" w:color="auto" w:fill="FFFFFF"/>
            <w:vAlign w:val="bottom"/>
            <w:hideMark/>
          </w:tcPr>
          <w:p w14:paraId="697E9EC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9D2EF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1EFC23"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5BBBF14" w14:textId="77777777" w:rsidR="00000000" w:rsidRDefault="00527094">
            <w:pPr>
              <w:jc w:val="right"/>
              <w:rPr>
                <w:rFonts w:eastAsia="Times New Roman"/>
                <w:sz w:val="20"/>
                <w:szCs w:val="20"/>
              </w:rPr>
            </w:pPr>
            <w:r>
              <w:rPr>
                <w:rFonts w:eastAsia="Times New Roman"/>
                <w:sz w:val="20"/>
                <w:szCs w:val="20"/>
              </w:rPr>
              <w:t>24,029</w:t>
            </w:r>
          </w:p>
        </w:tc>
        <w:tc>
          <w:tcPr>
            <w:tcW w:w="50" w:type="pct"/>
            <w:shd w:val="clear" w:color="auto" w:fill="FFFFFF"/>
            <w:vAlign w:val="bottom"/>
            <w:hideMark/>
          </w:tcPr>
          <w:p w14:paraId="6E9E3F7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F603A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F74A3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0E77920" w14:textId="77777777" w:rsidR="00000000" w:rsidRDefault="00527094">
            <w:pPr>
              <w:jc w:val="right"/>
              <w:rPr>
                <w:rFonts w:eastAsia="Times New Roman"/>
                <w:sz w:val="20"/>
                <w:szCs w:val="20"/>
              </w:rPr>
            </w:pPr>
            <w:r>
              <w:rPr>
                <w:rFonts w:eastAsia="Times New Roman"/>
                <w:sz w:val="20"/>
                <w:szCs w:val="20"/>
              </w:rPr>
              <w:t>48,464</w:t>
            </w:r>
          </w:p>
        </w:tc>
        <w:tc>
          <w:tcPr>
            <w:tcW w:w="50" w:type="pct"/>
            <w:shd w:val="clear" w:color="auto" w:fill="FFFFFF"/>
            <w:vAlign w:val="bottom"/>
            <w:hideMark/>
          </w:tcPr>
          <w:p w14:paraId="4B1E833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9D80F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6A80A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DD6E548" w14:textId="77777777" w:rsidR="00000000" w:rsidRDefault="00527094">
            <w:pPr>
              <w:jc w:val="right"/>
              <w:rPr>
                <w:rFonts w:eastAsia="Times New Roman"/>
                <w:sz w:val="20"/>
                <w:szCs w:val="20"/>
              </w:rPr>
            </w:pPr>
            <w:r>
              <w:rPr>
                <w:rFonts w:eastAsia="Times New Roman"/>
                <w:sz w:val="20"/>
                <w:szCs w:val="20"/>
              </w:rPr>
              <w:t>46,427</w:t>
            </w:r>
          </w:p>
        </w:tc>
        <w:tc>
          <w:tcPr>
            <w:tcW w:w="50" w:type="pct"/>
            <w:shd w:val="clear" w:color="auto" w:fill="FFFFFF"/>
            <w:vAlign w:val="bottom"/>
            <w:hideMark/>
          </w:tcPr>
          <w:p w14:paraId="5826C7CF" w14:textId="77777777" w:rsidR="00000000" w:rsidRDefault="00527094">
            <w:pPr>
              <w:rPr>
                <w:rFonts w:eastAsia="Times New Roman"/>
                <w:sz w:val="20"/>
                <w:szCs w:val="20"/>
              </w:rPr>
            </w:pPr>
            <w:r>
              <w:rPr>
                <w:rFonts w:eastAsia="Times New Roman"/>
                <w:sz w:val="20"/>
                <w:szCs w:val="20"/>
              </w:rPr>
              <w:t> </w:t>
            </w:r>
          </w:p>
        </w:tc>
      </w:tr>
      <w:tr w:rsidR="00000000" w14:paraId="5DD7EFED" w14:textId="77777777">
        <w:trPr>
          <w:tblCellSpacing w:w="0" w:type="dxa"/>
        </w:trPr>
        <w:tc>
          <w:tcPr>
            <w:tcW w:w="0" w:type="auto"/>
            <w:shd w:val="clear" w:color="auto" w:fill="CCEEFF"/>
            <w:vAlign w:val="bottom"/>
            <w:hideMark/>
          </w:tcPr>
          <w:p w14:paraId="4C6A3F55" w14:textId="77777777" w:rsidR="00000000" w:rsidRDefault="00527094">
            <w:pPr>
              <w:pStyle w:val="a3"/>
              <w:spacing w:before="0" w:beforeAutospacing="0" w:after="0" w:afterAutospacing="0"/>
              <w:ind w:left="180"/>
              <w:rPr>
                <w:sz w:val="20"/>
                <w:szCs w:val="20"/>
              </w:rPr>
            </w:pPr>
            <w:r>
              <w:rPr>
                <w:sz w:val="20"/>
                <w:szCs w:val="20"/>
              </w:rPr>
              <w:t>Impairment charges</w:t>
            </w:r>
          </w:p>
        </w:tc>
        <w:tc>
          <w:tcPr>
            <w:tcW w:w="50" w:type="pct"/>
            <w:shd w:val="clear" w:color="auto" w:fill="CCEEFF"/>
            <w:vAlign w:val="bottom"/>
            <w:hideMark/>
          </w:tcPr>
          <w:p w14:paraId="230C78E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86BAF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BBE698C" w14:textId="77777777" w:rsidR="00000000" w:rsidRDefault="00527094">
            <w:pPr>
              <w:jc w:val="right"/>
              <w:rPr>
                <w:rFonts w:eastAsia="Times New Roman"/>
                <w:sz w:val="20"/>
                <w:szCs w:val="20"/>
              </w:rPr>
            </w:pPr>
            <w:r>
              <w:rPr>
                <w:rFonts w:eastAsia="Times New Roman"/>
                <w:sz w:val="20"/>
                <w:szCs w:val="20"/>
              </w:rPr>
              <w:t>17,451</w:t>
            </w:r>
          </w:p>
        </w:tc>
        <w:tc>
          <w:tcPr>
            <w:tcW w:w="50" w:type="pct"/>
            <w:shd w:val="clear" w:color="auto" w:fill="CCEEFF"/>
            <w:vAlign w:val="bottom"/>
            <w:hideMark/>
          </w:tcPr>
          <w:p w14:paraId="12E3E9F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9374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F6E46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DA42984" w14:textId="77777777" w:rsidR="00000000" w:rsidRDefault="00527094">
            <w:pPr>
              <w:jc w:val="right"/>
              <w:rPr>
                <w:rFonts w:eastAsia="Times New Roman"/>
                <w:sz w:val="20"/>
                <w:szCs w:val="20"/>
              </w:rPr>
            </w:pPr>
            <w:r>
              <w:rPr>
                <w:rFonts w:eastAsia="Times New Roman"/>
                <w:sz w:val="20"/>
                <w:szCs w:val="20"/>
              </w:rPr>
              <w:t>22,873</w:t>
            </w:r>
          </w:p>
        </w:tc>
        <w:tc>
          <w:tcPr>
            <w:tcW w:w="50" w:type="pct"/>
            <w:shd w:val="clear" w:color="auto" w:fill="CCEEFF"/>
            <w:vAlign w:val="bottom"/>
            <w:hideMark/>
          </w:tcPr>
          <w:p w14:paraId="2DD9835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90B15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F13A4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2560C3D" w14:textId="77777777" w:rsidR="00000000" w:rsidRDefault="00527094">
            <w:pPr>
              <w:jc w:val="right"/>
              <w:rPr>
                <w:rFonts w:eastAsia="Times New Roman"/>
                <w:sz w:val="20"/>
                <w:szCs w:val="20"/>
              </w:rPr>
            </w:pPr>
            <w:r>
              <w:rPr>
                <w:rFonts w:eastAsia="Times New Roman"/>
                <w:sz w:val="20"/>
                <w:szCs w:val="20"/>
              </w:rPr>
              <w:t>21,626</w:t>
            </w:r>
          </w:p>
        </w:tc>
        <w:tc>
          <w:tcPr>
            <w:tcW w:w="50" w:type="pct"/>
            <w:shd w:val="clear" w:color="auto" w:fill="CCEEFF"/>
            <w:vAlign w:val="bottom"/>
            <w:hideMark/>
          </w:tcPr>
          <w:p w14:paraId="2A20547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54CD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529AF8"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90FCE99" w14:textId="77777777" w:rsidR="00000000" w:rsidRDefault="00527094">
            <w:pPr>
              <w:jc w:val="right"/>
              <w:rPr>
                <w:rFonts w:eastAsia="Times New Roman"/>
                <w:sz w:val="20"/>
                <w:szCs w:val="20"/>
              </w:rPr>
            </w:pPr>
            <w:r>
              <w:rPr>
                <w:rFonts w:eastAsia="Times New Roman"/>
                <w:sz w:val="20"/>
                <w:szCs w:val="20"/>
              </w:rPr>
              <w:t>30,519</w:t>
            </w:r>
          </w:p>
        </w:tc>
        <w:tc>
          <w:tcPr>
            <w:tcW w:w="50" w:type="pct"/>
            <w:shd w:val="clear" w:color="auto" w:fill="CCEEFF"/>
            <w:vAlign w:val="bottom"/>
            <w:hideMark/>
          </w:tcPr>
          <w:p w14:paraId="5E758764" w14:textId="77777777" w:rsidR="00000000" w:rsidRDefault="00527094">
            <w:pPr>
              <w:rPr>
                <w:rFonts w:eastAsia="Times New Roman"/>
                <w:sz w:val="20"/>
                <w:szCs w:val="20"/>
              </w:rPr>
            </w:pPr>
            <w:r>
              <w:rPr>
                <w:rFonts w:eastAsia="Times New Roman"/>
                <w:sz w:val="20"/>
                <w:szCs w:val="20"/>
              </w:rPr>
              <w:t> </w:t>
            </w:r>
          </w:p>
        </w:tc>
      </w:tr>
      <w:tr w:rsidR="00000000" w14:paraId="48FE5358" w14:textId="77777777">
        <w:trPr>
          <w:tblCellSpacing w:w="0" w:type="dxa"/>
        </w:trPr>
        <w:tc>
          <w:tcPr>
            <w:tcW w:w="0" w:type="auto"/>
            <w:shd w:val="clear" w:color="auto" w:fill="FFFFFF"/>
            <w:vAlign w:val="bottom"/>
            <w:hideMark/>
          </w:tcPr>
          <w:p w14:paraId="401C46D1" w14:textId="77777777" w:rsidR="00000000" w:rsidRDefault="00527094">
            <w:pPr>
              <w:pStyle w:val="a3"/>
              <w:spacing w:before="0" w:beforeAutospacing="0" w:after="0" w:afterAutospacing="0"/>
              <w:ind w:left="180"/>
              <w:rPr>
                <w:sz w:val="20"/>
                <w:szCs w:val="20"/>
              </w:rPr>
            </w:pPr>
            <w:r>
              <w:rPr>
                <w:sz w:val="20"/>
                <w:szCs w:val="20"/>
              </w:rPr>
              <w:t>Depreciation and amortization</w:t>
            </w:r>
          </w:p>
        </w:tc>
        <w:tc>
          <w:tcPr>
            <w:tcW w:w="50" w:type="pct"/>
            <w:shd w:val="clear" w:color="auto" w:fill="FFFFFF"/>
            <w:vAlign w:val="bottom"/>
            <w:hideMark/>
          </w:tcPr>
          <w:p w14:paraId="17D593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78F162"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5D12B7E" w14:textId="77777777" w:rsidR="00000000" w:rsidRDefault="00527094">
            <w:pPr>
              <w:jc w:val="right"/>
              <w:rPr>
                <w:rFonts w:eastAsia="Times New Roman"/>
                <w:sz w:val="20"/>
                <w:szCs w:val="20"/>
              </w:rPr>
            </w:pPr>
            <w:r>
              <w:rPr>
                <w:rFonts w:eastAsia="Times New Roman"/>
                <w:sz w:val="20"/>
                <w:szCs w:val="20"/>
              </w:rPr>
              <w:t>69,005</w:t>
            </w:r>
          </w:p>
        </w:tc>
        <w:tc>
          <w:tcPr>
            <w:tcW w:w="50" w:type="pct"/>
            <w:shd w:val="clear" w:color="auto" w:fill="FFFFFF"/>
            <w:vAlign w:val="bottom"/>
            <w:hideMark/>
          </w:tcPr>
          <w:p w14:paraId="747E7A6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29D3F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B4DCB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384C867" w14:textId="77777777" w:rsidR="00000000" w:rsidRDefault="00527094">
            <w:pPr>
              <w:jc w:val="right"/>
              <w:rPr>
                <w:rFonts w:eastAsia="Times New Roman"/>
                <w:sz w:val="20"/>
                <w:szCs w:val="20"/>
              </w:rPr>
            </w:pPr>
            <w:r>
              <w:rPr>
                <w:rFonts w:eastAsia="Times New Roman"/>
                <w:sz w:val="20"/>
                <w:szCs w:val="20"/>
              </w:rPr>
              <w:t>79,760</w:t>
            </w:r>
          </w:p>
        </w:tc>
        <w:tc>
          <w:tcPr>
            <w:tcW w:w="50" w:type="pct"/>
            <w:shd w:val="clear" w:color="auto" w:fill="FFFFFF"/>
            <w:vAlign w:val="bottom"/>
            <w:hideMark/>
          </w:tcPr>
          <w:p w14:paraId="5808E2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E31C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BFCD5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F3579BD" w14:textId="77777777" w:rsidR="00000000" w:rsidRDefault="00527094">
            <w:pPr>
              <w:jc w:val="right"/>
              <w:rPr>
                <w:rFonts w:eastAsia="Times New Roman"/>
                <w:sz w:val="20"/>
                <w:szCs w:val="20"/>
              </w:rPr>
            </w:pPr>
            <w:r>
              <w:rPr>
                <w:rFonts w:eastAsia="Times New Roman"/>
                <w:sz w:val="20"/>
                <w:szCs w:val="20"/>
              </w:rPr>
              <w:t>140,566</w:t>
            </w:r>
          </w:p>
        </w:tc>
        <w:tc>
          <w:tcPr>
            <w:tcW w:w="50" w:type="pct"/>
            <w:shd w:val="clear" w:color="auto" w:fill="FFFFFF"/>
            <w:vAlign w:val="bottom"/>
            <w:hideMark/>
          </w:tcPr>
          <w:p w14:paraId="718C408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9407B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F8790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848E0CE" w14:textId="77777777" w:rsidR="00000000" w:rsidRDefault="00527094">
            <w:pPr>
              <w:jc w:val="right"/>
              <w:rPr>
                <w:rFonts w:eastAsia="Times New Roman"/>
                <w:sz w:val="20"/>
                <w:szCs w:val="20"/>
              </w:rPr>
            </w:pPr>
            <w:r>
              <w:rPr>
                <w:rFonts w:eastAsia="Times New Roman"/>
                <w:sz w:val="20"/>
                <w:szCs w:val="20"/>
              </w:rPr>
              <w:t>161,142</w:t>
            </w:r>
          </w:p>
        </w:tc>
        <w:tc>
          <w:tcPr>
            <w:tcW w:w="50" w:type="pct"/>
            <w:shd w:val="clear" w:color="auto" w:fill="FFFFFF"/>
            <w:vAlign w:val="bottom"/>
            <w:hideMark/>
          </w:tcPr>
          <w:p w14:paraId="4EE52D0E" w14:textId="77777777" w:rsidR="00000000" w:rsidRDefault="00527094">
            <w:pPr>
              <w:rPr>
                <w:rFonts w:eastAsia="Times New Roman"/>
                <w:sz w:val="20"/>
                <w:szCs w:val="20"/>
              </w:rPr>
            </w:pPr>
            <w:r>
              <w:rPr>
                <w:rFonts w:eastAsia="Times New Roman"/>
                <w:sz w:val="20"/>
                <w:szCs w:val="20"/>
              </w:rPr>
              <w:t> </w:t>
            </w:r>
          </w:p>
        </w:tc>
      </w:tr>
      <w:tr w:rsidR="00000000" w14:paraId="2BC49AD6" w14:textId="77777777">
        <w:trPr>
          <w:tblCellSpacing w:w="0" w:type="dxa"/>
        </w:trPr>
        <w:tc>
          <w:tcPr>
            <w:tcW w:w="0" w:type="auto"/>
            <w:shd w:val="clear" w:color="auto" w:fill="CCEEFF"/>
            <w:vAlign w:val="bottom"/>
            <w:hideMark/>
          </w:tcPr>
          <w:p w14:paraId="5FD027F7" w14:textId="77777777" w:rsidR="00000000" w:rsidRDefault="00527094">
            <w:pPr>
              <w:pStyle w:val="a3"/>
              <w:spacing w:before="0" w:beforeAutospacing="0" w:after="0" w:afterAutospacing="0"/>
              <w:ind w:left="180"/>
              <w:rPr>
                <w:sz w:val="20"/>
                <w:szCs w:val="20"/>
              </w:rPr>
            </w:pPr>
            <w:r>
              <w:rPr>
                <w:sz w:val="20"/>
                <w:szCs w:val="20"/>
              </w:rPr>
              <w:t>Gain on sale of properties/change in control of interests</w:t>
            </w:r>
          </w:p>
        </w:tc>
        <w:tc>
          <w:tcPr>
            <w:tcW w:w="50" w:type="pct"/>
            <w:shd w:val="clear" w:color="auto" w:fill="CCEEFF"/>
            <w:vAlign w:val="bottom"/>
            <w:hideMark/>
          </w:tcPr>
          <w:p w14:paraId="4F9A162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4FE34D"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4CFEFB7" w14:textId="77777777" w:rsidR="00000000" w:rsidRDefault="00527094">
            <w:pPr>
              <w:jc w:val="right"/>
              <w:rPr>
                <w:rFonts w:eastAsia="Times New Roman"/>
                <w:sz w:val="20"/>
                <w:szCs w:val="20"/>
              </w:rPr>
            </w:pPr>
            <w:r>
              <w:rPr>
                <w:rFonts w:eastAsia="Times New Roman"/>
                <w:sz w:val="20"/>
                <w:szCs w:val="20"/>
              </w:rPr>
              <w:t>(14,762</w:t>
            </w:r>
          </w:p>
        </w:tc>
        <w:tc>
          <w:tcPr>
            <w:tcW w:w="50" w:type="pct"/>
            <w:shd w:val="clear" w:color="auto" w:fill="CCEEFF"/>
            <w:vAlign w:val="bottom"/>
            <w:hideMark/>
          </w:tcPr>
          <w:p w14:paraId="782C2B26"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18051A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CA6A3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A5A5A75" w14:textId="77777777" w:rsidR="00000000" w:rsidRDefault="00527094">
            <w:pPr>
              <w:jc w:val="right"/>
              <w:rPr>
                <w:rFonts w:eastAsia="Times New Roman"/>
                <w:sz w:val="20"/>
                <w:szCs w:val="20"/>
              </w:rPr>
            </w:pPr>
            <w:r>
              <w:rPr>
                <w:rFonts w:eastAsia="Times New Roman"/>
                <w:sz w:val="20"/>
                <w:szCs w:val="20"/>
              </w:rPr>
              <w:t>(95,240</w:t>
            </w:r>
          </w:p>
        </w:tc>
        <w:tc>
          <w:tcPr>
            <w:tcW w:w="50" w:type="pct"/>
            <w:shd w:val="clear" w:color="auto" w:fill="CCEEFF"/>
            <w:vAlign w:val="bottom"/>
            <w:hideMark/>
          </w:tcPr>
          <w:p w14:paraId="274D3277"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795D1A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98C60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4F152D4" w14:textId="77777777" w:rsidR="00000000" w:rsidRDefault="00527094">
            <w:pPr>
              <w:jc w:val="right"/>
              <w:rPr>
                <w:rFonts w:eastAsia="Times New Roman"/>
                <w:sz w:val="20"/>
                <w:szCs w:val="20"/>
              </w:rPr>
            </w:pPr>
            <w:r>
              <w:rPr>
                <w:rFonts w:eastAsia="Times New Roman"/>
                <w:sz w:val="20"/>
                <w:szCs w:val="20"/>
              </w:rPr>
              <w:t>(38,357</w:t>
            </w:r>
          </w:p>
        </w:tc>
        <w:tc>
          <w:tcPr>
            <w:tcW w:w="50" w:type="pct"/>
            <w:shd w:val="clear" w:color="auto" w:fill="CCEEFF"/>
            <w:vAlign w:val="bottom"/>
            <w:hideMark/>
          </w:tcPr>
          <w:p w14:paraId="190384E1"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70D7AD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2F42E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F278BB5" w14:textId="77777777" w:rsidR="00000000" w:rsidRDefault="00527094">
            <w:pPr>
              <w:jc w:val="right"/>
              <w:rPr>
                <w:rFonts w:eastAsia="Times New Roman"/>
                <w:sz w:val="20"/>
                <w:szCs w:val="20"/>
              </w:rPr>
            </w:pPr>
            <w:r>
              <w:rPr>
                <w:rFonts w:eastAsia="Times New Roman"/>
                <w:sz w:val="20"/>
                <w:szCs w:val="20"/>
              </w:rPr>
              <w:t>(152,211</w:t>
            </w:r>
          </w:p>
        </w:tc>
        <w:tc>
          <w:tcPr>
            <w:tcW w:w="50" w:type="pct"/>
            <w:shd w:val="clear" w:color="auto" w:fill="CCEEFF"/>
            <w:vAlign w:val="bottom"/>
            <w:hideMark/>
          </w:tcPr>
          <w:p w14:paraId="2B27AA7F" w14:textId="77777777" w:rsidR="00000000" w:rsidRDefault="00527094">
            <w:pPr>
              <w:rPr>
                <w:rFonts w:eastAsia="Times New Roman"/>
                <w:sz w:val="20"/>
                <w:szCs w:val="20"/>
              </w:rPr>
            </w:pPr>
            <w:r>
              <w:rPr>
                <w:rFonts w:eastAsia="Times New Roman"/>
                <w:sz w:val="20"/>
                <w:szCs w:val="20"/>
              </w:rPr>
              <w:t>)</w:t>
            </w:r>
          </w:p>
        </w:tc>
      </w:tr>
      <w:tr w:rsidR="00000000" w14:paraId="6F96AC66" w14:textId="77777777">
        <w:trPr>
          <w:tblCellSpacing w:w="0" w:type="dxa"/>
        </w:trPr>
        <w:tc>
          <w:tcPr>
            <w:tcW w:w="0" w:type="auto"/>
            <w:shd w:val="clear" w:color="auto" w:fill="FFFFFF"/>
            <w:vAlign w:val="bottom"/>
            <w:hideMark/>
          </w:tcPr>
          <w:p w14:paraId="3074CF45" w14:textId="77777777" w:rsidR="00000000" w:rsidRDefault="00527094">
            <w:pPr>
              <w:pStyle w:val="a3"/>
              <w:spacing w:before="0" w:beforeAutospacing="0" w:after="0" w:afterAutospacing="0"/>
              <w:ind w:left="180"/>
              <w:rPr>
                <w:sz w:val="20"/>
                <w:szCs w:val="20"/>
              </w:rPr>
            </w:pPr>
            <w:r>
              <w:rPr>
                <w:sz w:val="20"/>
                <w:szCs w:val="20"/>
              </w:rPr>
              <w:t>Interest and other expense, net</w:t>
            </w:r>
          </w:p>
        </w:tc>
        <w:tc>
          <w:tcPr>
            <w:tcW w:w="50" w:type="pct"/>
            <w:shd w:val="clear" w:color="auto" w:fill="FFFFFF"/>
            <w:vAlign w:val="bottom"/>
            <w:hideMark/>
          </w:tcPr>
          <w:p w14:paraId="0C4067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CF86B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D7120C8" w14:textId="77777777" w:rsidR="00000000" w:rsidRDefault="00527094">
            <w:pPr>
              <w:jc w:val="right"/>
              <w:rPr>
                <w:rFonts w:eastAsia="Times New Roman"/>
                <w:sz w:val="20"/>
                <w:szCs w:val="20"/>
              </w:rPr>
            </w:pPr>
            <w:r>
              <w:rPr>
                <w:rFonts w:eastAsia="Times New Roman"/>
                <w:sz w:val="20"/>
                <w:szCs w:val="20"/>
              </w:rPr>
              <w:t>42,159</w:t>
            </w:r>
          </w:p>
        </w:tc>
        <w:tc>
          <w:tcPr>
            <w:tcW w:w="50" w:type="pct"/>
            <w:shd w:val="clear" w:color="auto" w:fill="FFFFFF"/>
            <w:vAlign w:val="bottom"/>
            <w:hideMark/>
          </w:tcPr>
          <w:p w14:paraId="380378D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4098D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335E4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AB55178" w14:textId="77777777" w:rsidR="00000000" w:rsidRDefault="00527094">
            <w:pPr>
              <w:jc w:val="right"/>
              <w:rPr>
                <w:rFonts w:eastAsia="Times New Roman"/>
                <w:sz w:val="20"/>
                <w:szCs w:val="20"/>
              </w:rPr>
            </w:pPr>
            <w:r>
              <w:rPr>
                <w:rFonts w:eastAsia="Times New Roman"/>
                <w:sz w:val="20"/>
                <w:szCs w:val="20"/>
              </w:rPr>
              <w:t>43,157</w:t>
            </w:r>
          </w:p>
        </w:tc>
        <w:tc>
          <w:tcPr>
            <w:tcW w:w="50" w:type="pct"/>
            <w:shd w:val="clear" w:color="auto" w:fill="FFFFFF"/>
            <w:vAlign w:val="bottom"/>
            <w:hideMark/>
          </w:tcPr>
          <w:p w14:paraId="6903237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7543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A7D43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83DC07" w14:textId="77777777" w:rsidR="00000000" w:rsidRDefault="00527094">
            <w:pPr>
              <w:jc w:val="right"/>
              <w:rPr>
                <w:rFonts w:eastAsia="Times New Roman"/>
                <w:sz w:val="20"/>
                <w:szCs w:val="20"/>
              </w:rPr>
            </w:pPr>
            <w:r>
              <w:rPr>
                <w:rFonts w:eastAsia="Times New Roman"/>
                <w:sz w:val="20"/>
                <w:szCs w:val="20"/>
              </w:rPr>
              <w:t>83,932</w:t>
            </w:r>
          </w:p>
        </w:tc>
        <w:tc>
          <w:tcPr>
            <w:tcW w:w="50" w:type="pct"/>
            <w:shd w:val="clear" w:color="auto" w:fill="FFFFFF"/>
            <w:vAlign w:val="bottom"/>
            <w:hideMark/>
          </w:tcPr>
          <w:p w14:paraId="679CC0E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A209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4FB54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EEAE845" w14:textId="77777777" w:rsidR="00000000" w:rsidRDefault="00527094">
            <w:pPr>
              <w:jc w:val="right"/>
              <w:rPr>
                <w:rFonts w:eastAsia="Times New Roman"/>
                <w:sz w:val="20"/>
                <w:szCs w:val="20"/>
              </w:rPr>
            </w:pPr>
            <w:r>
              <w:rPr>
                <w:rFonts w:eastAsia="Times New Roman"/>
                <w:sz w:val="20"/>
                <w:szCs w:val="20"/>
              </w:rPr>
              <w:t>86,921</w:t>
            </w:r>
          </w:p>
        </w:tc>
        <w:tc>
          <w:tcPr>
            <w:tcW w:w="50" w:type="pct"/>
            <w:shd w:val="clear" w:color="auto" w:fill="FFFFFF"/>
            <w:vAlign w:val="bottom"/>
            <w:hideMark/>
          </w:tcPr>
          <w:p w14:paraId="74DD79CD" w14:textId="77777777" w:rsidR="00000000" w:rsidRDefault="00527094">
            <w:pPr>
              <w:rPr>
                <w:rFonts w:eastAsia="Times New Roman"/>
                <w:sz w:val="20"/>
                <w:szCs w:val="20"/>
              </w:rPr>
            </w:pPr>
            <w:r>
              <w:rPr>
                <w:rFonts w:eastAsia="Times New Roman"/>
                <w:sz w:val="20"/>
                <w:szCs w:val="20"/>
              </w:rPr>
              <w:t> </w:t>
            </w:r>
          </w:p>
        </w:tc>
      </w:tr>
      <w:tr w:rsidR="00000000" w14:paraId="3F8FB5F5" w14:textId="77777777">
        <w:trPr>
          <w:tblCellSpacing w:w="0" w:type="dxa"/>
        </w:trPr>
        <w:tc>
          <w:tcPr>
            <w:tcW w:w="0" w:type="auto"/>
            <w:shd w:val="clear" w:color="auto" w:fill="CCEEFF"/>
            <w:vAlign w:val="bottom"/>
            <w:hideMark/>
          </w:tcPr>
          <w:p w14:paraId="0260B9DF" w14:textId="77777777" w:rsidR="00000000" w:rsidRDefault="00527094">
            <w:pPr>
              <w:pStyle w:val="a3"/>
              <w:spacing w:before="0" w:beforeAutospacing="0" w:after="0" w:afterAutospacing="0"/>
              <w:ind w:left="180"/>
              <w:rPr>
                <w:sz w:val="20"/>
                <w:szCs w:val="20"/>
              </w:rPr>
            </w:pPr>
            <w:r>
              <w:rPr>
                <w:sz w:val="20"/>
                <w:szCs w:val="20"/>
              </w:rPr>
              <w:t>(Benefit)/provision for income taxes, net</w:t>
            </w:r>
          </w:p>
        </w:tc>
        <w:tc>
          <w:tcPr>
            <w:tcW w:w="50" w:type="pct"/>
            <w:shd w:val="clear" w:color="auto" w:fill="CCEEFF"/>
            <w:vAlign w:val="bottom"/>
            <w:hideMark/>
          </w:tcPr>
          <w:p w14:paraId="53C75A6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E3283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28987F7" w14:textId="77777777" w:rsidR="00000000" w:rsidRDefault="00527094">
            <w:pPr>
              <w:jc w:val="right"/>
              <w:rPr>
                <w:rFonts w:eastAsia="Times New Roman"/>
                <w:sz w:val="20"/>
                <w:szCs w:val="20"/>
              </w:rPr>
            </w:pPr>
            <w:r>
              <w:rPr>
                <w:rFonts w:eastAsia="Times New Roman"/>
                <w:sz w:val="20"/>
                <w:szCs w:val="20"/>
              </w:rPr>
              <w:t>(344</w:t>
            </w:r>
          </w:p>
        </w:tc>
        <w:tc>
          <w:tcPr>
            <w:tcW w:w="50" w:type="pct"/>
            <w:shd w:val="clear" w:color="auto" w:fill="CCEEFF"/>
            <w:vAlign w:val="bottom"/>
            <w:hideMark/>
          </w:tcPr>
          <w:p w14:paraId="1131CFFF"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F05252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6E455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86813F1" w14:textId="77777777" w:rsidR="00000000" w:rsidRDefault="00527094">
            <w:pPr>
              <w:jc w:val="right"/>
              <w:rPr>
                <w:rFonts w:eastAsia="Times New Roman"/>
                <w:sz w:val="20"/>
                <w:szCs w:val="20"/>
              </w:rPr>
            </w:pPr>
            <w:r>
              <w:rPr>
                <w:rFonts w:eastAsia="Times New Roman"/>
                <w:sz w:val="20"/>
                <w:szCs w:val="20"/>
              </w:rPr>
              <w:t>(720</w:t>
            </w:r>
          </w:p>
        </w:tc>
        <w:tc>
          <w:tcPr>
            <w:tcW w:w="50" w:type="pct"/>
            <w:shd w:val="clear" w:color="auto" w:fill="CCEEFF"/>
            <w:vAlign w:val="bottom"/>
            <w:hideMark/>
          </w:tcPr>
          <w:p w14:paraId="4BD1FADD"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5191C2E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F00BB6"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6FE2A7F" w14:textId="77777777" w:rsidR="00000000" w:rsidRDefault="00527094">
            <w:pPr>
              <w:jc w:val="right"/>
              <w:rPr>
                <w:rFonts w:eastAsia="Times New Roman"/>
                <w:sz w:val="20"/>
                <w:szCs w:val="20"/>
              </w:rPr>
            </w:pPr>
            <w:r>
              <w:rPr>
                <w:rFonts w:eastAsia="Times New Roman"/>
                <w:sz w:val="20"/>
                <w:szCs w:val="20"/>
              </w:rPr>
              <w:t>286</w:t>
            </w:r>
          </w:p>
        </w:tc>
        <w:tc>
          <w:tcPr>
            <w:tcW w:w="50" w:type="pct"/>
            <w:shd w:val="clear" w:color="auto" w:fill="CCEEFF"/>
            <w:vAlign w:val="bottom"/>
            <w:hideMark/>
          </w:tcPr>
          <w:p w14:paraId="2FB11AC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5C6F6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2A7D9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221B68A" w14:textId="77777777" w:rsidR="00000000" w:rsidRDefault="00527094">
            <w:pPr>
              <w:jc w:val="right"/>
              <w:rPr>
                <w:rFonts w:eastAsia="Times New Roman"/>
                <w:sz w:val="20"/>
                <w:szCs w:val="20"/>
              </w:rPr>
            </w:pPr>
            <w:r>
              <w:rPr>
                <w:rFonts w:eastAsia="Times New Roman"/>
                <w:sz w:val="20"/>
                <w:szCs w:val="20"/>
              </w:rPr>
              <w:t>(668</w:t>
            </w:r>
          </w:p>
        </w:tc>
        <w:tc>
          <w:tcPr>
            <w:tcW w:w="50" w:type="pct"/>
            <w:shd w:val="clear" w:color="auto" w:fill="CCEEFF"/>
            <w:vAlign w:val="bottom"/>
            <w:hideMark/>
          </w:tcPr>
          <w:p w14:paraId="1264C96B" w14:textId="77777777" w:rsidR="00000000" w:rsidRDefault="00527094">
            <w:pPr>
              <w:rPr>
                <w:rFonts w:eastAsia="Times New Roman"/>
                <w:sz w:val="20"/>
                <w:szCs w:val="20"/>
              </w:rPr>
            </w:pPr>
            <w:r>
              <w:rPr>
                <w:rFonts w:eastAsia="Times New Roman"/>
                <w:sz w:val="20"/>
                <w:szCs w:val="20"/>
              </w:rPr>
              <w:t>)</w:t>
            </w:r>
          </w:p>
        </w:tc>
      </w:tr>
      <w:tr w:rsidR="00000000" w14:paraId="3DF971B7" w14:textId="77777777">
        <w:trPr>
          <w:tblCellSpacing w:w="0" w:type="dxa"/>
        </w:trPr>
        <w:tc>
          <w:tcPr>
            <w:tcW w:w="0" w:type="auto"/>
            <w:shd w:val="clear" w:color="auto" w:fill="FFFFFF"/>
            <w:vAlign w:val="bottom"/>
            <w:hideMark/>
          </w:tcPr>
          <w:p w14:paraId="074458AA" w14:textId="77777777" w:rsidR="00000000" w:rsidRDefault="00527094">
            <w:pPr>
              <w:pStyle w:val="a3"/>
              <w:spacing w:before="0" w:beforeAutospacing="0" w:after="0" w:afterAutospacing="0"/>
              <w:ind w:left="180"/>
              <w:rPr>
                <w:sz w:val="20"/>
                <w:szCs w:val="20"/>
              </w:rPr>
            </w:pPr>
            <w:r>
              <w:rPr>
                <w:sz w:val="20"/>
                <w:szCs w:val="20"/>
              </w:rPr>
              <w:t>Equity in income of other real estate investments, net</w:t>
            </w:r>
          </w:p>
        </w:tc>
        <w:tc>
          <w:tcPr>
            <w:tcW w:w="50" w:type="pct"/>
            <w:shd w:val="clear" w:color="auto" w:fill="FFFFFF"/>
            <w:vAlign w:val="bottom"/>
            <w:hideMark/>
          </w:tcPr>
          <w:p w14:paraId="640A315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14EB84"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B9C1746" w14:textId="77777777" w:rsidR="00000000" w:rsidRDefault="00527094">
            <w:pPr>
              <w:jc w:val="right"/>
              <w:rPr>
                <w:rFonts w:eastAsia="Times New Roman"/>
                <w:sz w:val="20"/>
                <w:szCs w:val="20"/>
              </w:rPr>
            </w:pPr>
            <w:r>
              <w:rPr>
                <w:rFonts w:eastAsia="Times New Roman"/>
                <w:sz w:val="20"/>
                <w:szCs w:val="20"/>
              </w:rPr>
              <w:t>(13,269</w:t>
            </w:r>
          </w:p>
        </w:tc>
        <w:tc>
          <w:tcPr>
            <w:tcW w:w="50" w:type="pct"/>
            <w:shd w:val="clear" w:color="auto" w:fill="FFFFFF"/>
            <w:vAlign w:val="bottom"/>
            <w:hideMark/>
          </w:tcPr>
          <w:p w14:paraId="4E3596B2"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78E3025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DD3E49"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DAB5468" w14:textId="77777777" w:rsidR="00000000" w:rsidRDefault="00527094">
            <w:pPr>
              <w:jc w:val="right"/>
              <w:rPr>
                <w:rFonts w:eastAsia="Times New Roman"/>
                <w:sz w:val="20"/>
                <w:szCs w:val="20"/>
              </w:rPr>
            </w:pPr>
            <w:r>
              <w:rPr>
                <w:rFonts w:eastAsia="Times New Roman"/>
                <w:sz w:val="20"/>
                <w:szCs w:val="20"/>
              </w:rPr>
              <w:t>(9,617</w:t>
            </w:r>
          </w:p>
        </w:tc>
        <w:tc>
          <w:tcPr>
            <w:tcW w:w="50" w:type="pct"/>
            <w:shd w:val="clear" w:color="auto" w:fill="FFFFFF"/>
            <w:vAlign w:val="bottom"/>
            <w:hideMark/>
          </w:tcPr>
          <w:p w14:paraId="70D1E41C"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3F28E73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3A986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5F63B9B" w14:textId="77777777" w:rsidR="00000000" w:rsidRDefault="00527094">
            <w:pPr>
              <w:jc w:val="right"/>
              <w:rPr>
                <w:rFonts w:eastAsia="Times New Roman"/>
                <w:sz w:val="20"/>
                <w:szCs w:val="20"/>
              </w:rPr>
            </w:pPr>
            <w:r>
              <w:rPr>
                <w:rFonts w:eastAsia="Times New Roman"/>
                <w:sz w:val="20"/>
                <w:szCs w:val="20"/>
              </w:rPr>
              <w:t>(19,493</w:t>
            </w:r>
          </w:p>
        </w:tc>
        <w:tc>
          <w:tcPr>
            <w:tcW w:w="50" w:type="pct"/>
            <w:shd w:val="clear" w:color="auto" w:fill="FFFFFF"/>
            <w:vAlign w:val="bottom"/>
            <w:hideMark/>
          </w:tcPr>
          <w:p w14:paraId="72597103" w14:textId="77777777" w:rsidR="00000000" w:rsidRDefault="00527094">
            <w:pPr>
              <w:rPr>
                <w:rFonts w:eastAsia="Times New Roman"/>
                <w:sz w:val="20"/>
                <w:szCs w:val="20"/>
              </w:rPr>
            </w:pPr>
            <w:r>
              <w:rPr>
                <w:rFonts w:eastAsia="Times New Roman"/>
                <w:sz w:val="20"/>
                <w:szCs w:val="20"/>
              </w:rPr>
              <w:t>)</w:t>
            </w:r>
          </w:p>
        </w:tc>
        <w:tc>
          <w:tcPr>
            <w:tcW w:w="50" w:type="pct"/>
            <w:shd w:val="clear" w:color="auto" w:fill="FFFFFF"/>
            <w:vAlign w:val="bottom"/>
            <w:hideMark/>
          </w:tcPr>
          <w:p w14:paraId="6C5179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B97A2C"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290AA59" w14:textId="77777777" w:rsidR="00000000" w:rsidRDefault="00527094">
            <w:pPr>
              <w:jc w:val="right"/>
              <w:rPr>
                <w:rFonts w:eastAsia="Times New Roman"/>
                <w:sz w:val="20"/>
                <w:szCs w:val="20"/>
              </w:rPr>
            </w:pPr>
            <w:r>
              <w:rPr>
                <w:rFonts w:eastAsia="Times New Roman"/>
                <w:sz w:val="20"/>
                <w:szCs w:val="20"/>
              </w:rPr>
              <w:t>(19,593</w:t>
            </w:r>
          </w:p>
        </w:tc>
        <w:tc>
          <w:tcPr>
            <w:tcW w:w="50" w:type="pct"/>
            <w:shd w:val="clear" w:color="auto" w:fill="FFFFFF"/>
            <w:vAlign w:val="bottom"/>
            <w:hideMark/>
          </w:tcPr>
          <w:p w14:paraId="42E3F34C" w14:textId="77777777" w:rsidR="00000000" w:rsidRDefault="00527094">
            <w:pPr>
              <w:rPr>
                <w:rFonts w:eastAsia="Times New Roman"/>
                <w:sz w:val="20"/>
                <w:szCs w:val="20"/>
              </w:rPr>
            </w:pPr>
            <w:r>
              <w:rPr>
                <w:rFonts w:eastAsia="Times New Roman"/>
                <w:sz w:val="20"/>
                <w:szCs w:val="20"/>
              </w:rPr>
              <w:t>)</w:t>
            </w:r>
          </w:p>
        </w:tc>
      </w:tr>
      <w:tr w:rsidR="00000000" w14:paraId="58DFFFC3" w14:textId="77777777">
        <w:trPr>
          <w:tblCellSpacing w:w="0" w:type="dxa"/>
        </w:trPr>
        <w:tc>
          <w:tcPr>
            <w:tcW w:w="0" w:type="auto"/>
            <w:shd w:val="clear" w:color="auto" w:fill="CCEEFF"/>
            <w:vAlign w:val="bottom"/>
            <w:hideMark/>
          </w:tcPr>
          <w:p w14:paraId="258C61C8" w14:textId="77777777" w:rsidR="00000000" w:rsidRDefault="00527094">
            <w:pPr>
              <w:pStyle w:val="a3"/>
              <w:spacing w:before="0" w:beforeAutospacing="0" w:after="0" w:afterAutospacing="0"/>
              <w:ind w:left="180"/>
              <w:rPr>
                <w:sz w:val="20"/>
                <w:szCs w:val="20"/>
              </w:rPr>
            </w:pPr>
            <w:r>
              <w:rPr>
                <w:sz w:val="20"/>
                <w:szCs w:val="20"/>
              </w:rPr>
              <w:t>Net income attributable to noncontrolling interests</w:t>
            </w:r>
          </w:p>
        </w:tc>
        <w:tc>
          <w:tcPr>
            <w:tcW w:w="50" w:type="pct"/>
            <w:shd w:val="clear" w:color="auto" w:fill="CCEEFF"/>
            <w:vAlign w:val="bottom"/>
            <w:hideMark/>
          </w:tcPr>
          <w:p w14:paraId="159009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C9572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4216356" w14:textId="77777777" w:rsidR="00000000" w:rsidRDefault="00527094">
            <w:pPr>
              <w:jc w:val="right"/>
              <w:rPr>
                <w:rFonts w:eastAsia="Times New Roman"/>
                <w:sz w:val="20"/>
                <w:szCs w:val="20"/>
              </w:rPr>
            </w:pPr>
            <w:r>
              <w:rPr>
                <w:rFonts w:eastAsia="Times New Roman"/>
                <w:sz w:val="20"/>
                <w:szCs w:val="20"/>
              </w:rPr>
              <w:t>360</w:t>
            </w:r>
          </w:p>
        </w:tc>
        <w:tc>
          <w:tcPr>
            <w:tcW w:w="50" w:type="pct"/>
            <w:shd w:val="clear" w:color="auto" w:fill="CCEEFF"/>
            <w:vAlign w:val="bottom"/>
            <w:hideMark/>
          </w:tcPr>
          <w:p w14:paraId="7FECB0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49C0D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78A923"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DFD8F2A" w14:textId="77777777" w:rsidR="00000000" w:rsidRDefault="00527094">
            <w:pPr>
              <w:jc w:val="right"/>
              <w:rPr>
                <w:rFonts w:eastAsia="Times New Roman"/>
                <w:sz w:val="20"/>
                <w:szCs w:val="20"/>
              </w:rPr>
            </w:pPr>
            <w:r>
              <w:rPr>
                <w:rFonts w:eastAsia="Times New Roman"/>
                <w:sz w:val="20"/>
                <w:szCs w:val="20"/>
              </w:rPr>
              <w:t>423</w:t>
            </w:r>
          </w:p>
        </w:tc>
        <w:tc>
          <w:tcPr>
            <w:tcW w:w="50" w:type="pct"/>
            <w:shd w:val="clear" w:color="auto" w:fill="CCEEFF"/>
            <w:vAlign w:val="bottom"/>
            <w:hideMark/>
          </w:tcPr>
          <w:p w14:paraId="236A03D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232BA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4F3F07"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831A557" w14:textId="77777777" w:rsidR="00000000" w:rsidRDefault="00527094">
            <w:pPr>
              <w:jc w:val="right"/>
              <w:rPr>
                <w:rFonts w:eastAsia="Times New Roman"/>
                <w:sz w:val="20"/>
                <w:szCs w:val="20"/>
              </w:rPr>
            </w:pPr>
            <w:r>
              <w:rPr>
                <w:rFonts w:eastAsia="Times New Roman"/>
                <w:sz w:val="20"/>
                <w:szCs w:val="20"/>
              </w:rPr>
              <w:t>869</w:t>
            </w:r>
          </w:p>
        </w:tc>
        <w:tc>
          <w:tcPr>
            <w:tcW w:w="50" w:type="pct"/>
            <w:shd w:val="clear" w:color="auto" w:fill="CCEEFF"/>
            <w:vAlign w:val="bottom"/>
            <w:hideMark/>
          </w:tcPr>
          <w:p w14:paraId="23A0E47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6A0F7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E0E8DA"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51E71C" w14:textId="77777777" w:rsidR="00000000" w:rsidRDefault="00527094">
            <w:pPr>
              <w:jc w:val="right"/>
              <w:rPr>
                <w:rFonts w:eastAsia="Times New Roman"/>
                <w:sz w:val="20"/>
                <w:szCs w:val="20"/>
              </w:rPr>
            </w:pPr>
            <w:r>
              <w:rPr>
                <w:rFonts w:eastAsia="Times New Roman"/>
                <w:sz w:val="20"/>
                <w:szCs w:val="20"/>
              </w:rPr>
              <w:t>315</w:t>
            </w:r>
          </w:p>
        </w:tc>
        <w:tc>
          <w:tcPr>
            <w:tcW w:w="50" w:type="pct"/>
            <w:shd w:val="clear" w:color="auto" w:fill="CCEEFF"/>
            <w:vAlign w:val="bottom"/>
            <w:hideMark/>
          </w:tcPr>
          <w:p w14:paraId="711BF702" w14:textId="77777777" w:rsidR="00000000" w:rsidRDefault="00527094">
            <w:pPr>
              <w:rPr>
                <w:rFonts w:eastAsia="Times New Roman"/>
                <w:sz w:val="20"/>
                <w:szCs w:val="20"/>
              </w:rPr>
            </w:pPr>
            <w:r>
              <w:rPr>
                <w:rFonts w:eastAsia="Times New Roman"/>
                <w:sz w:val="20"/>
                <w:szCs w:val="20"/>
              </w:rPr>
              <w:t> </w:t>
            </w:r>
          </w:p>
        </w:tc>
      </w:tr>
      <w:tr w:rsidR="00000000" w14:paraId="0C85220D" w14:textId="77777777">
        <w:trPr>
          <w:tblCellSpacing w:w="0" w:type="dxa"/>
        </w:trPr>
        <w:tc>
          <w:tcPr>
            <w:tcW w:w="0" w:type="auto"/>
            <w:shd w:val="clear" w:color="auto" w:fill="FFFFFF"/>
            <w:vAlign w:val="bottom"/>
            <w:hideMark/>
          </w:tcPr>
          <w:p w14:paraId="2463B562" w14:textId="77777777" w:rsidR="00000000" w:rsidRDefault="00527094">
            <w:pPr>
              <w:pStyle w:val="a3"/>
              <w:spacing w:before="0" w:beforeAutospacing="0" w:after="0" w:afterAutospacing="0"/>
              <w:ind w:left="180"/>
              <w:rPr>
                <w:sz w:val="20"/>
                <w:szCs w:val="20"/>
              </w:rPr>
            </w:pPr>
            <w:r>
              <w:rPr>
                <w:sz w:val="20"/>
                <w:szCs w:val="20"/>
              </w:rPr>
              <w:t>Preferred dividends</w:t>
            </w:r>
          </w:p>
        </w:tc>
        <w:tc>
          <w:tcPr>
            <w:tcW w:w="50" w:type="pct"/>
            <w:shd w:val="clear" w:color="auto" w:fill="FFFFFF"/>
            <w:vAlign w:val="bottom"/>
            <w:hideMark/>
          </w:tcPr>
          <w:p w14:paraId="2032266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F800E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B487730" w14:textId="77777777" w:rsidR="00000000" w:rsidRDefault="00527094">
            <w:pPr>
              <w:jc w:val="right"/>
              <w:rPr>
                <w:rFonts w:eastAsia="Times New Roman"/>
                <w:sz w:val="20"/>
                <w:szCs w:val="20"/>
              </w:rPr>
            </w:pPr>
            <w:r>
              <w:rPr>
                <w:rFonts w:eastAsia="Times New Roman"/>
                <w:sz w:val="20"/>
                <w:szCs w:val="20"/>
              </w:rPr>
              <w:t>14,534</w:t>
            </w:r>
          </w:p>
        </w:tc>
        <w:tc>
          <w:tcPr>
            <w:tcW w:w="50" w:type="pct"/>
            <w:shd w:val="clear" w:color="auto" w:fill="FFFFFF"/>
            <w:vAlign w:val="bottom"/>
            <w:hideMark/>
          </w:tcPr>
          <w:p w14:paraId="3611464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C1E37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40259E"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3F012FD" w14:textId="77777777" w:rsidR="00000000" w:rsidRDefault="00527094">
            <w:pPr>
              <w:jc w:val="right"/>
              <w:rPr>
                <w:rFonts w:eastAsia="Times New Roman"/>
                <w:sz w:val="20"/>
                <w:szCs w:val="20"/>
              </w:rPr>
            </w:pPr>
            <w:r>
              <w:rPr>
                <w:rFonts w:eastAsia="Times New Roman"/>
                <w:sz w:val="20"/>
                <w:szCs w:val="20"/>
              </w:rPr>
              <w:t>14,534</w:t>
            </w:r>
          </w:p>
        </w:tc>
        <w:tc>
          <w:tcPr>
            <w:tcW w:w="50" w:type="pct"/>
            <w:shd w:val="clear" w:color="auto" w:fill="FFFFFF"/>
            <w:vAlign w:val="bottom"/>
            <w:hideMark/>
          </w:tcPr>
          <w:p w14:paraId="4C153FA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3828B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7F952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08ADA3B" w14:textId="77777777" w:rsidR="00000000" w:rsidRDefault="00527094">
            <w:pPr>
              <w:jc w:val="right"/>
              <w:rPr>
                <w:rFonts w:eastAsia="Times New Roman"/>
                <w:sz w:val="20"/>
                <w:szCs w:val="20"/>
              </w:rPr>
            </w:pPr>
            <w:r>
              <w:rPr>
                <w:rFonts w:eastAsia="Times New Roman"/>
                <w:sz w:val="20"/>
                <w:szCs w:val="20"/>
              </w:rPr>
              <w:t>29,068</w:t>
            </w:r>
          </w:p>
        </w:tc>
        <w:tc>
          <w:tcPr>
            <w:tcW w:w="50" w:type="pct"/>
            <w:shd w:val="clear" w:color="auto" w:fill="FFFFFF"/>
            <w:vAlign w:val="bottom"/>
            <w:hideMark/>
          </w:tcPr>
          <w:p w14:paraId="09E2DF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94CD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9682F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B2AD09D" w14:textId="77777777" w:rsidR="00000000" w:rsidRDefault="00527094">
            <w:pPr>
              <w:jc w:val="right"/>
              <w:rPr>
                <w:rFonts w:eastAsia="Times New Roman"/>
                <w:sz w:val="20"/>
                <w:szCs w:val="20"/>
              </w:rPr>
            </w:pPr>
            <w:r>
              <w:rPr>
                <w:rFonts w:eastAsia="Times New Roman"/>
                <w:sz w:val="20"/>
                <w:szCs w:val="20"/>
              </w:rPr>
              <w:t>29,123</w:t>
            </w:r>
          </w:p>
        </w:tc>
        <w:tc>
          <w:tcPr>
            <w:tcW w:w="50" w:type="pct"/>
            <w:shd w:val="clear" w:color="auto" w:fill="FFFFFF"/>
            <w:vAlign w:val="bottom"/>
            <w:hideMark/>
          </w:tcPr>
          <w:p w14:paraId="2491E82F" w14:textId="77777777" w:rsidR="00000000" w:rsidRDefault="00527094">
            <w:pPr>
              <w:rPr>
                <w:rFonts w:eastAsia="Times New Roman"/>
                <w:sz w:val="20"/>
                <w:szCs w:val="20"/>
              </w:rPr>
            </w:pPr>
            <w:r>
              <w:rPr>
                <w:rFonts w:eastAsia="Times New Roman"/>
                <w:sz w:val="20"/>
                <w:szCs w:val="20"/>
              </w:rPr>
              <w:t> </w:t>
            </w:r>
          </w:p>
        </w:tc>
      </w:tr>
      <w:tr w:rsidR="00000000" w14:paraId="1F069E97" w14:textId="77777777">
        <w:trPr>
          <w:tblCellSpacing w:w="0" w:type="dxa"/>
        </w:trPr>
        <w:tc>
          <w:tcPr>
            <w:tcW w:w="0" w:type="auto"/>
            <w:shd w:val="clear" w:color="auto" w:fill="CCEEFF"/>
            <w:vAlign w:val="bottom"/>
            <w:hideMark/>
          </w:tcPr>
          <w:p w14:paraId="6A78116E" w14:textId="77777777" w:rsidR="00000000" w:rsidRDefault="00527094">
            <w:pPr>
              <w:pStyle w:val="a3"/>
              <w:spacing w:before="0" w:beforeAutospacing="0" w:after="0" w:afterAutospacing="0"/>
              <w:ind w:left="180"/>
              <w:rPr>
                <w:sz w:val="20"/>
                <w:szCs w:val="20"/>
              </w:rPr>
            </w:pPr>
            <w:r>
              <w:rPr>
                <w:sz w:val="20"/>
                <w:szCs w:val="20"/>
              </w:rPr>
              <w:t>Non same property net operating income</w:t>
            </w:r>
          </w:p>
        </w:tc>
        <w:tc>
          <w:tcPr>
            <w:tcW w:w="50" w:type="pct"/>
            <w:shd w:val="clear" w:color="auto" w:fill="CCEEFF"/>
            <w:vAlign w:val="bottom"/>
            <w:hideMark/>
          </w:tcPr>
          <w:p w14:paraId="1B41987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827EC5"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F46233C" w14:textId="77777777" w:rsidR="00000000" w:rsidRDefault="00527094">
            <w:pPr>
              <w:jc w:val="right"/>
              <w:rPr>
                <w:rFonts w:eastAsia="Times New Roman"/>
                <w:sz w:val="20"/>
                <w:szCs w:val="20"/>
              </w:rPr>
            </w:pPr>
            <w:r>
              <w:rPr>
                <w:rFonts w:eastAsia="Times New Roman"/>
                <w:sz w:val="20"/>
                <w:szCs w:val="20"/>
              </w:rPr>
              <w:t>(17,757</w:t>
            </w:r>
          </w:p>
        </w:tc>
        <w:tc>
          <w:tcPr>
            <w:tcW w:w="50" w:type="pct"/>
            <w:shd w:val="clear" w:color="auto" w:fill="CCEEFF"/>
            <w:vAlign w:val="bottom"/>
            <w:hideMark/>
          </w:tcPr>
          <w:p w14:paraId="30C27C34"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3023B4B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D820C0"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26D4AE7" w14:textId="77777777" w:rsidR="00000000" w:rsidRDefault="00527094">
            <w:pPr>
              <w:jc w:val="right"/>
              <w:rPr>
                <w:rFonts w:eastAsia="Times New Roman"/>
                <w:sz w:val="20"/>
                <w:szCs w:val="20"/>
              </w:rPr>
            </w:pPr>
            <w:r>
              <w:rPr>
                <w:rFonts w:eastAsia="Times New Roman"/>
                <w:sz w:val="20"/>
                <w:szCs w:val="20"/>
              </w:rPr>
              <w:t>(33,914</w:t>
            </w:r>
          </w:p>
        </w:tc>
        <w:tc>
          <w:tcPr>
            <w:tcW w:w="50" w:type="pct"/>
            <w:shd w:val="clear" w:color="auto" w:fill="CCEEFF"/>
            <w:vAlign w:val="bottom"/>
            <w:hideMark/>
          </w:tcPr>
          <w:p w14:paraId="45DF6200"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25BF6AE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75C02B"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F5A02B2" w14:textId="77777777" w:rsidR="00000000" w:rsidRDefault="00527094">
            <w:pPr>
              <w:jc w:val="right"/>
              <w:rPr>
                <w:rFonts w:eastAsia="Times New Roman"/>
                <w:sz w:val="20"/>
                <w:szCs w:val="20"/>
              </w:rPr>
            </w:pPr>
            <w:r>
              <w:rPr>
                <w:rFonts w:eastAsia="Times New Roman"/>
                <w:sz w:val="20"/>
                <w:szCs w:val="20"/>
              </w:rPr>
              <w:t>(45,067</w:t>
            </w:r>
          </w:p>
        </w:tc>
        <w:tc>
          <w:tcPr>
            <w:tcW w:w="50" w:type="pct"/>
            <w:shd w:val="clear" w:color="auto" w:fill="CCEEFF"/>
            <w:vAlign w:val="bottom"/>
            <w:hideMark/>
          </w:tcPr>
          <w:p w14:paraId="2B262EAC" w14:textId="77777777" w:rsidR="00000000" w:rsidRDefault="00527094">
            <w:pPr>
              <w:rPr>
                <w:rFonts w:eastAsia="Times New Roman"/>
                <w:sz w:val="20"/>
                <w:szCs w:val="20"/>
              </w:rPr>
            </w:pPr>
            <w:r>
              <w:rPr>
                <w:rFonts w:eastAsia="Times New Roman"/>
                <w:sz w:val="20"/>
                <w:szCs w:val="20"/>
              </w:rPr>
              <w:t>)</w:t>
            </w:r>
          </w:p>
        </w:tc>
        <w:tc>
          <w:tcPr>
            <w:tcW w:w="50" w:type="pct"/>
            <w:shd w:val="clear" w:color="auto" w:fill="CCEEFF"/>
            <w:vAlign w:val="bottom"/>
            <w:hideMark/>
          </w:tcPr>
          <w:p w14:paraId="72D9455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44FD2F" w14:textId="77777777" w:rsidR="00000000" w:rsidRDefault="0052709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B1B5F0" w14:textId="77777777" w:rsidR="00000000" w:rsidRDefault="00527094">
            <w:pPr>
              <w:jc w:val="right"/>
              <w:rPr>
                <w:rFonts w:eastAsia="Times New Roman"/>
                <w:sz w:val="20"/>
                <w:szCs w:val="20"/>
              </w:rPr>
            </w:pPr>
            <w:r>
              <w:rPr>
                <w:rFonts w:eastAsia="Times New Roman"/>
                <w:sz w:val="20"/>
                <w:szCs w:val="20"/>
              </w:rPr>
              <w:t>(70,367</w:t>
            </w:r>
          </w:p>
        </w:tc>
        <w:tc>
          <w:tcPr>
            <w:tcW w:w="50" w:type="pct"/>
            <w:shd w:val="clear" w:color="auto" w:fill="CCEEFF"/>
            <w:vAlign w:val="bottom"/>
            <w:hideMark/>
          </w:tcPr>
          <w:p w14:paraId="7D9D850F" w14:textId="77777777" w:rsidR="00000000" w:rsidRDefault="00527094">
            <w:pPr>
              <w:rPr>
                <w:rFonts w:eastAsia="Times New Roman"/>
                <w:sz w:val="20"/>
                <w:szCs w:val="20"/>
              </w:rPr>
            </w:pPr>
            <w:r>
              <w:rPr>
                <w:rFonts w:eastAsia="Times New Roman"/>
                <w:sz w:val="20"/>
                <w:szCs w:val="20"/>
              </w:rPr>
              <w:t>)</w:t>
            </w:r>
          </w:p>
        </w:tc>
      </w:tr>
      <w:tr w:rsidR="00000000" w14:paraId="42A4F1A6" w14:textId="77777777">
        <w:trPr>
          <w:tblCellSpacing w:w="0" w:type="dxa"/>
        </w:trPr>
        <w:tc>
          <w:tcPr>
            <w:tcW w:w="0" w:type="auto"/>
            <w:shd w:val="clear" w:color="auto" w:fill="FFFFFF"/>
            <w:vAlign w:val="bottom"/>
            <w:hideMark/>
          </w:tcPr>
          <w:p w14:paraId="5BFED05C" w14:textId="77777777" w:rsidR="00000000" w:rsidRDefault="00527094">
            <w:pPr>
              <w:pStyle w:val="a3"/>
              <w:spacing w:before="0" w:beforeAutospacing="0" w:after="0" w:afterAutospacing="0"/>
              <w:ind w:left="180"/>
              <w:rPr>
                <w:sz w:val="20"/>
                <w:szCs w:val="20"/>
              </w:rPr>
            </w:pPr>
            <w:r>
              <w:rPr>
                <w:sz w:val="20"/>
                <w:szCs w:val="20"/>
              </w:rPr>
              <w:t>Non-operational expense from joint ventures, net</w:t>
            </w:r>
          </w:p>
        </w:tc>
        <w:tc>
          <w:tcPr>
            <w:tcW w:w="50" w:type="pct"/>
            <w:shd w:val="clear" w:color="auto" w:fill="FFFFFF"/>
            <w:vAlign w:val="bottom"/>
            <w:hideMark/>
          </w:tcPr>
          <w:p w14:paraId="598C3A87"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3AE3677"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D6C62DF" w14:textId="77777777" w:rsidR="00000000" w:rsidRDefault="00527094">
            <w:pPr>
              <w:jc w:val="right"/>
              <w:rPr>
                <w:rFonts w:eastAsia="Times New Roman"/>
                <w:sz w:val="20"/>
                <w:szCs w:val="20"/>
              </w:rPr>
            </w:pPr>
            <w:r>
              <w:rPr>
                <w:rFonts w:eastAsia="Times New Roman"/>
                <w:sz w:val="20"/>
                <w:szCs w:val="20"/>
              </w:rPr>
              <w:t>10,125</w:t>
            </w:r>
          </w:p>
        </w:tc>
        <w:tc>
          <w:tcPr>
            <w:tcW w:w="50" w:type="pct"/>
            <w:shd w:val="clear" w:color="auto" w:fill="FFFFFF"/>
            <w:tcMar>
              <w:top w:w="0" w:type="dxa"/>
              <w:left w:w="0" w:type="dxa"/>
              <w:bottom w:w="15" w:type="dxa"/>
              <w:right w:w="0" w:type="dxa"/>
            </w:tcMar>
            <w:vAlign w:val="bottom"/>
            <w:hideMark/>
          </w:tcPr>
          <w:p w14:paraId="4219F7B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41780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FA5AB9B"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1B55337" w14:textId="77777777" w:rsidR="00000000" w:rsidRDefault="00527094">
            <w:pPr>
              <w:jc w:val="right"/>
              <w:rPr>
                <w:rFonts w:eastAsia="Times New Roman"/>
                <w:sz w:val="20"/>
                <w:szCs w:val="20"/>
              </w:rPr>
            </w:pPr>
            <w:r>
              <w:rPr>
                <w:rFonts w:eastAsia="Times New Roman"/>
                <w:sz w:val="20"/>
                <w:szCs w:val="20"/>
              </w:rPr>
              <w:t>15,136</w:t>
            </w:r>
          </w:p>
        </w:tc>
        <w:tc>
          <w:tcPr>
            <w:tcW w:w="50" w:type="pct"/>
            <w:shd w:val="clear" w:color="auto" w:fill="FFFFFF"/>
            <w:tcMar>
              <w:top w:w="0" w:type="dxa"/>
              <w:left w:w="0" w:type="dxa"/>
              <w:bottom w:w="15" w:type="dxa"/>
              <w:right w:w="0" w:type="dxa"/>
            </w:tcMar>
            <w:vAlign w:val="bottom"/>
            <w:hideMark/>
          </w:tcPr>
          <w:p w14:paraId="5446532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EFCD11"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29AC1DF"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60C406F" w14:textId="77777777" w:rsidR="00000000" w:rsidRDefault="00527094">
            <w:pPr>
              <w:jc w:val="right"/>
              <w:rPr>
                <w:rFonts w:eastAsia="Times New Roman"/>
                <w:sz w:val="20"/>
                <w:szCs w:val="20"/>
              </w:rPr>
            </w:pPr>
            <w:r>
              <w:rPr>
                <w:rFonts w:eastAsia="Times New Roman"/>
                <w:sz w:val="20"/>
                <w:szCs w:val="20"/>
              </w:rPr>
              <w:t>24,918</w:t>
            </w:r>
          </w:p>
        </w:tc>
        <w:tc>
          <w:tcPr>
            <w:tcW w:w="50" w:type="pct"/>
            <w:shd w:val="clear" w:color="auto" w:fill="FFFFFF"/>
            <w:tcMar>
              <w:top w:w="0" w:type="dxa"/>
              <w:left w:w="0" w:type="dxa"/>
              <w:bottom w:w="15" w:type="dxa"/>
              <w:right w:w="0" w:type="dxa"/>
            </w:tcMar>
            <w:vAlign w:val="bottom"/>
            <w:hideMark/>
          </w:tcPr>
          <w:p w14:paraId="2F10B38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C4D7CE"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097BA6C" w14:textId="77777777" w:rsidR="00000000" w:rsidRDefault="0052709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7D7B11A" w14:textId="77777777" w:rsidR="00000000" w:rsidRDefault="00527094">
            <w:pPr>
              <w:jc w:val="right"/>
              <w:rPr>
                <w:rFonts w:eastAsia="Times New Roman"/>
                <w:sz w:val="20"/>
                <w:szCs w:val="20"/>
              </w:rPr>
            </w:pPr>
            <w:r>
              <w:rPr>
                <w:rFonts w:eastAsia="Times New Roman"/>
                <w:sz w:val="20"/>
                <w:szCs w:val="20"/>
              </w:rPr>
              <w:t>29,508</w:t>
            </w:r>
          </w:p>
        </w:tc>
        <w:tc>
          <w:tcPr>
            <w:tcW w:w="50" w:type="pct"/>
            <w:shd w:val="clear" w:color="auto" w:fill="FFFFFF"/>
            <w:tcMar>
              <w:top w:w="0" w:type="dxa"/>
              <w:left w:w="0" w:type="dxa"/>
              <w:bottom w:w="15" w:type="dxa"/>
              <w:right w:w="0" w:type="dxa"/>
            </w:tcMar>
            <w:vAlign w:val="bottom"/>
            <w:hideMark/>
          </w:tcPr>
          <w:p w14:paraId="58B2138D" w14:textId="77777777" w:rsidR="00000000" w:rsidRDefault="00527094">
            <w:pPr>
              <w:rPr>
                <w:rFonts w:eastAsia="Times New Roman"/>
                <w:sz w:val="20"/>
                <w:szCs w:val="20"/>
              </w:rPr>
            </w:pPr>
            <w:r>
              <w:rPr>
                <w:rFonts w:eastAsia="Times New Roman"/>
                <w:sz w:val="20"/>
                <w:szCs w:val="20"/>
              </w:rPr>
              <w:t> </w:t>
            </w:r>
          </w:p>
        </w:tc>
      </w:tr>
      <w:tr w:rsidR="00000000" w14:paraId="46877F90" w14:textId="77777777">
        <w:trPr>
          <w:tblCellSpacing w:w="0" w:type="dxa"/>
        </w:trPr>
        <w:tc>
          <w:tcPr>
            <w:tcW w:w="0" w:type="auto"/>
            <w:shd w:val="clear" w:color="auto" w:fill="CCEEFF"/>
            <w:vAlign w:val="bottom"/>
            <w:hideMark/>
          </w:tcPr>
          <w:p w14:paraId="4CD73696" w14:textId="77777777" w:rsidR="00000000" w:rsidRDefault="00527094">
            <w:pPr>
              <w:pStyle w:val="a3"/>
              <w:spacing w:before="0" w:beforeAutospacing="0" w:after="0" w:afterAutospacing="0"/>
              <w:rPr>
                <w:sz w:val="20"/>
                <w:szCs w:val="20"/>
              </w:rPr>
            </w:pPr>
            <w:r>
              <w:rPr>
                <w:b/>
                <w:bCs/>
                <w:sz w:val="20"/>
                <w:szCs w:val="20"/>
              </w:rPr>
              <w:t>Same property NOI</w:t>
            </w:r>
          </w:p>
        </w:tc>
        <w:tc>
          <w:tcPr>
            <w:tcW w:w="50" w:type="pct"/>
            <w:shd w:val="clear" w:color="auto" w:fill="CCEEFF"/>
            <w:vAlign w:val="bottom"/>
            <w:hideMark/>
          </w:tcPr>
          <w:p w14:paraId="7755E4B1"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5335017"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0C944A84" w14:textId="77777777" w:rsidR="00000000" w:rsidRDefault="00527094">
            <w:pPr>
              <w:jc w:val="right"/>
              <w:rPr>
                <w:rFonts w:eastAsia="Times New Roman"/>
                <w:sz w:val="20"/>
                <w:szCs w:val="20"/>
              </w:rPr>
            </w:pPr>
            <w:r>
              <w:rPr>
                <w:rFonts w:eastAsia="Times New Roman"/>
                <w:b/>
                <w:bCs/>
                <w:sz w:val="20"/>
                <w:szCs w:val="20"/>
              </w:rPr>
              <w:t>212,465</w:t>
            </w:r>
          </w:p>
        </w:tc>
        <w:tc>
          <w:tcPr>
            <w:tcW w:w="50" w:type="pct"/>
            <w:shd w:val="clear" w:color="auto" w:fill="CCEEFF"/>
            <w:tcMar>
              <w:top w:w="0" w:type="dxa"/>
              <w:left w:w="0" w:type="dxa"/>
              <w:bottom w:w="45" w:type="dxa"/>
              <w:right w:w="0" w:type="dxa"/>
            </w:tcMar>
            <w:vAlign w:val="bottom"/>
            <w:hideMark/>
          </w:tcPr>
          <w:p w14:paraId="2FFB5A5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C63BEF"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7F628B9"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985266F" w14:textId="77777777" w:rsidR="00000000" w:rsidRDefault="00527094">
            <w:pPr>
              <w:jc w:val="right"/>
              <w:rPr>
                <w:rFonts w:eastAsia="Times New Roman"/>
                <w:sz w:val="20"/>
                <w:szCs w:val="20"/>
              </w:rPr>
            </w:pPr>
            <w:r>
              <w:rPr>
                <w:rFonts w:eastAsia="Times New Roman"/>
                <w:b/>
                <w:bCs/>
                <w:sz w:val="20"/>
                <w:szCs w:val="20"/>
              </w:rPr>
              <w:t>207,253</w:t>
            </w:r>
          </w:p>
        </w:tc>
        <w:tc>
          <w:tcPr>
            <w:tcW w:w="50" w:type="pct"/>
            <w:shd w:val="clear" w:color="auto" w:fill="CCEEFF"/>
            <w:tcMar>
              <w:top w:w="0" w:type="dxa"/>
              <w:left w:w="0" w:type="dxa"/>
              <w:bottom w:w="45" w:type="dxa"/>
              <w:right w:w="0" w:type="dxa"/>
            </w:tcMar>
            <w:vAlign w:val="bottom"/>
            <w:hideMark/>
          </w:tcPr>
          <w:p w14:paraId="1420596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1184AD"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31BC1A8"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2AE11795" w14:textId="77777777" w:rsidR="00000000" w:rsidRDefault="00527094">
            <w:pPr>
              <w:jc w:val="right"/>
              <w:rPr>
                <w:rFonts w:eastAsia="Times New Roman"/>
                <w:sz w:val="20"/>
                <w:szCs w:val="20"/>
              </w:rPr>
            </w:pPr>
            <w:r>
              <w:rPr>
                <w:rFonts w:eastAsia="Times New Roman"/>
                <w:b/>
                <w:bCs/>
                <w:sz w:val="20"/>
                <w:szCs w:val="20"/>
              </w:rPr>
              <w:t>426,401</w:t>
            </w:r>
          </w:p>
        </w:tc>
        <w:tc>
          <w:tcPr>
            <w:tcW w:w="50" w:type="pct"/>
            <w:shd w:val="clear" w:color="auto" w:fill="CCEEFF"/>
            <w:tcMar>
              <w:top w:w="0" w:type="dxa"/>
              <w:left w:w="0" w:type="dxa"/>
              <w:bottom w:w="45" w:type="dxa"/>
              <w:right w:w="0" w:type="dxa"/>
            </w:tcMar>
            <w:vAlign w:val="bottom"/>
            <w:hideMark/>
          </w:tcPr>
          <w:p w14:paraId="185288E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5A83E5"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882C5B3" w14:textId="77777777" w:rsidR="00000000" w:rsidRDefault="0052709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BE7583E" w14:textId="77777777" w:rsidR="00000000" w:rsidRDefault="00527094">
            <w:pPr>
              <w:jc w:val="right"/>
              <w:rPr>
                <w:rFonts w:eastAsia="Times New Roman"/>
                <w:sz w:val="20"/>
                <w:szCs w:val="20"/>
              </w:rPr>
            </w:pPr>
            <w:r>
              <w:rPr>
                <w:rFonts w:eastAsia="Times New Roman"/>
                <w:b/>
                <w:bCs/>
                <w:sz w:val="20"/>
                <w:szCs w:val="20"/>
              </w:rPr>
              <w:t>413,088</w:t>
            </w:r>
          </w:p>
        </w:tc>
        <w:tc>
          <w:tcPr>
            <w:tcW w:w="50" w:type="pct"/>
            <w:shd w:val="clear" w:color="auto" w:fill="CCEEFF"/>
            <w:tcMar>
              <w:top w:w="0" w:type="dxa"/>
              <w:left w:w="0" w:type="dxa"/>
              <w:bottom w:w="45" w:type="dxa"/>
              <w:right w:w="0" w:type="dxa"/>
            </w:tcMar>
            <w:vAlign w:val="bottom"/>
            <w:hideMark/>
          </w:tcPr>
          <w:p w14:paraId="053111E0" w14:textId="77777777" w:rsidR="00000000" w:rsidRDefault="00527094">
            <w:pPr>
              <w:rPr>
                <w:rFonts w:eastAsia="Times New Roman"/>
                <w:sz w:val="20"/>
                <w:szCs w:val="20"/>
              </w:rPr>
            </w:pPr>
            <w:r>
              <w:rPr>
                <w:rFonts w:eastAsia="Times New Roman"/>
                <w:sz w:val="20"/>
                <w:szCs w:val="20"/>
              </w:rPr>
              <w:t> </w:t>
            </w:r>
          </w:p>
        </w:tc>
      </w:tr>
    </w:tbl>
    <w:p w14:paraId="57359233" w14:textId="77777777" w:rsidR="00000000" w:rsidRDefault="00527094">
      <w:pPr>
        <w:pStyle w:val="a3"/>
        <w:spacing w:before="0" w:beforeAutospacing="0" w:after="0" w:afterAutospacing="0"/>
        <w:ind w:firstLine="360"/>
        <w:jc w:val="both"/>
        <w:rPr>
          <w:sz w:val="20"/>
          <w:szCs w:val="20"/>
        </w:rPr>
      </w:pPr>
      <w:r>
        <w:rPr>
          <w:sz w:val="20"/>
          <w:szCs w:val="20"/>
        </w:rPr>
        <w:t> </w:t>
      </w:r>
    </w:p>
    <w:p w14:paraId="3D369508" w14:textId="77777777" w:rsidR="00000000" w:rsidRDefault="00527094">
      <w:pPr>
        <w:pStyle w:val="a3"/>
        <w:spacing w:before="0" w:beforeAutospacing="0" w:after="0" w:afterAutospacing="0"/>
        <w:ind w:firstLine="360"/>
        <w:jc w:val="both"/>
        <w:rPr>
          <w:sz w:val="20"/>
          <w:szCs w:val="20"/>
        </w:rPr>
      </w:pPr>
      <w:r>
        <w:rPr>
          <w:sz w:val="20"/>
          <w:szCs w:val="20"/>
        </w:rPr>
        <w:t>Same property NOI increased by $5.2 million or 2.5% for the three months ended June 30, 2019, as compared to the corresponding period in 2018. This increase is primarily the result of (i) an increase of $6.5 million related to lease-up and rent commencemen</w:t>
      </w:r>
      <w:r>
        <w:rPr>
          <w:sz w:val="20"/>
          <w:szCs w:val="20"/>
        </w:rPr>
        <w:t>ts in the portfolio, partially offset by (ii) a decrease in other property income of $1.3 million.</w:t>
      </w:r>
    </w:p>
    <w:p w14:paraId="720019F6" w14:textId="77777777" w:rsidR="00000000" w:rsidRDefault="00527094">
      <w:pPr>
        <w:pStyle w:val="a3"/>
        <w:spacing w:before="0" w:beforeAutospacing="0" w:after="0" w:afterAutospacing="0"/>
        <w:jc w:val="both"/>
        <w:rPr>
          <w:sz w:val="20"/>
          <w:szCs w:val="20"/>
        </w:rPr>
      </w:pPr>
      <w:r>
        <w:rPr>
          <w:sz w:val="20"/>
          <w:szCs w:val="20"/>
        </w:rPr>
        <w:t> </w:t>
      </w:r>
    </w:p>
    <w:p w14:paraId="08F0EC34" w14:textId="77777777" w:rsidR="00000000" w:rsidRDefault="00527094">
      <w:pPr>
        <w:pStyle w:val="a3"/>
        <w:spacing w:before="0" w:beforeAutospacing="0" w:after="0" w:afterAutospacing="0"/>
        <w:ind w:firstLine="360"/>
        <w:jc w:val="both"/>
        <w:rPr>
          <w:sz w:val="20"/>
          <w:szCs w:val="20"/>
        </w:rPr>
      </w:pPr>
      <w:r>
        <w:rPr>
          <w:sz w:val="20"/>
          <w:szCs w:val="20"/>
        </w:rPr>
        <w:t>Same property NOI increased by $13.3 million or 3.2% for the six months ended June 30, 2019, as compared to the corresponding period in 2018. This increase</w:t>
      </w:r>
      <w:r>
        <w:rPr>
          <w:sz w:val="20"/>
          <w:szCs w:val="20"/>
        </w:rPr>
        <w:t xml:space="preserve"> is primarily the result of an increase related to lease-up and rent commencements in the portfolio.</w:t>
      </w:r>
    </w:p>
    <w:p w14:paraId="1DA247DB" w14:textId="77777777" w:rsidR="00000000" w:rsidRDefault="00527094">
      <w:pPr>
        <w:pStyle w:val="a3"/>
        <w:spacing w:before="0" w:beforeAutospacing="0" w:after="0" w:afterAutospacing="0"/>
        <w:jc w:val="both"/>
        <w:rPr>
          <w:sz w:val="20"/>
          <w:szCs w:val="20"/>
        </w:rPr>
      </w:pPr>
      <w:r>
        <w:rPr>
          <w:sz w:val="20"/>
          <w:szCs w:val="20"/>
        </w:rPr>
        <w:t> </w:t>
      </w:r>
    </w:p>
    <w:p w14:paraId="75AB628A" w14:textId="77777777" w:rsidR="00000000" w:rsidRDefault="00527094">
      <w:pPr>
        <w:pStyle w:val="a3"/>
        <w:spacing w:before="0" w:beforeAutospacing="0" w:after="0" w:afterAutospacing="0"/>
        <w:jc w:val="both"/>
        <w:rPr>
          <w:sz w:val="20"/>
          <w:szCs w:val="20"/>
        </w:rPr>
      </w:pPr>
      <w:r>
        <w:rPr>
          <w:sz w:val="20"/>
          <w:szCs w:val="20"/>
          <w:u w:val="single"/>
        </w:rPr>
        <w:t>Leasing Activity</w:t>
      </w:r>
    </w:p>
    <w:p w14:paraId="4AF03AFF" w14:textId="77777777" w:rsidR="00000000" w:rsidRDefault="00527094">
      <w:pPr>
        <w:pStyle w:val="a3"/>
        <w:spacing w:before="0" w:beforeAutospacing="0" w:after="0" w:afterAutospacing="0"/>
        <w:jc w:val="both"/>
        <w:rPr>
          <w:sz w:val="20"/>
          <w:szCs w:val="20"/>
        </w:rPr>
      </w:pPr>
      <w:r>
        <w:rPr>
          <w:sz w:val="20"/>
          <w:szCs w:val="20"/>
        </w:rPr>
        <w:t> </w:t>
      </w:r>
    </w:p>
    <w:p w14:paraId="7D143401" w14:textId="77777777" w:rsidR="00000000" w:rsidRDefault="00527094">
      <w:pPr>
        <w:pStyle w:val="a3"/>
        <w:spacing w:before="0" w:beforeAutospacing="0" w:after="0" w:afterAutospacing="0"/>
        <w:ind w:firstLine="360"/>
        <w:jc w:val="both"/>
        <w:rPr>
          <w:sz w:val="20"/>
          <w:szCs w:val="20"/>
        </w:rPr>
      </w:pPr>
      <w:r>
        <w:rPr>
          <w:sz w:val="20"/>
          <w:szCs w:val="20"/>
        </w:rPr>
        <w:t>During the six months ended June 30, 2019, the Company executed 498 leases totaling over 4.1 million square feet in the Company’s consolidated operating portfolio comprised of 152 new leases and 346 renewals and options. The leasing costs associated with n</w:t>
      </w:r>
      <w:r>
        <w:rPr>
          <w:sz w:val="20"/>
          <w:szCs w:val="20"/>
        </w:rPr>
        <w:t>ew leases are estimated to aggregate $37.1 million or $38.49 per square foot. These costs include $29.8 million of tenant improvements and $7.3 million of external leasing commissions. The average rent per square foot on new leases was $20.51 and on renewa</w:t>
      </w:r>
      <w:r>
        <w:rPr>
          <w:sz w:val="20"/>
          <w:szCs w:val="20"/>
        </w:rPr>
        <w:t>ls and options was $15.20.</w:t>
      </w:r>
    </w:p>
    <w:p w14:paraId="0B1C15BC" w14:textId="77777777" w:rsidR="00000000" w:rsidRDefault="00527094">
      <w:pPr>
        <w:pStyle w:val="a3"/>
        <w:spacing w:before="0" w:beforeAutospacing="0" w:after="0" w:afterAutospacing="0"/>
        <w:ind w:left="144" w:right="144"/>
        <w:jc w:val="both"/>
        <w:rPr>
          <w:sz w:val="20"/>
          <w:szCs w:val="20"/>
        </w:rPr>
      </w:pPr>
      <w:r>
        <w:rPr>
          <w:sz w:val="20"/>
          <w:szCs w:val="20"/>
        </w:rPr>
        <w:t> </w:t>
      </w:r>
    </w:p>
    <w:p w14:paraId="4F7A7B14" w14:textId="77777777" w:rsidR="00000000" w:rsidRDefault="00527094">
      <w:pPr>
        <w:pStyle w:val="a3"/>
        <w:spacing w:before="0" w:beforeAutospacing="0" w:after="0" w:afterAutospacing="0"/>
        <w:jc w:val="both"/>
        <w:rPr>
          <w:sz w:val="20"/>
          <w:szCs w:val="20"/>
        </w:rPr>
      </w:pPr>
      <w:r>
        <w:rPr>
          <w:sz w:val="20"/>
          <w:szCs w:val="20"/>
          <w:u w:val="single"/>
        </w:rPr>
        <w:t>Tenant Lease Expirations</w:t>
      </w:r>
    </w:p>
    <w:p w14:paraId="28D0876F" w14:textId="77777777" w:rsidR="00000000" w:rsidRDefault="00527094">
      <w:pPr>
        <w:pStyle w:val="a3"/>
        <w:spacing w:before="0" w:beforeAutospacing="0" w:after="0" w:afterAutospacing="0"/>
        <w:jc w:val="both"/>
        <w:rPr>
          <w:sz w:val="20"/>
          <w:szCs w:val="20"/>
        </w:rPr>
      </w:pPr>
      <w:r>
        <w:rPr>
          <w:sz w:val="20"/>
          <w:szCs w:val="20"/>
        </w:rPr>
        <w:t> </w:t>
      </w:r>
    </w:p>
    <w:p w14:paraId="62E866A4" w14:textId="77777777" w:rsidR="00000000" w:rsidRDefault="00527094">
      <w:pPr>
        <w:pStyle w:val="a3"/>
        <w:spacing w:before="0" w:beforeAutospacing="0" w:after="0" w:afterAutospacing="0"/>
        <w:ind w:firstLine="360"/>
        <w:jc w:val="both"/>
        <w:rPr>
          <w:sz w:val="20"/>
          <w:szCs w:val="20"/>
        </w:rPr>
      </w:pPr>
      <w:r>
        <w:rPr>
          <w:sz w:val="20"/>
          <w:szCs w:val="20"/>
        </w:rPr>
        <w:t>At June 30, 2019, the Company has a total of 5,578 leases in the U.S. consolidated operating portfolio. The following table sets forth the aggregate lease expirations for each of the next ten years, a</w:t>
      </w:r>
      <w:r>
        <w:rPr>
          <w:sz w:val="20"/>
          <w:szCs w:val="20"/>
        </w:rPr>
        <w:t>ssuming no renewal options are exercised. For purposes of the table, the Total Annual Base Rent Expiring represents annualized rental revenue, excluding the impact of straight-line rent, for each lease that expires during the respective year. Amounts in th</w:t>
      </w:r>
      <w:r>
        <w:rPr>
          <w:sz w:val="20"/>
          <w:szCs w:val="20"/>
        </w:rPr>
        <w:t>ousands, except for number of lease data:</w:t>
      </w:r>
    </w:p>
    <w:p w14:paraId="08B6A010" w14:textId="77777777" w:rsidR="00000000" w:rsidRDefault="00527094">
      <w:pPr>
        <w:pStyle w:val="a3"/>
        <w:spacing w:before="0" w:beforeAutospacing="0" w:after="0" w:afterAutospacing="0"/>
        <w:ind w:firstLine="72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1194"/>
        <w:gridCol w:w="96"/>
        <w:gridCol w:w="96"/>
        <w:gridCol w:w="96"/>
        <w:gridCol w:w="1194"/>
        <w:gridCol w:w="96"/>
        <w:gridCol w:w="96"/>
        <w:gridCol w:w="96"/>
        <w:gridCol w:w="1194"/>
        <w:gridCol w:w="96"/>
        <w:gridCol w:w="96"/>
        <w:gridCol w:w="277"/>
        <w:gridCol w:w="1195"/>
        <w:gridCol w:w="97"/>
        <w:gridCol w:w="97"/>
        <w:gridCol w:w="97"/>
        <w:gridCol w:w="1195"/>
        <w:gridCol w:w="167"/>
      </w:tblGrid>
      <w:tr w:rsidR="00000000" w14:paraId="7D8ADEF3" w14:textId="77777777">
        <w:trPr>
          <w:tblCellSpacing w:w="0" w:type="dxa"/>
        </w:trPr>
        <w:tc>
          <w:tcPr>
            <w:tcW w:w="0" w:type="auto"/>
            <w:tcBorders>
              <w:bottom w:val="single" w:sz="6" w:space="0" w:color="000000"/>
            </w:tcBorders>
            <w:vAlign w:val="bottom"/>
            <w:hideMark/>
          </w:tcPr>
          <w:p w14:paraId="61272A4D" w14:textId="77777777" w:rsidR="00000000" w:rsidRDefault="00527094">
            <w:pPr>
              <w:pStyle w:val="a3"/>
              <w:spacing w:before="0" w:beforeAutospacing="0" w:after="0" w:afterAutospacing="0"/>
              <w:jc w:val="center"/>
              <w:rPr>
                <w:sz w:val="20"/>
                <w:szCs w:val="20"/>
              </w:rPr>
            </w:pPr>
            <w:r>
              <w:rPr>
                <w:b/>
                <w:bCs/>
                <w:sz w:val="20"/>
                <w:szCs w:val="20"/>
              </w:rPr>
              <w:t xml:space="preserve">Year Ending </w:t>
            </w:r>
          </w:p>
          <w:p w14:paraId="368EB76C" w14:textId="77777777" w:rsidR="00000000" w:rsidRDefault="00527094">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1C1F6FD8"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7D12817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9FE9850" w14:textId="77777777" w:rsidR="00000000" w:rsidRDefault="00527094">
            <w:pPr>
              <w:pStyle w:val="a3"/>
              <w:spacing w:before="0" w:beforeAutospacing="0" w:after="0" w:afterAutospacing="0"/>
              <w:jc w:val="center"/>
              <w:rPr>
                <w:sz w:val="20"/>
                <w:szCs w:val="20"/>
              </w:rPr>
            </w:pPr>
            <w:r>
              <w:rPr>
                <w:b/>
                <w:bCs/>
                <w:sz w:val="20"/>
                <w:szCs w:val="20"/>
              </w:rPr>
              <w:t>Number of Leases</w:t>
            </w:r>
          </w:p>
          <w:p w14:paraId="4726114D" w14:textId="77777777" w:rsidR="00000000" w:rsidRDefault="00527094">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14:paraId="1A728174"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5DD07BF"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B7F0499" w14:textId="77777777" w:rsidR="00000000" w:rsidRDefault="00527094">
            <w:pPr>
              <w:pStyle w:val="a3"/>
              <w:spacing w:before="0" w:beforeAutospacing="0" w:after="0" w:afterAutospacing="0"/>
              <w:jc w:val="center"/>
              <w:rPr>
                <w:sz w:val="20"/>
                <w:szCs w:val="20"/>
              </w:rPr>
            </w:pPr>
            <w:r>
              <w:rPr>
                <w:b/>
                <w:bCs/>
                <w:sz w:val="20"/>
                <w:szCs w:val="20"/>
              </w:rPr>
              <w:t xml:space="preserve">Square Feet </w:t>
            </w:r>
          </w:p>
          <w:p w14:paraId="52E05618" w14:textId="77777777" w:rsidR="00000000" w:rsidRDefault="00527094">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14:paraId="0353C1F2"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F44119E"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164B6CA" w14:textId="77777777" w:rsidR="00000000" w:rsidRDefault="00527094">
            <w:pPr>
              <w:pStyle w:val="a3"/>
              <w:spacing w:before="0" w:beforeAutospacing="0" w:after="0" w:afterAutospacing="0"/>
              <w:jc w:val="center"/>
              <w:rPr>
                <w:sz w:val="20"/>
                <w:szCs w:val="20"/>
              </w:rPr>
            </w:pPr>
            <w:r>
              <w:rPr>
                <w:b/>
                <w:bCs/>
                <w:sz w:val="20"/>
                <w:szCs w:val="20"/>
              </w:rPr>
              <w:t>Total Annual Base</w:t>
            </w:r>
          </w:p>
          <w:p w14:paraId="7FC52C6F" w14:textId="77777777" w:rsidR="00000000" w:rsidRDefault="00527094">
            <w:pPr>
              <w:pStyle w:val="a3"/>
              <w:spacing w:before="0" w:beforeAutospacing="0" w:after="0" w:afterAutospacing="0"/>
              <w:jc w:val="center"/>
              <w:rPr>
                <w:sz w:val="20"/>
                <w:szCs w:val="20"/>
              </w:rPr>
            </w:pPr>
            <w:r>
              <w:rPr>
                <w:b/>
                <w:bCs/>
                <w:sz w:val="20"/>
                <w:szCs w:val="20"/>
              </w:rPr>
              <w:t>Rent Expiring</w:t>
            </w:r>
          </w:p>
        </w:tc>
        <w:tc>
          <w:tcPr>
            <w:tcW w:w="0" w:type="auto"/>
            <w:tcMar>
              <w:top w:w="0" w:type="dxa"/>
              <w:left w:w="0" w:type="dxa"/>
              <w:bottom w:w="15" w:type="dxa"/>
              <w:right w:w="0" w:type="dxa"/>
            </w:tcMar>
            <w:vAlign w:val="bottom"/>
            <w:hideMark/>
          </w:tcPr>
          <w:p w14:paraId="4A46A25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2CF0C46"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C168809" w14:textId="77777777" w:rsidR="00000000" w:rsidRDefault="00527094">
            <w:pPr>
              <w:pStyle w:val="a3"/>
              <w:spacing w:before="0" w:beforeAutospacing="0" w:after="0" w:afterAutospacing="0"/>
              <w:jc w:val="right"/>
              <w:rPr>
                <w:sz w:val="20"/>
                <w:szCs w:val="20"/>
              </w:rPr>
            </w:pPr>
            <w:r>
              <w:rPr>
                <w:b/>
                <w:bCs/>
                <w:sz w:val="20"/>
                <w:szCs w:val="20"/>
              </w:rPr>
              <w:t xml:space="preserve">% of Gross </w:t>
            </w:r>
          </w:p>
          <w:p w14:paraId="776D9A5B" w14:textId="77777777" w:rsidR="00000000" w:rsidRDefault="00527094">
            <w:pPr>
              <w:pStyle w:val="a3"/>
              <w:spacing w:before="0" w:beforeAutospacing="0" w:after="0" w:afterAutospacing="0"/>
              <w:jc w:val="right"/>
              <w:rPr>
                <w:sz w:val="20"/>
                <w:szCs w:val="20"/>
              </w:rPr>
            </w:pPr>
            <w:r>
              <w:rPr>
                <w:b/>
                <w:bCs/>
                <w:sz w:val="20"/>
                <w:szCs w:val="20"/>
              </w:rPr>
              <w:t>Annual Rent</w:t>
            </w:r>
          </w:p>
        </w:tc>
        <w:tc>
          <w:tcPr>
            <w:tcW w:w="0" w:type="auto"/>
            <w:tcMar>
              <w:top w:w="0" w:type="dxa"/>
              <w:left w:w="0" w:type="dxa"/>
              <w:bottom w:w="15" w:type="dxa"/>
              <w:right w:w="0" w:type="dxa"/>
            </w:tcMar>
            <w:vAlign w:val="bottom"/>
            <w:hideMark/>
          </w:tcPr>
          <w:p w14:paraId="42C79423" w14:textId="77777777" w:rsidR="00000000" w:rsidRDefault="00527094">
            <w:pPr>
              <w:rPr>
                <w:rFonts w:eastAsia="Times New Roman"/>
                <w:sz w:val="20"/>
                <w:szCs w:val="20"/>
              </w:rPr>
            </w:pPr>
            <w:r>
              <w:rPr>
                <w:rFonts w:eastAsia="Times New Roman"/>
                <w:sz w:val="20"/>
                <w:szCs w:val="20"/>
              </w:rPr>
              <w:t> </w:t>
            </w:r>
          </w:p>
        </w:tc>
      </w:tr>
      <w:tr w:rsidR="00000000" w14:paraId="286084D4" w14:textId="77777777">
        <w:trPr>
          <w:tblCellSpacing w:w="0" w:type="dxa"/>
        </w:trPr>
        <w:tc>
          <w:tcPr>
            <w:tcW w:w="550" w:type="pct"/>
            <w:shd w:val="clear" w:color="auto" w:fill="CCEEFF"/>
            <w:vAlign w:val="bottom"/>
            <w:hideMark/>
          </w:tcPr>
          <w:p w14:paraId="5398011E" w14:textId="77777777" w:rsidR="00000000" w:rsidRDefault="00527094">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096FCB05"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0CC409B"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6D74037" w14:textId="77777777" w:rsidR="00000000" w:rsidRDefault="00527094">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14:paraId="1AC769E1" w14:textId="77777777" w:rsidR="00000000" w:rsidRDefault="00527094">
            <w:pPr>
              <w:ind w:left="176"/>
              <w:jc w:val="center"/>
              <w:rPr>
                <w:rFonts w:eastAsia="Times New Roman"/>
                <w:sz w:val="20"/>
                <w:szCs w:val="20"/>
              </w:rPr>
            </w:pPr>
            <w:r>
              <w:rPr>
                <w:rFonts w:eastAsia="Times New Roman"/>
                <w:sz w:val="20"/>
                <w:szCs w:val="20"/>
              </w:rPr>
              <w:t>152</w:t>
            </w:r>
          </w:p>
        </w:tc>
        <w:tc>
          <w:tcPr>
            <w:tcW w:w="50" w:type="pct"/>
            <w:tcBorders>
              <w:bottom w:val="nil"/>
            </w:tcBorders>
            <w:shd w:val="clear" w:color="auto" w:fill="CCEEFF"/>
            <w:vAlign w:val="bottom"/>
            <w:hideMark/>
          </w:tcPr>
          <w:p w14:paraId="6F35A5C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8263A67"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D9B83B7" w14:textId="77777777" w:rsidR="00000000" w:rsidRDefault="00527094">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14:paraId="0218FEE4" w14:textId="77777777" w:rsidR="00000000" w:rsidRDefault="00527094">
            <w:pPr>
              <w:ind w:left="176"/>
              <w:jc w:val="center"/>
              <w:rPr>
                <w:rFonts w:eastAsia="Times New Roman"/>
                <w:sz w:val="20"/>
                <w:szCs w:val="20"/>
              </w:rPr>
            </w:pPr>
            <w:r>
              <w:rPr>
                <w:rFonts w:eastAsia="Times New Roman"/>
                <w:sz w:val="20"/>
                <w:szCs w:val="20"/>
              </w:rPr>
              <w:t>368</w:t>
            </w:r>
          </w:p>
        </w:tc>
        <w:tc>
          <w:tcPr>
            <w:tcW w:w="50" w:type="pct"/>
            <w:tcBorders>
              <w:bottom w:val="nil"/>
            </w:tcBorders>
            <w:shd w:val="clear" w:color="auto" w:fill="CCEEFF"/>
            <w:vAlign w:val="bottom"/>
            <w:hideMark/>
          </w:tcPr>
          <w:p w14:paraId="13F72A9A"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C2A0B26"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3FA79EF" w14:textId="77777777" w:rsidR="00000000" w:rsidRDefault="00527094">
            <w:pPr>
              <w:ind w:left="176"/>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7B24AA73" w14:textId="77777777" w:rsidR="00000000" w:rsidRDefault="00527094">
            <w:pPr>
              <w:ind w:left="176"/>
              <w:jc w:val="right"/>
              <w:rPr>
                <w:rFonts w:eastAsia="Times New Roman"/>
                <w:sz w:val="20"/>
                <w:szCs w:val="20"/>
              </w:rPr>
            </w:pPr>
            <w:r>
              <w:rPr>
                <w:rFonts w:eastAsia="Times New Roman"/>
                <w:sz w:val="20"/>
                <w:szCs w:val="20"/>
              </w:rPr>
              <w:t>8,890</w:t>
            </w:r>
          </w:p>
        </w:tc>
        <w:tc>
          <w:tcPr>
            <w:tcW w:w="50" w:type="pct"/>
            <w:tcBorders>
              <w:bottom w:val="nil"/>
            </w:tcBorders>
            <w:shd w:val="clear" w:color="auto" w:fill="CCEEFF"/>
            <w:vAlign w:val="bottom"/>
            <w:hideMark/>
          </w:tcPr>
          <w:p w14:paraId="48ABFBCE"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8E7FBC2" w14:textId="77777777" w:rsidR="00000000" w:rsidRDefault="0052709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6B206DC" w14:textId="77777777" w:rsidR="00000000" w:rsidRDefault="00527094">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14:paraId="36BE0768" w14:textId="77777777" w:rsidR="00000000" w:rsidRDefault="00527094">
            <w:pPr>
              <w:ind w:left="176"/>
              <w:jc w:val="right"/>
              <w:rPr>
                <w:rFonts w:eastAsia="Times New Roman"/>
                <w:sz w:val="20"/>
                <w:szCs w:val="20"/>
              </w:rPr>
            </w:pPr>
            <w:r>
              <w:rPr>
                <w:rFonts w:eastAsia="Times New Roman"/>
                <w:sz w:val="20"/>
                <w:szCs w:val="20"/>
              </w:rPr>
              <w:t>1.1</w:t>
            </w:r>
          </w:p>
        </w:tc>
        <w:tc>
          <w:tcPr>
            <w:tcW w:w="50" w:type="pct"/>
            <w:tcBorders>
              <w:bottom w:val="nil"/>
            </w:tcBorders>
            <w:shd w:val="clear" w:color="auto" w:fill="CCEEFF"/>
            <w:vAlign w:val="bottom"/>
            <w:hideMark/>
          </w:tcPr>
          <w:p w14:paraId="332EE052" w14:textId="77777777" w:rsidR="00000000" w:rsidRDefault="00527094">
            <w:pPr>
              <w:pStyle w:val="a3"/>
              <w:spacing w:before="0" w:beforeAutospacing="0" w:after="0" w:afterAutospacing="0"/>
              <w:rPr>
                <w:sz w:val="20"/>
                <w:szCs w:val="20"/>
              </w:rPr>
            </w:pPr>
            <w:r>
              <w:rPr>
                <w:sz w:val="20"/>
                <w:szCs w:val="20"/>
              </w:rPr>
              <w:t>%</w:t>
            </w:r>
          </w:p>
        </w:tc>
      </w:tr>
      <w:tr w:rsidR="00000000" w14:paraId="22B1F1CB" w14:textId="77777777">
        <w:trPr>
          <w:tblCellSpacing w:w="0" w:type="dxa"/>
        </w:trPr>
        <w:tc>
          <w:tcPr>
            <w:tcW w:w="0" w:type="auto"/>
            <w:shd w:val="clear" w:color="auto" w:fill="FFFFFF"/>
            <w:vAlign w:val="bottom"/>
            <w:hideMark/>
          </w:tcPr>
          <w:p w14:paraId="19D48718" w14:textId="77777777" w:rsidR="00000000" w:rsidRDefault="00527094">
            <w:pPr>
              <w:pStyle w:val="a3"/>
              <w:spacing w:before="0" w:beforeAutospacing="0" w:after="0" w:afterAutospacing="0"/>
              <w:ind w:left="352" w:hanging="176"/>
              <w:jc w:val="center"/>
              <w:rPr>
                <w:sz w:val="20"/>
                <w:szCs w:val="20"/>
              </w:rPr>
            </w:pPr>
            <w:r>
              <w:rPr>
                <w:sz w:val="20"/>
                <w:szCs w:val="20"/>
              </w:rPr>
              <w:t>2019</w:t>
            </w:r>
          </w:p>
        </w:tc>
        <w:tc>
          <w:tcPr>
            <w:tcW w:w="0" w:type="auto"/>
            <w:shd w:val="clear" w:color="auto" w:fill="FFFFFF"/>
            <w:vAlign w:val="bottom"/>
            <w:hideMark/>
          </w:tcPr>
          <w:p w14:paraId="094F618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5D98F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C3020B"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E323B8E" w14:textId="77777777" w:rsidR="00000000" w:rsidRDefault="00527094">
            <w:pPr>
              <w:ind w:left="176"/>
              <w:jc w:val="center"/>
              <w:rPr>
                <w:rFonts w:eastAsia="Times New Roman"/>
                <w:sz w:val="20"/>
                <w:szCs w:val="20"/>
              </w:rPr>
            </w:pPr>
            <w:r>
              <w:rPr>
                <w:rFonts w:eastAsia="Times New Roman"/>
                <w:sz w:val="20"/>
                <w:szCs w:val="20"/>
              </w:rPr>
              <w:t>212</w:t>
            </w:r>
          </w:p>
        </w:tc>
        <w:tc>
          <w:tcPr>
            <w:tcW w:w="50" w:type="pct"/>
            <w:shd w:val="clear" w:color="auto" w:fill="FFFFFF"/>
            <w:vAlign w:val="bottom"/>
            <w:hideMark/>
          </w:tcPr>
          <w:p w14:paraId="6823B57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F4777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97A151"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191463CA" w14:textId="77777777" w:rsidR="00000000" w:rsidRDefault="00527094">
            <w:pPr>
              <w:ind w:left="176"/>
              <w:jc w:val="center"/>
              <w:rPr>
                <w:rFonts w:eastAsia="Times New Roman"/>
                <w:sz w:val="20"/>
                <w:szCs w:val="20"/>
              </w:rPr>
            </w:pPr>
            <w:r>
              <w:rPr>
                <w:rFonts w:eastAsia="Times New Roman"/>
                <w:sz w:val="20"/>
                <w:szCs w:val="20"/>
              </w:rPr>
              <w:t>1,040</w:t>
            </w:r>
          </w:p>
        </w:tc>
        <w:tc>
          <w:tcPr>
            <w:tcW w:w="50" w:type="pct"/>
            <w:shd w:val="clear" w:color="auto" w:fill="FFFFFF"/>
            <w:vAlign w:val="bottom"/>
            <w:hideMark/>
          </w:tcPr>
          <w:p w14:paraId="3E44FB2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64A91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B6C219"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5D411983" w14:textId="77777777" w:rsidR="00000000" w:rsidRDefault="00527094">
            <w:pPr>
              <w:ind w:left="176"/>
              <w:jc w:val="right"/>
              <w:rPr>
                <w:rFonts w:eastAsia="Times New Roman"/>
                <w:sz w:val="20"/>
                <w:szCs w:val="20"/>
              </w:rPr>
            </w:pPr>
            <w:r>
              <w:rPr>
                <w:rFonts w:eastAsia="Times New Roman"/>
                <w:sz w:val="20"/>
                <w:szCs w:val="20"/>
              </w:rPr>
              <w:t>19,648</w:t>
            </w:r>
          </w:p>
        </w:tc>
        <w:tc>
          <w:tcPr>
            <w:tcW w:w="50" w:type="pct"/>
            <w:shd w:val="clear" w:color="auto" w:fill="FFFFFF"/>
            <w:vAlign w:val="bottom"/>
            <w:hideMark/>
          </w:tcPr>
          <w:p w14:paraId="257CAE1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2FEA6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40F5F2"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F280E0C" w14:textId="77777777" w:rsidR="00000000" w:rsidRDefault="00527094">
            <w:pPr>
              <w:ind w:left="176"/>
              <w:jc w:val="right"/>
              <w:rPr>
                <w:rFonts w:eastAsia="Times New Roman"/>
                <w:sz w:val="20"/>
                <w:szCs w:val="20"/>
              </w:rPr>
            </w:pPr>
            <w:r>
              <w:rPr>
                <w:rFonts w:eastAsia="Times New Roman"/>
                <w:sz w:val="20"/>
                <w:szCs w:val="20"/>
              </w:rPr>
              <w:t>2.4</w:t>
            </w:r>
          </w:p>
        </w:tc>
        <w:tc>
          <w:tcPr>
            <w:tcW w:w="50" w:type="pct"/>
            <w:shd w:val="clear" w:color="auto" w:fill="FFFFFF"/>
            <w:vAlign w:val="bottom"/>
            <w:hideMark/>
          </w:tcPr>
          <w:p w14:paraId="2EAFA0A0" w14:textId="77777777" w:rsidR="00000000" w:rsidRDefault="00527094">
            <w:pPr>
              <w:pStyle w:val="a3"/>
              <w:spacing w:before="0" w:beforeAutospacing="0" w:after="0" w:afterAutospacing="0"/>
              <w:rPr>
                <w:sz w:val="20"/>
                <w:szCs w:val="20"/>
              </w:rPr>
            </w:pPr>
            <w:r>
              <w:rPr>
                <w:sz w:val="20"/>
                <w:szCs w:val="20"/>
              </w:rPr>
              <w:t>%</w:t>
            </w:r>
          </w:p>
        </w:tc>
      </w:tr>
      <w:tr w:rsidR="00000000" w14:paraId="7C90951C" w14:textId="77777777">
        <w:trPr>
          <w:tblCellSpacing w:w="0" w:type="dxa"/>
        </w:trPr>
        <w:tc>
          <w:tcPr>
            <w:tcW w:w="0" w:type="auto"/>
            <w:shd w:val="clear" w:color="auto" w:fill="CCEEFF"/>
            <w:vAlign w:val="bottom"/>
            <w:hideMark/>
          </w:tcPr>
          <w:p w14:paraId="1F95C028" w14:textId="77777777" w:rsidR="00000000" w:rsidRDefault="00527094">
            <w:pPr>
              <w:pStyle w:val="a3"/>
              <w:spacing w:before="0" w:beforeAutospacing="0" w:after="0" w:afterAutospacing="0"/>
              <w:ind w:left="352" w:hanging="176"/>
              <w:jc w:val="center"/>
              <w:rPr>
                <w:sz w:val="20"/>
                <w:szCs w:val="20"/>
              </w:rPr>
            </w:pPr>
            <w:r>
              <w:rPr>
                <w:sz w:val="20"/>
                <w:szCs w:val="20"/>
              </w:rPr>
              <w:t>2020</w:t>
            </w:r>
          </w:p>
        </w:tc>
        <w:tc>
          <w:tcPr>
            <w:tcW w:w="0" w:type="auto"/>
            <w:shd w:val="clear" w:color="auto" w:fill="CCEEFF"/>
            <w:vAlign w:val="bottom"/>
            <w:hideMark/>
          </w:tcPr>
          <w:p w14:paraId="4EF975F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2FE18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C76A6"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090A064" w14:textId="77777777" w:rsidR="00000000" w:rsidRDefault="00527094">
            <w:pPr>
              <w:ind w:left="176"/>
              <w:jc w:val="center"/>
              <w:rPr>
                <w:rFonts w:eastAsia="Times New Roman"/>
                <w:sz w:val="20"/>
                <w:szCs w:val="20"/>
              </w:rPr>
            </w:pPr>
            <w:r>
              <w:rPr>
                <w:rFonts w:eastAsia="Times New Roman"/>
                <w:sz w:val="20"/>
                <w:szCs w:val="20"/>
              </w:rPr>
              <w:t>724</w:t>
            </w:r>
          </w:p>
        </w:tc>
        <w:tc>
          <w:tcPr>
            <w:tcW w:w="50" w:type="pct"/>
            <w:shd w:val="clear" w:color="auto" w:fill="CCEEFF"/>
            <w:vAlign w:val="bottom"/>
            <w:hideMark/>
          </w:tcPr>
          <w:p w14:paraId="4765C6F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8EB2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6D07FB"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0D80EE9" w14:textId="77777777" w:rsidR="00000000" w:rsidRDefault="00527094">
            <w:pPr>
              <w:ind w:left="176"/>
              <w:jc w:val="center"/>
              <w:rPr>
                <w:rFonts w:eastAsia="Times New Roman"/>
                <w:sz w:val="20"/>
                <w:szCs w:val="20"/>
              </w:rPr>
            </w:pPr>
            <w:r>
              <w:rPr>
                <w:rFonts w:eastAsia="Times New Roman"/>
                <w:sz w:val="20"/>
                <w:szCs w:val="20"/>
              </w:rPr>
              <w:t>4,823</w:t>
            </w:r>
          </w:p>
        </w:tc>
        <w:tc>
          <w:tcPr>
            <w:tcW w:w="50" w:type="pct"/>
            <w:shd w:val="clear" w:color="auto" w:fill="CCEEFF"/>
            <w:vAlign w:val="bottom"/>
            <w:hideMark/>
          </w:tcPr>
          <w:p w14:paraId="6BC0DB9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B5B6C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31D8AB"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3151F2EF" w14:textId="77777777" w:rsidR="00000000" w:rsidRDefault="00527094">
            <w:pPr>
              <w:ind w:left="176"/>
              <w:jc w:val="right"/>
              <w:rPr>
                <w:rFonts w:eastAsia="Times New Roman"/>
                <w:sz w:val="20"/>
                <w:szCs w:val="20"/>
              </w:rPr>
            </w:pPr>
            <w:r>
              <w:rPr>
                <w:rFonts w:eastAsia="Times New Roman"/>
                <w:sz w:val="20"/>
                <w:szCs w:val="20"/>
              </w:rPr>
              <w:t>79,790</w:t>
            </w:r>
          </w:p>
        </w:tc>
        <w:tc>
          <w:tcPr>
            <w:tcW w:w="50" w:type="pct"/>
            <w:shd w:val="clear" w:color="auto" w:fill="CCEEFF"/>
            <w:vAlign w:val="bottom"/>
            <w:hideMark/>
          </w:tcPr>
          <w:p w14:paraId="2FE19A5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EB859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71380A"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C7FC267" w14:textId="77777777" w:rsidR="00000000" w:rsidRDefault="00527094">
            <w:pPr>
              <w:ind w:left="176"/>
              <w:jc w:val="right"/>
              <w:rPr>
                <w:rFonts w:eastAsia="Times New Roman"/>
                <w:sz w:val="20"/>
                <w:szCs w:val="20"/>
              </w:rPr>
            </w:pPr>
            <w:r>
              <w:rPr>
                <w:rFonts w:eastAsia="Times New Roman"/>
                <w:sz w:val="20"/>
                <w:szCs w:val="20"/>
              </w:rPr>
              <w:t>9.6</w:t>
            </w:r>
          </w:p>
        </w:tc>
        <w:tc>
          <w:tcPr>
            <w:tcW w:w="50" w:type="pct"/>
            <w:shd w:val="clear" w:color="auto" w:fill="CCEEFF"/>
            <w:vAlign w:val="bottom"/>
            <w:hideMark/>
          </w:tcPr>
          <w:p w14:paraId="4C51E37A" w14:textId="77777777" w:rsidR="00000000" w:rsidRDefault="00527094">
            <w:pPr>
              <w:pStyle w:val="a3"/>
              <w:spacing w:before="0" w:beforeAutospacing="0" w:after="0" w:afterAutospacing="0"/>
              <w:rPr>
                <w:sz w:val="20"/>
                <w:szCs w:val="20"/>
              </w:rPr>
            </w:pPr>
            <w:r>
              <w:rPr>
                <w:sz w:val="20"/>
                <w:szCs w:val="20"/>
              </w:rPr>
              <w:t>%</w:t>
            </w:r>
          </w:p>
        </w:tc>
      </w:tr>
      <w:tr w:rsidR="00000000" w14:paraId="4132770D" w14:textId="77777777">
        <w:trPr>
          <w:tblCellSpacing w:w="0" w:type="dxa"/>
        </w:trPr>
        <w:tc>
          <w:tcPr>
            <w:tcW w:w="0" w:type="auto"/>
            <w:shd w:val="clear" w:color="auto" w:fill="FFFFFF"/>
            <w:vAlign w:val="bottom"/>
            <w:hideMark/>
          </w:tcPr>
          <w:p w14:paraId="51B5528D" w14:textId="77777777" w:rsidR="00000000" w:rsidRDefault="00527094">
            <w:pPr>
              <w:pStyle w:val="a3"/>
              <w:spacing w:before="0" w:beforeAutospacing="0" w:after="0" w:afterAutospacing="0"/>
              <w:ind w:left="352" w:hanging="176"/>
              <w:jc w:val="center"/>
              <w:rPr>
                <w:sz w:val="20"/>
                <w:szCs w:val="20"/>
              </w:rPr>
            </w:pPr>
            <w:r>
              <w:rPr>
                <w:sz w:val="20"/>
                <w:szCs w:val="20"/>
              </w:rPr>
              <w:t>2021</w:t>
            </w:r>
          </w:p>
        </w:tc>
        <w:tc>
          <w:tcPr>
            <w:tcW w:w="0" w:type="auto"/>
            <w:shd w:val="clear" w:color="auto" w:fill="FFFFFF"/>
            <w:vAlign w:val="bottom"/>
            <w:hideMark/>
          </w:tcPr>
          <w:p w14:paraId="342CBCF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5A567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B36A3F"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1CFFBF04" w14:textId="77777777" w:rsidR="00000000" w:rsidRDefault="00527094">
            <w:pPr>
              <w:ind w:left="176"/>
              <w:jc w:val="center"/>
              <w:rPr>
                <w:rFonts w:eastAsia="Times New Roman"/>
                <w:sz w:val="20"/>
                <w:szCs w:val="20"/>
              </w:rPr>
            </w:pPr>
            <w:r>
              <w:rPr>
                <w:rFonts w:eastAsia="Times New Roman"/>
                <w:sz w:val="20"/>
                <w:szCs w:val="20"/>
              </w:rPr>
              <w:t>778</w:t>
            </w:r>
          </w:p>
        </w:tc>
        <w:tc>
          <w:tcPr>
            <w:tcW w:w="50" w:type="pct"/>
            <w:shd w:val="clear" w:color="auto" w:fill="FFFFFF"/>
            <w:vAlign w:val="bottom"/>
            <w:hideMark/>
          </w:tcPr>
          <w:p w14:paraId="1A4FC4E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41EAE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DE3620"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FCF5406" w14:textId="77777777" w:rsidR="00000000" w:rsidRDefault="00527094">
            <w:pPr>
              <w:ind w:left="176"/>
              <w:jc w:val="center"/>
              <w:rPr>
                <w:rFonts w:eastAsia="Times New Roman"/>
                <w:sz w:val="20"/>
                <w:szCs w:val="20"/>
              </w:rPr>
            </w:pPr>
            <w:r>
              <w:rPr>
                <w:rFonts w:eastAsia="Times New Roman"/>
                <w:sz w:val="20"/>
                <w:szCs w:val="20"/>
              </w:rPr>
              <w:t>5,979</w:t>
            </w:r>
          </w:p>
        </w:tc>
        <w:tc>
          <w:tcPr>
            <w:tcW w:w="50" w:type="pct"/>
            <w:shd w:val="clear" w:color="auto" w:fill="FFFFFF"/>
            <w:vAlign w:val="bottom"/>
            <w:hideMark/>
          </w:tcPr>
          <w:p w14:paraId="2FD74CC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A9965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FA0B03"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40851F92" w14:textId="77777777" w:rsidR="00000000" w:rsidRDefault="00527094">
            <w:pPr>
              <w:ind w:left="176"/>
              <w:jc w:val="right"/>
              <w:rPr>
                <w:rFonts w:eastAsia="Times New Roman"/>
                <w:sz w:val="20"/>
                <w:szCs w:val="20"/>
              </w:rPr>
            </w:pPr>
            <w:r>
              <w:rPr>
                <w:rFonts w:eastAsia="Times New Roman"/>
                <w:sz w:val="20"/>
                <w:szCs w:val="20"/>
              </w:rPr>
              <w:t>92,362</w:t>
            </w:r>
          </w:p>
        </w:tc>
        <w:tc>
          <w:tcPr>
            <w:tcW w:w="50" w:type="pct"/>
            <w:shd w:val="clear" w:color="auto" w:fill="FFFFFF"/>
            <w:vAlign w:val="bottom"/>
            <w:hideMark/>
          </w:tcPr>
          <w:p w14:paraId="4E1907B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49017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CA2F36"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F82038E" w14:textId="77777777" w:rsidR="00000000" w:rsidRDefault="00527094">
            <w:pPr>
              <w:ind w:left="176"/>
              <w:jc w:val="right"/>
              <w:rPr>
                <w:rFonts w:eastAsia="Times New Roman"/>
                <w:sz w:val="20"/>
                <w:szCs w:val="20"/>
              </w:rPr>
            </w:pPr>
            <w:r>
              <w:rPr>
                <w:rFonts w:eastAsia="Times New Roman"/>
                <w:sz w:val="20"/>
                <w:szCs w:val="20"/>
              </w:rPr>
              <w:t>11.1</w:t>
            </w:r>
          </w:p>
        </w:tc>
        <w:tc>
          <w:tcPr>
            <w:tcW w:w="50" w:type="pct"/>
            <w:shd w:val="clear" w:color="auto" w:fill="FFFFFF"/>
            <w:vAlign w:val="bottom"/>
            <w:hideMark/>
          </w:tcPr>
          <w:p w14:paraId="19CF4FBB" w14:textId="77777777" w:rsidR="00000000" w:rsidRDefault="00527094">
            <w:pPr>
              <w:pStyle w:val="a3"/>
              <w:spacing w:before="0" w:beforeAutospacing="0" w:after="0" w:afterAutospacing="0"/>
              <w:rPr>
                <w:sz w:val="20"/>
                <w:szCs w:val="20"/>
              </w:rPr>
            </w:pPr>
            <w:r>
              <w:rPr>
                <w:sz w:val="20"/>
                <w:szCs w:val="20"/>
              </w:rPr>
              <w:t>%</w:t>
            </w:r>
          </w:p>
        </w:tc>
      </w:tr>
      <w:tr w:rsidR="00000000" w14:paraId="0B154412" w14:textId="77777777">
        <w:trPr>
          <w:tblCellSpacing w:w="0" w:type="dxa"/>
        </w:trPr>
        <w:tc>
          <w:tcPr>
            <w:tcW w:w="0" w:type="auto"/>
            <w:shd w:val="clear" w:color="auto" w:fill="CCEEFF"/>
            <w:vAlign w:val="bottom"/>
            <w:hideMark/>
          </w:tcPr>
          <w:p w14:paraId="480DF774" w14:textId="77777777" w:rsidR="00000000" w:rsidRDefault="00527094">
            <w:pPr>
              <w:pStyle w:val="a3"/>
              <w:spacing w:before="0" w:beforeAutospacing="0" w:after="0" w:afterAutospacing="0"/>
              <w:ind w:left="352" w:hanging="176"/>
              <w:jc w:val="center"/>
              <w:rPr>
                <w:sz w:val="20"/>
                <w:szCs w:val="20"/>
              </w:rPr>
            </w:pPr>
            <w:r>
              <w:rPr>
                <w:sz w:val="20"/>
                <w:szCs w:val="20"/>
              </w:rPr>
              <w:t>2022</w:t>
            </w:r>
          </w:p>
        </w:tc>
        <w:tc>
          <w:tcPr>
            <w:tcW w:w="0" w:type="auto"/>
            <w:shd w:val="clear" w:color="auto" w:fill="CCEEFF"/>
            <w:vAlign w:val="bottom"/>
            <w:hideMark/>
          </w:tcPr>
          <w:p w14:paraId="5ADAECC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BADE7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F485D1"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41BE8AED" w14:textId="77777777" w:rsidR="00000000" w:rsidRDefault="00527094">
            <w:pPr>
              <w:ind w:left="176"/>
              <w:jc w:val="center"/>
              <w:rPr>
                <w:rFonts w:eastAsia="Times New Roman"/>
                <w:sz w:val="20"/>
                <w:szCs w:val="20"/>
              </w:rPr>
            </w:pPr>
            <w:r>
              <w:rPr>
                <w:rFonts w:eastAsia="Times New Roman"/>
                <w:sz w:val="20"/>
                <w:szCs w:val="20"/>
              </w:rPr>
              <w:t>826</w:t>
            </w:r>
          </w:p>
        </w:tc>
        <w:tc>
          <w:tcPr>
            <w:tcW w:w="50" w:type="pct"/>
            <w:shd w:val="clear" w:color="auto" w:fill="CCEEFF"/>
            <w:vAlign w:val="bottom"/>
            <w:hideMark/>
          </w:tcPr>
          <w:p w14:paraId="45E4846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B9641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4201C0"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04A0774" w14:textId="77777777" w:rsidR="00000000" w:rsidRDefault="00527094">
            <w:pPr>
              <w:ind w:left="176"/>
              <w:jc w:val="center"/>
              <w:rPr>
                <w:rFonts w:eastAsia="Times New Roman"/>
                <w:sz w:val="20"/>
                <w:szCs w:val="20"/>
              </w:rPr>
            </w:pPr>
            <w:r>
              <w:rPr>
                <w:rFonts w:eastAsia="Times New Roman"/>
                <w:sz w:val="20"/>
                <w:szCs w:val="20"/>
              </w:rPr>
              <w:t>6,067</w:t>
            </w:r>
          </w:p>
        </w:tc>
        <w:tc>
          <w:tcPr>
            <w:tcW w:w="50" w:type="pct"/>
            <w:shd w:val="clear" w:color="auto" w:fill="CCEEFF"/>
            <w:vAlign w:val="bottom"/>
            <w:hideMark/>
          </w:tcPr>
          <w:p w14:paraId="230CCBC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F2549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A38FF4"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18D6437B" w14:textId="77777777" w:rsidR="00000000" w:rsidRDefault="00527094">
            <w:pPr>
              <w:ind w:left="176"/>
              <w:jc w:val="right"/>
              <w:rPr>
                <w:rFonts w:eastAsia="Times New Roman"/>
                <w:sz w:val="20"/>
                <w:szCs w:val="20"/>
              </w:rPr>
            </w:pPr>
            <w:r>
              <w:rPr>
                <w:rFonts w:eastAsia="Times New Roman"/>
                <w:sz w:val="20"/>
                <w:szCs w:val="20"/>
              </w:rPr>
              <w:t>103,613</w:t>
            </w:r>
          </w:p>
        </w:tc>
        <w:tc>
          <w:tcPr>
            <w:tcW w:w="50" w:type="pct"/>
            <w:shd w:val="clear" w:color="auto" w:fill="CCEEFF"/>
            <w:vAlign w:val="bottom"/>
            <w:hideMark/>
          </w:tcPr>
          <w:p w14:paraId="6EE7963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7B396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5570CB"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FD4EFD1" w14:textId="77777777" w:rsidR="00000000" w:rsidRDefault="00527094">
            <w:pPr>
              <w:ind w:left="176"/>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14:paraId="4700F71F" w14:textId="77777777" w:rsidR="00000000" w:rsidRDefault="00527094">
            <w:pPr>
              <w:pStyle w:val="a3"/>
              <w:spacing w:before="0" w:beforeAutospacing="0" w:after="0" w:afterAutospacing="0"/>
              <w:rPr>
                <w:sz w:val="20"/>
                <w:szCs w:val="20"/>
              </w:rPr>
            </w:pPr>
            <w:r>
              <w:rPr>
                <w:sz w:val="20"/>
                <w:szCs w:val="20"/>
              </w:rPr>
              <w:t>%</w:t>
            </w:r>
          </w:p>
        </w:tc>
      </w:tr>
      <w:tr w:rsidR="00000000" w14:paraId="0090C5E3" w14:textId="77777777">
        <w:trPr>
          <w:tblCellSpacing w:w="0" w:type="dxa"/>
        </w:trPr>
        <w:tc>
          <w:tcPr>
            <w:tcW w:w="0" w:type="auto"/>
            <w:shd w:val="clear" w:color="auto" w:fill="FFFFFF"/>
            <w:vAlign w:val="bottom"/>
            <w:hideMark/>
          </w:tcPr>
          <w:p w14:paraId="49E117EB" w14:textId="77777777" w:rsidR="00000000" w:rsidRDefault="00527094">
            <w:pPr>
              <w:pStyle w:val="a3"/>
              <w:spacing w:before="0" w:beforeAutospacing="0" w:after="0" w:afterAutospacing="0"/>
              <w:ind w:left="352" w:hanging="176"/>
              <w:jc w:val="center"/>
              <w:rPr>
                <w:sz w:val="20"/>
                <w:szCs w:val="20"/>
              </w:rPr>
            </w:pPr>
            <w:r>
              <w:rPr>
                <w:sz w:val="20"/>
                <w:szCs w:val="20"/>
              </w:rPr>
              <w:t>2023</w:t>
            </w:r>
          </w:p>
        </w:tc>
        <w:tc>
          <w:tcPr>
            <w:tcW w:w="0" w:type="auto"/>
            <w:shd w:val="clear" w:color="auto" w:fill="FFFFFF"/>
            <w:vAlign w:val="bottom"/>
            <w:hideMark/>
          </w:tcPr>
          <w:p w14:paraId="5B5F60B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0F59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D91800"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B7A99A1" w14:textId="77777777" w:rsidR="00000000" w:rsidRDefault="00527094">
            <w:pPr>
              <w:ind w:left="176"/>
              <w:jc w:val="center"/>
              <w:rPr>
                <w:rFonts w:eastAsia="Times New Roman"/>
                <w:sz w:val="20"/>
                <w:szCs w:val="20"/>
              </w:rPr>
            </w:pPr>
            <w:r>
              <w:rPr>
                <w:rFonts w:eastAsia="Times New Roman"/>
                <w:sz w:val="20"/>
                <w:szCs w:val="20"/>
              </w:rPr>
              <w:t>739</w:t>
            </w:r>
          </w:p>
        </w:tc>
        <w:tc>
          <w:tcPr>
            <w:tcW w:w="50" w:type="pct"/>
            <w:shd w:val="clear" w:color="auto" w:fill="FFFFFF"/>
            <w:vAlign w:val="bottom"/>
            <w:hideMark/>
          </w:tcPr>
          <w:p w14:paraId="5964A95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C0CE7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BD61A1"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0C573263" w14:textId="77777777" w:rsidR="00000000" w:rsidRDefault="00527094">
            <w:pPr>
              <w:ind w:left="176"/>
              <w:jc w:val="center"/>
              <w:rPr>
                <w:rFonts w:eastAsia="Times New Roman"/>
                <w:sz w:val="20"/>
                <w:szCs w:val="20"/>
              </w:rPr>
            </w:pPr>
            <w:r>
              <w:rPr>
                <w:rFonts w:eastAsia="Times New Roman"/>
                <w:sz w:val="20"/>
                <w:szCs w:val="20"/>
              </w:rPr>
              <w:t>5,985</w:t>
            </w:r>
          </w:p>
        </w:tc>
        <w:tc>
          <w:tcPr>
            <w:tcW w:w="50" w:type="pct"/>
            <w:shd w:val="clear" w:color="auto" w:fill="FFFFFF"/>
            <w:vAlign w:val="bottom"/>
            <w:hideMark/>
          </w:tcPr>
          <w:p w14:paraId="0834ABB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ACB50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AA42DB"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09D3BFED" w14:textId="77777777" w:rsidR="00000000" w:rsidRDefault="00527094">
            <w:pPr>
              <w:ind w:left="176"/>
              <w:jc w:val="right"/>
              <w:rPr>
                <w:rFonts w:eastAsia="Times New Roman"/>
                <w:sz w:val="20"/>
                <w:szCs w:val="20"/>
              </w:rPr>
            </w:pPr>
            <w:r>
              <w:rPr>
                <w:rFonts w:eastAsia="Times New Roman"/>
                <w:sz w:val="20"/>
                <w:szCs w:val="20"/>
              </w:rPr>
              <w:t>101,506</w:t>
            </w:r>
          </w:p>
        </w:tc>
        <w:tc>
          <w:tcPr>
            <w:tcW w:w="50" w:type="pct"/>
            <w:shd w:val="clear" w:color="auto" w:fill="FFFFFF"/>
            <w:vAlign w:val="bottom"/>
            <w:hideMark/>
          </w:tcPr>
          <w:p w14:paraId="1B769DF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625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200E60"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7D43198" w14:textId="77777777" w:rsidR="00000000" w:rsidRDefault="00527094">
            <w:pPr>
              <w:ind w:left="176"/>
              <w:jc w:val="right"/>
              <w:rPr>
                <w:rFonts w:eastAsia="Times New Roman"/>
                <w:sz w:val="20"/>
                <w:szCs w:val="20"/>
              </w:rPr>
            </w:pPr>
            <w:r>
              <w:rPr>
                <w:rFonts w:eastAsia="Times New Roman"/>
                <w:sz w:val="20"/>
                <w:szCs w:val="20"/>
              </w:rPr>
              <w:t>12.3</w:t>
            </w:r>
          </w:p>
        </w:tc>
        <w:tc>
          <w:tcPr>
            <w:tcW w:w="50" w:type="pct"/>
            <w:shd w:val="clear" w:color="auto" w:fill="FFFFFF"/>
            <w:vAlign w:val="bottom"/>
            <w:hideMark/>
          </w:tcPr>
          <w:p w14:paraId="527F8150" w14:textId="77777777" w:rsidR="00000000" w:rsidRDefault="00527094">
            <w:pPr>
              <w:pStyle w:val="a3"/>
              <w:spacing w:before="0" w:beforeAutospacing="0" w:after="0" w:afterAutospacing="0"/>
              <w:rPr>
                <w:sz w:val="20"/>
                <w:szCs w:val="20"/>
              </w:rPr>
            </w:pPr>
            <w:r>
              <w:rPr>
                <w:sz w:val="20"/>
                <w:szCs w:val="20"/>
              </w:rPr>
              <w:t>%</w:t>
            </w:r>
          </w:p>
        </w:tc>
      </w:tr>
      <w:tr w:rsidR="00000000" w14:paraId="1261DFB7" w14:textId="77777777">
        <w:trPr>
          <w:tblCellSpacing w:w="0" w:type="dxa"/>
        </w:trPr>
        <w:tc>
          <w:tcPr>
            <w:tcW w:w="0" w:type="auto"/>
            <w:shd w:val="clear" w:color="auto" w:fill="CCEEFF"/>
            <w:vAlign w:val="bottom"/>
            <w:hideMark/>
          </w:tcPr>
          <w:p w14:paraId="4D04578D" w14:textId="77777777" w:rsidR="00000000" w:rsidRDefault="00527094">
            <w:pPr>
              <w:pStyle w:val="a3"/>
              <w:spacing w:before="0" w:beforeAutospacing="0" w:after="0" w:afterAutospacing="0"/>
              <w:ind w:left="352" w:hanging="176"/>
              <w:jc w:val="center"/>
              <w:rPr>
                <w:sz w:val="20"/>
                <w:szCs w:val="20"/>
              </w:rPr>
            </w:pPr>
            <w:r>
              <w:rPr>
                <w:sz w:val="20"/>
                <w:szCs w:val="20"/>
              </w:rPr>
              <w:t>2024</w:t>
            </w:r>
          </w:p>
        </w:tc>
        <w:tc>
          <w:tcPr>
            <w:tcW w:w="0" w:type="auto"/>
            <w:shd w:val="clear" w:color="auto" w:fill="CCEEFF"/>
            <w:vAlign w:val="bottom"/>
            <w:hideMark/>
          </w:tcPr>
          <w:p w14:paraId="3A9F9E0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7D73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BAD410"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D6628AD" w14:textId="77777777" w:rsidR="00000000" w:rsidRDefault="00527094">
            <w:pPr>
              <w:ind w:left="176"/>
              <w:jc w:val="center"/>
              <w:rPr>
                <w:rFonts w:eastAsia="Times New Roman"/>
                <w:sz w:val="20"/>
                <w:szCs w:val="20"/>
              </w:rPr>
            </w:pPr>
            <w:r>
              <w:rPr>
                <w:rFonts w:eastAsia="Times New Roman"/>
                <w:sz w:val="20"/>
                <w:szCs w:val="20"/>
              </w:rPr>
              <w:t>607</w:t>
            </w:r>
          </w:p>
        </w:tc>
        <w:tc>
          <w:tcPr>
            <w:tcW w:w="50" w:type="pct"/>
            <w:shd w:val="clear" w:color="auto" w:fill="CCEEFF"/>
            <w:vAlign w:val="bottom"/>
            <w:hideMark/>
          </w:tcPr>
          <w:p w14:paraId="33335D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A60D5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5B3CDF"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43ADE34" w14:textId="77777777" w:rsidR="00000000" w:rsidRDefault="00527094">
            <w:pPr>
              <w:ind w:left="176"/>
              <w:jc w:val="center"/>
              <w:rPr>
                <w:rFonts w:eastAsia="Times New Roman"/>
                <w:sz w:val="20"/>
                <w:szCs w:val="20"/>
              </w:rPr>
            </w:pPr>
            <w:r>
              <w:rPr>
                <w:rFonts w:eastAsia="Times New Roman"/>
                <w:sz w:val="20"/>
                <w:szCs w:val="20"/>
              </w:rPr>
              <w:t>5,308</w:t>
            </w:r>
          </w:p>
        </w:tc>
        <w:tc>
          <w:tcPr>
            <w:tcW w:w="50" w:type="pct"/>
            <w:shd w:val="clear" w:color="auto" w:fill="CCEEFF"/>
            <w:vAlign w:val="bottom"/>
            <w:hideMark/>
          </w:tcPr>
          <w:p w14:paraId="016B244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5C277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6252F1"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0F149AF3" w14:textId="77777777" w:rsidR="00000000" w:rsidRDefault="00527094">
            <w:pPr>
              <w:ind w:left="176"/>
              <w:jc w:val="right"/>
              <w:rPr>
                <w:rFonts w:eastAsia="Times New Roman"/>
                <w:sz w:val="20"/>
                <w:szCs w:val="20"/>
              </w:rPr>
            </w:pPr>
            <w:r>
              <w:rPr>
                <w:rFonts w:eastAsia="Times New Roman"/>
                <w:sz w:val="20"/>
                <w:szCs w:val="20"/>
              </w:rPr>
              <w:t>88,812</w:t>
            </w:r>
          </w:p>
        </w:tc>
        <w:tc>
          <w:tcPr>
            <w:tcW w:w="50" w:type="pct"/>
            <w:shd w:val="clear" w:color="auto" w:fill="CCEEFF"/>
            <w:vAlign w:val="bottom"/>
            <w:hideMark/>
          </w:tcPr>
          <w:p w14:paraId="24891F5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84CDD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DA0C1E"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80FD8A0" w14:textId="77777777" w:rsidR="00000000" w:rsidRDefault="00527094">
            <w:pPr>
              <w:ind w:left="176"/>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14:paraId="12F66A8A" w14:textId="77777777" w:rsidR="00000000" w:rsidRDefault="00527094">
            <w:pPr>
              <w:pStyle w:val="a3"/>
              <w:spacing w:before="0" w:beforeAutospacing="0" w:after="0" w:afterAutospacing="0"/>
              <w:rPr>
                <w:sz w:val="20"/>
                <w:szCs w:val="20"/>
              </w:rPr>
            </w:pPr>
            <w:r>
              <w:rPr>
                <w:sz w:val="20"/>
                <w:szCs w:val="20"/>
              </w:rPr>
              <w:t>%</w:t>
            </w:r>
          </w:p>
        </w:tc>
      </w:tr>
      <w:tr w:rsidR="00000000" w14:paraId="587F083A" w14:textId="77777777">
        <w:trPr>
          <w:tblCellSpacing w:w="0" w:type="dxa"/>
        </w:trPr>
        <w:tc>
          <w:tcPr>
            <w:tcW w:w="0" w:type="auto"/>
            <w:shd w:val="clear" w:color="auto" w:fill="FFFFFF"/>
            <w:vAlign w:val="bottom"/>
            <w:hideMark/>
          </w:tcPr>
          <w:p w14:paraId="4FD03011" w14:textId="77777777" w:rsidR="00000000" w:rsidRDefault="00527094">
            <w:pPr>
              <w:pStyle w:val="a3"/>
              <w:spacing w:before="0" w:beforeAutospacing="0" w:after="0" w:afterAutospacing="0"/>
              <w:ind w:left="352" w:hanging="176"/>
              <w:jc w:val="center"/>
              <w:rPr>
                <w:sz w:val="20"/>
                <w:szCs w:val="20"/>
              </w:rPr>
            </w:pPr>
            <w:r>
              <w:rPr>
                <w:sz w:val="20"/>
                <w:szCs w:val="20"/>
              </w:rPr>
              <w:t>2025</w:t>
            </w:r>
          </w:p>
        </w:tc>
        <w:tc>
          <w:tcPr>
            <w:tcW w:w="0" w:type="auto"/>
            <w:shd w:val="clear" w:color="auto" w:fill="FFFFFF"/>
            <w:vAlign w:val="bottom"/>
            <w:hideMark/>
          </w:tcPr>
          <w:p w14:paraId="00D0EC0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FC431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A725E0"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6064B0C1" w14:textId="77777777" w:rsidR="00000000" w:rsidRDefault="00527094">
            <w:pPr>
              <w:ind w:left="176"/>
              <w:jc w:val="center"/>
              <w:rPr>
                <w:rFonts w:eastAsia="Times New Roman"/>
                <w:sz w:val="20"/>
                <w:szCs w:val="20"/>
              </w:rPr>
            </w:pPr>
            <w:r>
              <w:rPr>
                <w:rFonts w:eastAsia="Times New Roman"/>
                <w:sz w:val="20"/>
                <w:szCs w:val="20"/>
              </w:rPr>
              <w:t>282</w:t>
            </w:r>
          </w:p>
        </w:tc>
        <w:tc>
          <w:tcPr>
            <w:tcW w:w="50" w:type="pct"/>
            <w:shd w:val="clear" w:color="auto" w:fill="FFFFFF"/>
            <w:vAlign w:val="bottom"/>
            <w:hideMark/>
          </w:tcPr>
          <w:p w14:paraId="11DDC6A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1B26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9FCB12"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D3E4696" w14:textId="77777777" w:rsidR="00000000" w:rsidRDefault="00527094">
            <w:pPr>
              <w:ind w:left="176"/>
              <w:jc w:val="center"/>
              <w:rPr>
                <w:rFonts w:eastAsia="Times New Roman"/>
                <w:sz w:val="20"/>
                <w:szCs w:val="20"/>
              </w:rPr>
            </w:pPr>
            <w:r>
              <w:rPr>
                <w:rFonts w:eastAsia="Times New Roman"/>
                <w:sz w:val="20"/>
                <w:szCs w:val="20"/>
              </w:rPr>
              <w:t>2,390</w:t>
            </w:r>
          </w:p>
        </w:tc>
        <w:tc>
          <w:tcPr>
            <w:tcW w:w="50" w:type="pct"/>
            <w:shd w:val="clear" w:color="auto" w:fill="FFFFFF"/>
            <w:vAlign w:val="bottom"/>
            <w:hideMark/>
          </w:tcPr>
          <w:p w14:paraId="4926A23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28E00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276F85"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2CEE0846" w14:textId="77777777" w:rsidR="00000000" w:rsidRDefault="00527094">
            <w:pPr>
              <w:ind w:left="176"/>
              <w:jc w:val="right"/>
              <w:rPr>
                <w:rFonts w:eastAsia="Times New Roman"/>
                <w:sz w:val="20"/>
                <w:szCs w:val="20"/>
              </w:rPr>
            </w:pPr>
            <w:r>
              <w:rPr>
                <w:rFonts w:eastAsia="Times New Roman"/>
                <w:sz w:val="20"/>
                <w:szCs w:val="20"/>
              </w:rPr>
              <w:t>44,133</w:t>
            </w:r>
          </w:p>
        </w:tc>
        <w:tc>
          <w:tcPr>
            <w:tcW w:w="50" w:type="pct"/>
            <w:shd w:val="clear" w:color="auto" w:fill="FFFFFF"/>
            <w:vAlign w:val="bottom"/>
            <w:hideMark/>
          </w:tcPr>
          <w:p w14:paraId="42C03FC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5C2AD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E41049"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E51915E" w14:textId="77777777" w:rsidR="00000000" w:rsidRDefault="00527094">
            <w:pPr>
              <w:ind w:left="176"/>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14:paraId="2A429C9D" w14:textId="77777777" w:rsidR="00000000" w:rsidRDefault="00527094">
            <w:pPr>
              <w:pStyle w:val="a3"/>
              <w:spacing w:before="0" w:beforeAutospacing="0" w:after="0" w:afterAutospacing="0"/>
              <w:rPr>
                <w:sz w:val="20"/>
                <w:szCs w:val="20"/>
              </w:rPr>
            </w:pPr>
            <w:r>
              <w:rPr>
                <w:sz w:val="20"/>
                <w:szCs w:val="20"/>
              </w:rPr>
              <w:t>%</w:t>
            </w:r>
          </w:p>
        </w:tc>
      </w:tr>
      <w:tr w:rsidR="00000000" w14:paraId="00E93696" w14:textId="77777777">
        <w:trPr>
          <w:tblCellSpacing w:w="0" w:type="dxa"/>
        </w:trPr>
        <w:tc>
          <w:tcPr>
            <w:tcW w:w="0" w:type="auto"/>
            <w:shd w:val="clear" w:color="auto" w:fill="CCEEFF"/>
            <w:vAlign w:val="bottom"/>
            <w:hideMark/>
          </w:tcPr>
          <w:p w14:paraId="1C6B8711" w14:textId="77777777" w:rsidR="00000000" w:rsidRDefault="00527094">
            <w:pPr>
              <w:pStyle w:val="a3"/>
              <w:spacing w:before="0" w:beforeAutospacing="0" w:after="0" w:afterAutospacing="0"/>
              <w:ind w:left="352" w:hanging="176"/>
              <w:jc w:val="center"/>
              <w:rPr>
                <w:sz w:val="20"/>
                <w:szCs w:val="20"/>
              </w:rPr>
            </w:pPr>
            <w:r>
              <w:rPr>
                <w:sz w:val="20"/>
                <w:szCs w:val="20"/>
              </w:rPr>
              <w:t>2026</w:t>
            </w:r>
          </w:p>
        </w:tc>
        <w:tc>
          <w:tcPr>
            <w:tcW w:w="0" w:type="auto"/>
            <w:shd w:val="clear" w:color="auto" w:fill="CCEEFF"/>
            <w:vAlign w:val="bottom"/>
            <w:hideMark/>
          </w:tcPr>
          <w:p w14:paraId="6429638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DC0F6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47C8B1"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FEB2C2E" w14:textId="77777777" w:rsidR="00000000" w:rsidRDefault="00527094">
            <w:pPr>
              <w:ind w:left="176"/>
              <w:jc w:val="center"/>
              <w:rPr>
                <w:rFonts w:eastAsia="Times New Roman"/>
                <w:sz w:val="20"/>
                <w:szCs w:val="20"/>
              </w:rPr>
            </w:pPr>
            <w:r>
              <w:rPr>
                <w:rFonts w:eastAsia="Times New Roman"/>
                <w:sz w:val="20"/>
                <w:szCs w:val="20"/>
              </w:rPr>
              <w:t>240</w:t>
            </w:r>
          </w:p>
        </w:tc>
        <w:tc>
          <w:tcPr>
            <w:tcW w:w="50" w:type="pct"/>
            <w:shd w:val="clear" w:color="auto" w:fill="CCEEFF"/>
            <w:vAlign w:val="bottom"/>
            <w:hideMark/>
          </w:tcPr>
          <w:p w14:paraId="6C0AC08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897A8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2F35FB"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A36D864" w14:textId="77777777" w:rsidR="00000000" w:rsidRDefault="00527094">
            <w:pPr>
              <w:ind w:left="176"/>
              <w:jc w:val="center"/>
              <w:rPr>
                <w:rFonts w:eastAsia="Times New Roman"/>
                <w:sz w:val="20"/>
                <w:szCs w:val="20"/>
              </w:rPr>
            </w:pPr>
            <w:r>
              <w:rPr>
                <w:rFonts w:eastAsia="Times New Roman"/>
                <w:sz w:val="20"/>
                <w:szCs w:val="20"/>
              </w:rPr>
              <w:t>3,633</w:t>
            </w:r>
          </w:p>
        </w:tc>
        <w:tc>
          <w:tcPr>
            <w:tcW w:w="50" w:type="pct"/>
            <w:shd w:val="clear" w:color="auto" w:fill="CCEEFF"/>
            <w:vAlign w:val="bottom"/>
            <w:hideMark/>
          </w:tcPr>
          <w:p w14:paraId="6518580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F708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034534"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7182B547" w14:textId="77777777" w:rsidR="00000000" w:rsidRDefault="00527094">
            <w:pPr>
              <w:ind w:left="176"/>
              <w:jc w:val="right"/>
              <w:rPr>
                <w:rFonts w:eastAsia="Times New Roman"/>
                <w:sz w:val="20"/>
                <w:szCs w:val="20"/>
              </w:rPr>
            </w:pPr>
            <w:r>
              <w:rPr>
                <w:rFonts w:eastAsia="Times New Roman"/>
                <w:sz w:val="20"/>
                <w:szCs w:val="20"/>
              </w:rPr>
              <w:t>52,172</w:t>
            </w:r>
          </w:p>
        </w:tc>
        <w:tc>
          <w:tcPr>
            <w:tcW w:w="50" w:type="pct"/>
            <w:shd w:val="clear" w:color="auto" w:fill="CCEEFF"/>
            <w:vAlign w:val="bottom"/>
            <w:hideMark/>
          </w:tcPr>
          <w:p w14:paraId="3E71596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7ED05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0BFF0A"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843DD27" w14:textId="77777777" w:rsidR="00000000" w:rsidRDefault="00527094">
            <w:pPr>
              <w:ind w:left="176"/>
              <w:jc w:val="right"/>
              <w:rPr>
                <w:rFonts w:eastAsia="Times New Roman"/>
                <w:sz w:val="20"/>
                <w:szCs w:val="20"/>
              </w:rPr>
            </w:pPr>
            <w:r>
              <w:rPr>
                <w:rFonts w:eastAsia="Times New Roman"/>
                <w:sz w:val="20"/>
                <w:szCs w:val="20"/>
              </w:rPr>
              <w:t>6.3</w:t>
            </w:r>
          </w:p>
        </w:tc>
        <w:tc>
          <w:tcPr>
            <w:tcW w:w="50" w:type="pct"/>
            <w:shd w:val="clear" w:color="auto" w:fill="CCEEFF"/>
            <w:vAlign w:val="bottom"/>
            <w:hideMark/>
          </w:tcPr>
          <w:p w14:paraId="3E87F5B0" w14:textId="77777777" w:rsidR="00000000" w:rsidRDefault="00527094">
            <w:pPr>
              <w:pStyle w:val="a3"/>
              <w:spacing w:before="0" w:beforeAutospacing="0" w:after="0" w:afterAutospacing="0"/>
              <w:rPr>
                <w:sz w:val="20"/>
                <w:szCs w:val="20"/>
              </w:rPr>
            </w:pPr>
            <w:r>
              <w:rPr>
                <w:sz w:val="20"/>
                <w:szCs w:val="20"/>
              </w:rPr>
              <w:t>%</w:t>
            </w:r>
          </w:p>
        </w:tc>
      </w:tr>
      <w:tr w:rsidR="00000000" w14:paraId="6E5DBCBD" w14:textId="77777777">
        <w:trPr>
          <w:tblCellSpacing w:w="0" w:type="dxa"/>
        </w:trPr>
        <w:tc>
          <w:tcPr>
            <w:tcW w:w="0" w:type="auto"/>
            <w:shd w:val="clear" w:color="auto" w:fill="FFFFFF"/>
            <w:vAlign w:val="bottom"/>
            <w:hideMark/>
          </w:tcPr>
          <w:p w14:paraId="0DDFBD36" w14:textId="77777777" w:rsidR="00000000" w:rsidRDefault="00527094">
            <w:pPr>
              <w:pStyle w:val="a3"/>
              <w:spacing w:before="0" w:beforeAutospacing="0" w:after="0" w:afterAutospacing="0"/>
              <w:ind w:left="352" w:hanging="176"/>
              <w:jc w:val="center"/>
              <w:rPr>
                <w:sz w:val="20"/>
                <w:szCs w:val="20"/>
              </w:rPr>
            </w:pPr>
            <w:r>
              <w:rPr>
                <w:sz w:val="20"/>
                <w:szCs w:val="20"/>
              </w:rPr>
              <w:t>2027</w:t>
            </w:r>
          </w:p>
        </w:tc>
        <w:tc>
          <w:tcPr>
            <w:tcW w:w="0" w:type="auto"/>
            <w:shd w:val="clear" w:color="auto" w:fill="FFFFFF"/>
            <w:vAlign w:val="bottom"/>
            <w:hideMark/>
          </w:tcPr>
          <w:p w14:paraId="5B6A74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FA59A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4D7B9D"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3F8BEEC2" w14:textId="77777777" w:rsidR="00000000" w:rsidRDefault="00527094">
            <w:pPr>
              <w:ind w:left="176"/>
              <w:jc w:val="center"/>
              <w:rPr>
                <w:rFonts w:eastAsia="Times New Roman"/>
                <w:sz w:val="20"/>
                <w:szCs w:val="20"/>
              </w:rPr>
            </w:pPr>
            <w:r>
              <w:rPr>
                <w:rFonts w:eastAsia="Times New Roman"/>
                <w:sz w:val="20"/>
                <w:szCs w:val="20"/>
              </w:rPr>
              <w:t>249</w:t>
            </w:r>
          </w:p>
        </w:tc>
        <w:tc>
          <w:tcPr>
            <w:tcW w:w="50" w:type="pct"/>
            <w:shd w:val="clear" w:color="auto" w:fill="FFFFFF"/>
            <w:vAlign w:val="bottom"/>
            <w:hideMark/>
          </w:tcPr>
          <w:p w14:paraId="76534F3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1290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2E116D"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65F6B6C" w14:textId="77777777" w:rsidR="00000000" w:rsidRDefault="00527094">
            <w:pPr>
              <w:ind w:left="176"/>
              <w:jc w:val="center"/>
              <w:rPr>
                <w:rFonts w:eastAsia="Times New Roman"/>
                <w:sz w:val="20"/>
                <w:szCs w:val="20"/>
              </w:rPr>
            </w:pPr>
            <w:r>
              <w:rPr>
                <w:rFonts w:eastAsia="Times New Roman"/>
                <w:sz w:val="20"/>
                <w:szCs w:val="20"/>
              </w:rPr>
              <w:t>3,282</w:t>
            </w:r>
          </w:p>
        </w:tc>
        <w:tc>
          <w:tcPr>
            <w:tcW w:w="50" w:type="pct"/>
            <w:shd w:val="clear" w:color="auto" w:fill="FFFFFF"/>
            <w:vAlign w:val="bottom"/>
            <w:hideMark/>
          </w:tcPr>
          <w:p w14:paraId="25A8EC7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858AF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303258"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760817EE" w14:textId="77777777" w:rsidR="00000000" w:rsidRDefault="00527094">
            <w:pPr>
              <w:ind w:left="176"/>
              <w:jc w:val="right"/>
              <w:rPr>
                <w:rFonts w:eastAsia="Times New Roman"/>
                <w:sz w:val="20"/>
                <w:szCs w:val="20"/>
              </w:rPr>
            </w:pPr>
            <w:r>
              <w:rPr>
                <w:rFonts w:eastAsia="Times New Roman"/>
                <w:sz w:val="20"/>
                <w:szCs w:val="20"/>
              </w:rPr>
              <w:t>50,141</w:t>
            </w:r>
          </w:p>
        </w:tc>
        <w:tc>
          <w:tcPr>
            <w:tcW w:w="50" w:type="pct"/>
            <w:shd w:val="clear" w:color="auto" w:fill="FFFFFF"/>
            <w:vAlign w:val="bottom"/>
            <w:hideMark/>
          </w:tcPr>
          <w:p w14:paraId="2F8B0DF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A42E3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8E2AF5"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E12C235" w14:textId="77777777" w:rsidR="00000000" w:rsidRDefault="00527094">
            <w:pPr>
              <w:ind w:left="176"/>
              <w:jc w:val="right"/>
              <w:rPr>
                <w:rFonts w:eastAsia="Times New Roman"/>
                <w:sz w:val="20"/>
                <w:szCs w:val="20"/>
              </w:rPr>
            </w:pPr>
            <w:r>
              <w:rPr>
                <w:rFonts w:eastAsia="Times New Roman"/>
                <w:sz w:val="20"/>
                <w:szCs w:val="20"/>
              </w:rPr>
              <w:t>6.1</w:t>
            </w:r>
          </w:p>
        </w:tc>
        <w:tc>
          <w:tcPr>
            <w:tcW w:w="50" w:type="pct"/>
            <w:shd w:val="clear" w:color="auto" w:fill="FFFFFF"/>
            <w:vAlign w:val="bottom"/>
            <w:hideMark/>
          </w:tcPr>
          <w:p w14:paraId="40B156DA" w14:textId="77777777" w:rsidR="00000000" w:rsidRDefault="00527094">
            <w:pPr>
              <w:pStyle w:val="a3"/>
              <w:spacing w:before="0" w:beforeAutospacing="0" w:after="0" w:afterAutospacing="0"/>
              <w:rPr>
                <w:sz w:val="20"/>
                <w:szCs w:val="20"/>
              </w:rPr>
            </w:pPr>
            <w:r>
              <w:rPr>
                <w:sz w:val="20"/>
                <w:szCs w:val="20"/>
              </w:rPr>
              <w:t>%</w:t>
            </w:r>
          </w:p>
        </w:tc>
      </w:tr>
      <w:tr w:rsidR="00000000" w14:paraId="34DE3511" w14:textId="77777777">
        <w:trPr>
          <w:tblCellSpacing w:w="0" w:type="dxa"/>
        </w:trPr>
        <w:tc>
          <w:tcPr>
            <w:tcW w:w="0" w:type="auto"/>
            <w:shd w:val="clear" w:color="auto" w:fill="CCEEFF"/>
            <w:vAlign w:val="bottom"/>
            <w:hideMark/>
          </w:tcPr>
          <w:p w14:paraId="1D1E8CCF" w14:textId="77777777" w:rsidR="00000000" w:rsidRDefault="00527094">
            <w:pPr>
              <w:pStyle w:val="a3"/>
              <w:spacing w:before="0" w:beforeAutospacing="0" w:after="0" w:afterAutospacing="0"/>
              <w:ind w:left="352" w:hanging="176"/>
              <w:jc w:val="center"/>
              <w:rPr>
                <w:sz w:val="20"/>
                <w:szCs w:val="20"/>
              </w:rPr>
            </w:pPr>
            <w:r>
              <w:rPr>
                <w:sz w:val="20"/>
                <w:szCs w:val="20"/>
              </w:rPr>
              <w:t>2028</w:t>
            </w:r>
          </w:p>
        </w:tc>
        <w:tc>
          <w:tcPr>
            <w:tcW w:w="0" w:type="auto"/>
            <w:shd w:val="clear" w:color="auto" w:fill="CCEEFF"/>
            <w:vAlign w:val="bottom"/>
            <w:hideMark/>
          </w:tcPr>
          <w:p w14:paraId="380C954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C7817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BF50D4"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38CCC9B" w14:textId="77777777" w:rsidR="00000000" w:rsidRDefault="00527094">
            <w:pPr>
              <w:ind w:left="176"/>
              <w:jc w:val="center"/>
              <w:rPr>
                <w:rFonts w:eastAsia="Times New Roman"/>
                <w:sz w:val="20"/>
                <w:szCs w:val="20"/>
              </w:rPr>
            </w:pPr>
            <w:r>
              <w:rPr>
                <w:rFonts w:eastAsia="Times New Roman"/>
                <w:sz w:val="20"/>
                <w:szCs w:val="20"/>
              </w:rPr>
              <w:t>325</w:t>
            </w:r>
          </w:p>
        </w:tc>
        <w:tc>
          <w:tcPr>
            <w:tcW w:w="50" w:type="pct"/>
            <w:shd w:val="clear" w:color="auto" w:fill="CCEEFF"/>
            <w:vAlign w:val="bottom"/>
            <w:hideMark/>
          </w:tcPr>
          <w:p w14:paraId="4B9205E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F8BC6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611E60"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8D729FC" w14:textId="77777777" w:rsidR="00000000" w:rsidRDefault="00527094">
            <w:pPr>
              <w:ind w:left="176"/>
              <w:jc w:val="center"/>
              <w:rPr>
                <w:rFonts w:eastAsia="Times New Roman"/>
                <w:sz w:val="20"/>
                <w:szCs w:val="20"/>
              </w:rPr>
            </w:pPr>
            <w:r>
              <w:rPr>
                <w:rFonts w:eastAsia="Times New Roman"/>
                <w:sz w:val="20"/>
                <w:szCs w:val="20"/>
              </w:rPr>
              <w:t>3,398</w:t>
            </w:r>
          </w:p>
        </w:tc>
        <w:tc>
          <w:tcPr>
            <w:tcW w:w="50" w:type="pct"/>
            <w:shd w:val="clear" w:color="auto" w:fill="CCEEFF"/>
            <w:vAlign w:val="bottom"/>
            <w:hideMark/>
          </w:tcPr>
          <w:p w14:paraId="31726B9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9708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3F44D7"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14:paraId="7440E1E4" w14:textId="77777777" w:rsidR="00000000" w:rsidRDefault="00527094">
            <w:pPr>
              <w:ind w:left="176"/>
              <w:jc w:val="right"/>
              <w:rPr>
                <w:rFonts w:eastAsia="Times New Roman"/>
                <w:sz w:val="20"/>
                <w:szCs w:val="20"/>
              </w:rPr>
            </w:pPr>
            <w:r>
              <w:rPr>
                <w:rFonts w:eastAsia="Times New Roman"/>
                <w:sz w:val="20"/>
                <w:szCs w:val="20"/>
              </w:rPr>
              <w:t>62,814</w:t>
            </w:r>
          </w:p>
        </w:tc>
        <w:tc>
          <w:tcPr>
            <w:tcW w:w="50" w:type="pct"/>
            <w:shd w:val="clear" w:color="auto" w:fill="CCEEFF"/>
            <w:vAlign w:val="bottom"/>
            <w:hideMark/>
          </w:tcPr>
          <w:p w14:paraId="7826D6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F9EB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BFE4E9"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6BD5DAB" w14:textId="77777777" w:rsidR="00000000" w:rsidRDefault="00527094">
            <w:pPr>
              <w:ind w:left="176"/>
              <w:jc w:val="right"/>
              <w:rPr>
                <w:rFonts w:eastAsia="Times New Roman"/>
                <w:sz w:val="20"/>
                <w:szCs w:val="20"/>
              </w:rPr>
            </w:pPr>
            <w:r>
              <w:rPr>
                <w:rFonts w:eastAsia="Times New Roman"/>
                <w:sz w:val="20"/>
                <w:szCs w:val="20"/>
              </w:rPr>
              <w:t>7.6</w:t>
            </w:r>
          </w:p>
        </w:tc>
        <w:tc>
          <w:tcPr>
            <w:tcW w:w="50" w:type="pct"/>
            <w:shd w:val="clear" w:color="auto" w:fill="CCEEFF"/>
            <w:vAlign w:val="bottom"/>
            <w:hideMark/>
          </w:tcPr>
          <w:p w14:paraId="79BF243D" w14:textId="77777777" w:rsidR="00000000" w:rsidRDefault="00527094">
            <w:pPr>
              <w:pStyle w:val="a3"/>
              <w:spacing w:before="0" w:beforeAutospacing="0" w:after="0" w:afterAutospacing="0"/>
              <w:rPr>
                <w:sz w:val="20"/>
                <w:szCs w:val="20"/>
              </w:rPr>
            </w:pPr>
            <w:r>
              <w:rPr>
                <w:sz w:val="20"/>
                <w:szCs w:val="20"/>
              </w:rPr>
              <w:t>%</w:t>
            </w:r>
          </w:p>
        </w:tc>
      </w:tr>
      <w:tr w:rsidR="00000000" w14:paraId="75427DC8" w14:textId="77777777">
        <w:trPr>
          <w:tblCellSpacing w:w="0" w:type="dxa"/>
        </w:trPr>
        <w:tc>
          <w:tcPr>
            <w:tcW w:w="0" w:type="auto"/>
            <w:shd w:val="clear" w:color="auto" w:fill="FFFFFF"/>
            <w:vAlign w:val="bottom"/>
            <w:hideMark/>
          </w:tcPr>
          <w:p w14:paraId="4BA69F39" w14:textId="77777777" w:rsidR="00000000" w:rsidRDefault="00527094">
            <w:pPr>
              <w:pStyle w:val="a3"/>
              <w:spacing w:before="0" w:beforeAutospacing="0" w:after="0" w:afterAutospacing="0"/>
              <w:ind w:left="352" w:hanging="176"/>
              <w:jc w:val="center"/>
              <w:rPr>
                <w:sz w:val="20"/>
                <w:szCs w:val="20"/>
              </w:rPr>
            </w:pPr>
            <w:r>
              <w:rPr>
                <w:sz w:val="20"/>
                <w:szCs w:val="20"/>
              </w:rPr>
              <w:t>2029</w:t>
            </w:r>
          </w:p>
        </w:tc>
        <w:tc>
          <w:tcPr>
            <w:tcW w:w="0" w:type="auto"/>
            <w:shd w:val="clear" w:color="auto" w:fill="FFFFFF"/>
            <w:vAlign w:val="bottom"/>
            <w:hideMark/>
          </w:tcPr>
          <w:p w14:paraId="5237239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5C9E6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350998"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01BDC698" w14:textId="77777777" w:rsidR="00000000" w:rsidRDefault="00527094">
            <w:pPr>
              <w:ind w:left="176"/>
              <w:jc w:val="center"/>
              <w:rPr>
                <w:rFonts w:eastAsia="Times New Roman"/>
                <w:sz w:val="20"/>
                <w:szCs w:val="20"/>
              </w:rPr>
            </w:pPr>
            <w:r>
              <w:rPr>
                <w:rFonts w:eastAsia="Times New Roman"/>
                <w:sz w:val="20"/>
                <w:szCs w:val="20"/>
              </w:rPr>
              <w:t>232</w:t>
            </w:r>
          </w:p>
        </w:tc>
        <w:tc>
          <w:tcPr>
            <w:tcW w:w="50" w:type="pct"/>
            <w:shd w:val="clear" w:color="auto" w:fill="FFFFFF"/>
            <w:vAlign w:val="bottom"/>
            <w:hideMark/>
          </w:tcPr>
          <w:p w14:paraId="6878557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72879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C7F3BC"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48DE4B56" w14:textId="77777777" w:rsidR="00000000" w:rsidRDefault="00527094">
            <w:pPr>
              <w:ind w:left="176"/>
              <w:jc w:val="center"/>
              <w:rPr>
                <w:rFonts w:eastAsia="Times New Roman"/>
                <w:sz w:val="20"/>
                <w:szCs w:val="20"/>
              </w:rPr>
            </w:pPr>
            <w:r>
              <w:rPr>
                <w:rFonts w:eastAsia="Times New Roman"/>
                <w:sz w:val="20"/>
                <w:szCs w:val="20"/>
              </w:rPr>
              <w:t>2,594</w:t>
            </w:r>
          </w:p>
        </w:tc>
        <w:tc>
          <w:tcPr>
            <w:tcW w:w="50" w:type="pct"/>
            <w:shd w:val="clear" w:color="auto" w:fill="FFFFFF"/>
            <w:vAlign w:val="bottom"/>
            <w:hideMark/>
          </w:tcPr>
          <w:p w14:paraId="12FD0C7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D506F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79906B" w14:textId="77777777" w:rsidR="00000000" w:rsidRDefault="00527094">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14:paraId="6DA62C6A" w14:textId="77777777" w:rsidR="00000000" w:rsidRDefault="00527094">
            <w:pPr>
              <w:ind w:left="176"/>
              <w:jc w:val="right"/>
              <w:rPr>
                <w:rFonts w:eastAsia="Times New Roman"/>
                <w:sz w:val="20"/>
                <w:szCs w:val="20"/>
              </w:rPr>
            </w:pPr>
            <w:r>
              <w:rPr>
                <w:rFonts w:eastAsia="Times New Roman"/>
                <w:sz w:val="20"/>
                <w:szCs w:val="20"/>
              </w:rPr>
              <w:t>42,449</w:t>
            </w:r>
          </w:p>
        </w:tc>
        <w:tc>
          <w:tcPr>
            <w:tcW w:w="50" w:type="pct"/>
            <w:shd w:val="clear" w:color="auto" w:fill="FFFFFF"/>
            <w:vAlign w:val="bottom"/>
            <w:hideMark/>
          </w:tcPr>
          <w:p w14:paraId="1B02CCA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71FD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07D7DE" w14:textId="77777777" w:rsidR="00000000" w:rsidRDefault="00527094">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4F11811" w14:textId="77777777" w:rsidR="00000000" w:rsidRDefault="00527094">
            <w:pPr>
              <w:ind w:left="176"/>
              <w:jc w:val="right"/>
              <w:rPr>
                <w:rFonts w:eastAsia="Times New Roman"/>
                <w:sz w:val="20"/>
                <w:szCs w:val="20"/>
              </w:rPr>
            </w:pPr>
            <w:r>
              <w:rPr>
                <w:rFonts w:eastAsia="Times New Roman"/>
                <w:sz w:val="20"/>
                <w:szCs w:val="20"/>
              </w:rPr>
              <w:t>5.1</w:t>
            </w:r>
          </w:p>
        </w:tc>
        <w:tc>
          <w:tcPr>
            <w:tcW w:w="50" w:type="pct"/>
            <w:shd w:val="clear" w:color="auto" w:fill="FFFFFF"/>
            <w:vAlign w:val="bottom"/>
            <w:hideMark/>
          </w:tcPr>
          <w:p w14:paraId="60353BC2" w14:textId="77777777" w:rsidR="00000000" w:rsidRDefault="00527094">
            <w:pPr>
              <w:pStyle w:val="a3"/>
              <w:spacing w:before="0" w:beforeAutospacing="0" w:after="0" w:afterAutospacing="0"/>
              <w:rPr>
                <w:sz w:val="20"/>
                <w:szCs w:val="20"/>
              </w:rPr>
            </w:pPr>
            <w:r>
              <w:rPr>
                <w:sz w:val="20"/>
                <w:szCs w:val="20"/>
              </w:rPr>
              <w:t>%</w:t>
            </w:r>
          </w:p>
        </w:tc>
      </w:tr>
    </w:tbl>
    <w:p w14:paraId="12E0489C" w14:textId="77777777" w:rsidR="00000000" w:rsidRDefault="00527094">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740D46F" w14:textId="77777777">
        <w:trPr>
          <w:tblCellSpacing w:w="0" w:type="dxa"/>
        </w:trPr>
        <w:tc>
          <w:tcPr>
            <w:tcW w:w="720" w:type="dxa"/>
            <w:vAlign w:val="center"/>
            <w:hideMark/>
          </w:tcPr>
          <w:p w14:paraId="414E5254" w14:textId="77777777" w:rsidR="00000000" w:rsidRDefault="00527094">
            <w:pPr>
              <w:rPr>
                <w:rFonts w:eastAsia="Times New Roman"/>
                <w:sz w:val="20"/>
                <w:szCs w:val="20"/>
              </w:rPr>
            </w:pPr>
            <w:r>
              <w:rPr>
                <w:rFonts w:eastAsia="Times New Roman"/>
                <w:sz w:val="20"/>
                <w:szCs w:val="20"/>
              </w:rPr>
              <w:t> </w:t>
            </w:r>
          </w:p>
        </w:tc>
        <w:tc>
          <w:tcPr>
            <w:tcW w:w="360" w:type="dxa"/>
            <w:hideMark/>
          </w:tcPr>
          <w:p w14:paraId="74B92931" w14:textId="77777777" w:rsidR="00000000" w:rsidRDefault="00527094">
            <w:pPr>
              <w:pStyle w:val="a3"/>
              <w:spacing w:before="0" w:beforeAutospacing="0" w:after="0" w:afterAutospacing="0"/>
              <w:jc w:val="both"/>
              <w:rPr>
                <w:sz w:val="20"/>
                <w:szCs w:val="20"/>
              </w:rPr>
            </w:pPr>
            <w:r>
              <w:rPr>
                <w:sz w:val="20"/>
                <w:szCs w:val="20"/>
              </w:rPr>
              <w:t>(1)</w:t>
            </w:r>
          </w:p>
        </w:tc>
        <w:tc>
          <w:tcPr>
            <w:tcW w:w="0" w:type="auto"/>
            <w:hideMark/>
          </w:tcPr>
          <w:p w14:paraId="7E6E4458" w14:textId="77777777" w:rsidR="00000000" w:rsidRDefault="00527094">
            <w:pPr>
              <w:pStyle w:val="a3"/>
              <w:spacing w:before="0" w:beforeAutospacing="0" w:after="0" w:afterAutospacing="0"/>
              <w:jc w:val="both"/>
              <w:rPr>
                <w:sz w:val="20"/>
                <w:szCs w:val="20"/>
              </w:rPr>
            </w:pPr>
            <w:r>
              <w:rPr>
                <w:sz w:val="20"/>
                <w:szCs w:val="20"/>
              </w:rPr>
              <w:t>Leases currently under month to month lease or in process of renewal.</w:t>
            </w:r>
          </w:p>
        </w:tc>
      </w:tr>
    </w:tbl>
    <w:p w14:paraId="3D2298E4" w14:textId="77777777" w:rsidR="00000000" w:rsidRDefault="00527094">
      <w:pPr>
        <w:pStyle w:val="a3"/>
        <w:spacing w:before="0" w:beforeAutospacing="0" w:after="0" w:afterAutospacing="0"/>
        <w:jc w:val="both"/>
        <w:rPr>
          <w:sz w:val="20"/>
          <w:szCs w:val="20"/>
        </w:rPr>
      </w:pPr>
      <w:r>
        <w:rPr>
          <w:sz w:val="20"/>
          <w:szCs w:val="20"/>
        </w:rPr>
        <w:t> </w:t>
      </w:r>
    </w:p>
    <w:p w14:paraId="73503240" w14:textId="77777777" w:rsidR="00000000" w:rsidRDefault="00527094">
      <w:pPr>
        <w:jc w:val="center"/>
        <w:divId w:val="527648288"/>
        <w:rPr>
          <w:rFonts w:eastAsia="Times New Roman"/>
          <w:sz w:val="20"/>
          <w:szCs w:val="20"/>
        </w:rPr>
      </w:pPr>
      <w:r>
        <w:rPr>
          <w:rFonts w:eastAsia="Times New Roman"/>
          <w:sz w:val="20"/>
          <w:szCs w:val="20"/>
        </w:rPr>
        <w:t xml:space="preserve">33 </w:t>
      </w:r>
    </w:p>
    <w:p w14:paraId="66A4AFC4" w14:textId="77777777" w:rsidR="00000000" w:rsidRDefault="00527094">
      <w:pPr>
        <w:divId w:val="527648288"/>
        <w:rPr>
          <w:rFonts w:eastAsia="Times New Roman"/>
          <w:sz w:val="20"/>
          <w:szCs w:val="20"/>
        </w:rPr>
      </w:pPr>
      <w:r>
        <w:rPr>
          <w:rFonts w:eastAsia="Times New Roman"/>
          <w:sz w:val="20"/>
          <w:szCs w:val="20"/>
        </w:rPr>
        <w:pict w14:anchorId="3AE82FA4">
          <v:rect id="_x0000_i1061" style="width:0;height:1.5pt" o:hralign="center" o:hrstd="t" o:hr="t" fillcolor="#a0a0a0" stroked="f"/>
        </w:pict>
      </w:r>
    </w:p>
    <w:p w14:paraId="56F7EF68" w14:textId="77777777" w:rsidR="00000000" w:rsidRDefault="00527094">
      <w:pPr>
        <w:divId w:val="5276482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0A856A1" w14:textId="77777777" w:rsidR="00000000" w:rsidRDefault="00527094">
      <w:pPr>
        <w:pStyle w:val="a3"/>
        <w:spacing w:before="0" w:beforeAutospacing="0" w:after="0" w:afterAutospacing="0"/>
        <w:rPr>
          <w:sz w:val="20"/>
          <w:szCs w:val="20"/>
        </w:rPr>
      </w:pPr>
      <w:r>
        <w:rPr>
          <w:sz w:val="20"/>
          <w:szCs w:val="20"/>
        </w:rPr>
        <w:t> </w:t>
      </w:r>
    </w:p>
    <w:p w14:paraId="55101CE7" w14:textId="77777777" w:rsidR="00000000" w:rsidRDefault="00527094">
      <w:pPr>
        <w:pStyle w:val="a3"/>
        <w:spacing w:before="0" w:beforeAutospacing="0" w:after="0" w:afterAutospacing="0"/>
        <w:rPr>
          <w:sz w:val="20"/>
          <w:szCs w:val="20"/>
        </w:rPr>
      </w:pPr>
      <w:r>
        <w:rPr>
          <w:b/>
          <w:bCs/>
          <w:sz w:val="20"/>
          <w:szCs w:val="20"/>
        </w:rPr>
        <w:t>Item 3. Quantitative and Qualitative Disclosures About Market Risk.</w:t>
      </w:r>
    </w:p>
    <w:p w14:paraId="6631AF85" w14:textId="77777777" w:rsidR="00000000" w:rsidRDefault="00527094">
      <w:pPr>
        <w:pStyle w:val="a3"/>
        <w:spacing w:before="0" w:beforeAutospacing="0" w:after="0" w:afterAutospacing="0"/>
        <w:jc w:val="both"/>
        <w:rPr>
          <w:sz w:val="20"/>
          <w:szCs w:val="20"/>
        </w:rPr>
      </w:pPr>
      <w:r>
        <w:rPr>
          <w:sz w:val="20"/>
          <w:szCs w:val="20"/>
        </w:rPr>
        <w:t> </w:t>
      </w:r>
    </w:p>
    <w:p w14:paraId="1B277250" w14:textId="77777777" w:rsidR="00000000" w:rsidRDefault="00527094">
      <w:pPr>
        <w:pStyle w:val="a3"/>
        <w:spacing w:before="0" w:beforeAutospacing="0" w:after="0" w:afterAutospacing="0"/>
        <w:ind w:firstLine="360"/>
        <w:jc w:val="both"/>
        <w:rPr>
          <w:sz w:val="20"/>
          <w:szCs w:val="20"/>
        </w:rPr>
      </w:pPr>
      <w:r>
        <w:rPr>
          <w:sz w:val="20"/>
          <w:szCs w:val="20"/>
        </w:rPr>
        <w:t>The Company’</w:t>
      </w:r>
      <w:r>
        <w:rPr>
          <w:sz w:val="20"/>
          <w:szCs w:val="20"/>
        </w:rPr>
        <w:t xml:space="preserve">s primary market risk exposure is interest rate risk. The Company periodically evaluates its exposure to short-term interest rates and will, from time-to-time, enter into interest rate protection agreements which mitigate, but do not eliminate, the effect </w:t>
      </w:r>
      <w:r>
        <w:rPr>
          <w:sz w:val="20"/>
          <w:szCs w:val="20"/>
        </w:rPr>
        <w:t>of changes in interest rates on its floating-rate debt. The Company has not, and does not plan to, enter into any derivative financial instruments for trading or speculative purposes. The following table presents the Company’s aggregate fixed rate and vari</w:t>
      </w:r>
      <w:r>
        <w:rPr>
          <w:sz w:val="20"/>
          <w:szCs w:val="20"/>
        </w:rPr>
        <w:t xml:space="preserve">able rate debt obligations outstanding, including fair market value adjustments and unamortized deferred financing costs, as of June 30, 2019, with corresponding weighted average interest rates sorted by maturity date. The table does not include extension </w:t>
      </w:r>
      <w:r>
        <w:rPr>
          <w:sz w:val="20"/>
          <w:szCs w:val="20"/>
        </w:rPr>
        <w:t>options where available (amounts in millions).</w:t>
      </w:r>
    </w:p>
    <w:p w14:paraId="5359173E"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87"/>
        <w:gridCol w:w="50"/>
        <w:gridCol w:w="100"/>
        <w:gridCol w:w="483"/>
        <w:gridCol w:w="50"/>
        <w:gridCol w:w="50"/>
        <w:gridCol w:w="100"/>
        <w:gridCol w:w="460"/>
        <w:gridCol w:w="167"/>
        <w:gridCol w:w="50"/>
        <w:gridCol w:w="100"/>
        <w:gridCol w:w="484"/>
        <w:gridCol w:w="167"/>
        <w:gridCol w:w="50"/>
        <w:gridCol w:w="100"/>
        <w:gridCol w:w="484"/>
        <w:gridCol w:w="167"/>
        <w:gridCol w:w="50"/>
        <w:gridCol w:w="100"/>
        <w:gridCol w:w="484"/>
        <w:gridCol w:w="167"/>
        <w:gridCol w:w="50"/>
        <w:gridCol w:w="116"/>
        <w:gridCol w:w="806"/>
        <w:gridCol w:w="167"/>
        <w:gridCol w:w="50"/>
        <w:gridCol w:w="100"/>
        <w:gridCol w:w="600"/>
        <w:gridCol w:w="167"/>
        <w:gridCol w:w="50"/>
        <w:gridCol w:w="100"/>
        <w:gridCol w:w="600"/>
        <w:gridCol w:w="50"/>
      </w:tblGrid>
      <w:tr w:rsidR="00000000" w14:paraId="27F05CEE" w14:textId="77777777">
        <w:trPr>
          <w:tblCellSpacing w:w="0" w:type="dxa"/>
        </w:trPr>
        <w:tc>
          <w:tcPr>
            <w:tcW w:w="0" w:type="auto"/>
            <w:vAlign w:val="bottom"/>
            <w:hideMark/>
          </w:tcPr>
          <w:p w14:paraId="1BDD777F"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A3E120A"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A46C75F" w14:textId="77777777" w:rsidR="00000000" w:rsidRDefault="0052709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85B7B2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88F5EE2"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F37B8ED" w14:textId="77777777" w:rsidR="00000000" w:rsidRDefault="0052709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7BE381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77B661C"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4091524" w14:textId="77777777" w:rsidR="00000000" w:rsidRDefault="00527094">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4B7CDF2B"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108A4D5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4C5B87B" w14:textId="77777777" w:rsidR="00000000" w:rsidRDefault="00527094">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50431129"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7F640D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D23387F" w14:textId="77777777" w:rsidR="00000000" w:rsidRDefault="00527094">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14:paraId="4B3B54A6"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E2B4F87"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E96C51D" w14:textId="77777777" w:rsidR="00000000" w:rsidRDefault="00527094">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14:paraId="19149F90"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473A095D"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8861B84" w14:textId="77777777" w:rsidR="00000000" w:rsidRDefault="00527094">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6BDA4B8D" w14:textId="77777777" w:rsidR="00000000" w:rsidRDefault="00527094">
            <w:pPr>
              <w:rPr>
                <w:rFonts w:eastAsia="Times New Roman"/>
                <w:sz w:val="20"/>
                <w:szCs w:val="20"/>
              </w:rPr>
            </w:pPr>
            <w:r>
              <w:rPr>
                <w:rFonts w:eastAsia="Times New Roman"/>
                <w:sz w:val="20"/>
                <w:szCs w:val="20"/>
              </w:rPr>
              <w:t> </w:t>
            </w:r>
          </w:p>
        </w:tc>
        <w:tc>
          <w:tcPr>
            <w:tcW w:w="0" w:type="auto"/>
            <w:vAlign w:val="bottom"/>
            <w:hideMark/>
          </w:tcPr>
          <w:p w14:paraId="30914DB2" w14:textId="77777777" w:rsidR="00000000" w:rsidRDefault="0052709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15E67AD" w14:textId="77777777" w:rsidR="00000000" w:rsidRDefault="0052709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2DBC32AA" w14:textId="77777777" w:rsidR="00000000" w:rsidRDefault="00527094">
            <w:pPr>
              <w:rPr>
                <w:rFonts w:eastAsia="Times New Roman"/>
                <w:sz w:val="20"/>
                <w:szCs w:val="20"/>
              </w:rPr>
            </w:pPr>
            <w:r>
              <w:rPr>
                <w:rFonts w:eastAsia="Times New Roman"/>
                <w:sz w:val="20"/>
                <w:szCs w:val="20"/>
              </w:rPr>
              <w:t> </w:t>
            </w:r>
          </w:p>
        </w:tc>
      </w:tr>
      <w:tr w:rsidR="00527094" w14:paraId="21820A8C" w14:textId="77777777">
        <w:trPr>
          <w:tblCellSpacing w:w="0" w:type="dxa"/>
        </w:trPr>
        <w:tc>
          <w:tcPr>
            <w:tcW w:w="1000" w:type="pct"/>
            <w:shd w:val="clear" w:color="auto" w:fill="CCEEFF"/>
            <w:vAlign w:val="bottom"/>
            <w:hideMark/>
          </w:tcPr>
          <w:p w14:paraId="4B29E0A4" w14:textId="77777777" w:rsidR="00000000" w:rsidRDefault="00527094">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14:paraId="209BC6A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19F2F"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BE49ABB"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C10A471"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58158D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A2F7C"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93C79CC"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019411B"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3E372E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C4723"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D01D22C"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9E8AE43"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E7216B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DEEE56"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86A0A05"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70F452C"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FDD7D4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1BF3E5"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E686FA2"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78F72B7"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530C0A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5BAF58"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A62934B"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2B9734B"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F88F64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D3A0A"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7888493"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B52C74D"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1B4D54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5D0E3"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A0B9018"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8A3DDD5" w14:textId="77777777" w:rsidR="00000000" w:rsidRDefault="00527094">
            <w:pPr>
              <w:rPr>
                <w:rFonts w:eastAsia="Times New Roman"/>
                <w:sz w:val="20"/>
                <w:szCs w:val="20"/>
              </w:rPr>
            </w:pPr>
            <w:r>
              <w:rPr>
                <w:rFonts w:eastAsia="Times New Roman"/>
                <w:b/>
                <w:bCs/>
                <w:sz w:val="20"/>
                <w:szCs w:val="20"/>
              </w:rPr>
              <w:t> </w:t>
            </w:r>
          </w:p>
        </w:tc>
      </w:tr>
      <w:tr w:rsidR="00527094" w14:paraId="17AF860A" w14:textId="77777777">
        <w:trPr>
          <w:tblCellSpacing w:w="0" w:type="dxa"/>
        </w:trPr>
        <w:tc>
          <w:tcPr>
            <w:tcW w:w="0" w:type="auto"/>
            <w:shd w:val="clear" w:color="auto" w:fill="FFFFFF"/>
            <w:vAlign w:val="bottom"/>
            <w:hideMark/>
          </w:tcPr>
          <w:p w14:paraId="14DB725B" w14:textId="77777777" w:rsidR="00000000" w:rsidRDefault="00527094">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41BECA3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5FE8C2"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2D71395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BB1706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33242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FE86C4"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4C84F98D" w14:textId="77777777" w:rsidR="00000000" w:rsidRDefault="00527094">
            <w:pPr>
              <w:jc w:val="right"/>
              <w:rPr>
                <w:rFonts w:eastAsia="Times New Roman"/>
                <w:sz w:val="20"/>
                <w:szCs w:val="20"/>
              </w:rPr>
            </w:pPr>
            <w:r>
              <w:rPr>
                <w:rFonts w:eastAsia="Times New Roman"/>
                <w:sz w:val="20"/>
                <w:szCs w:val="20"/>
              </w:rPr>
              <w:t>102.3</w:t>
            </w:r>
          </w:p>
        </w:tc>
        <w:tc>
          <w:tcPr>
            <w:tcW w:w="50" w:type="pct"/>
            <w:shd w:val="clear" w:color="auto" w:fill="FFFFFF"/>
            <w:vAlign w:val="bottom"/>
            <w:hideMark/>
          </w:tcPr>
          <w:p w14:paraId="246662E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EBFE4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858CAE"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6C72C839" w14:textId="77777777" w:rsidR="00000000" w:rsidRDefault="00527094">
            <w:pPr>
              <w:jc w:val="right"/>
              <w:rPr>
                <w:rFonts w:eastAsia="Times New Roman"/>
                <w:sz w:val="20"/>
                <w:szCs w:val="20"/>
              </w:rPr>
            </w:pPr>
            <w:r>
              <w:rPr>
                <w:rFonts w:eastAsia="Times New Roman"/>
                <w:sz w:val="20"/>
                <w:szCs w:val="20"/>
              </w:rPr>
              <w:t>147.9</w:t>
            </w:r>
          </w:p>
        </w:tc>
        <w:tc>
          <w:tcPr>
            <w:tcW w:w="50" w:type="pct"/>
            <w:shd w:val="clear" w:color="auto" w:fill="FFFFFF"/>
            <w:vAlign w:val="bottom"/>
            <w:hideMark/>
          </w:tcPr>
          <w:p w14:paraId="0A782AD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0F745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EFBE7E"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5E6BD624" w14:textId="77777777" w:rsidR="00000000" w:rsidRDefault="00527094">
            <w:pPr>
              <w:jc w:val="right"/>
              <w:rPr>
                <w:rFonts w:eastAsia="Times New Roman"/>
                <w:sz w:val="20"/>
                <w:szCs w:val="20"/>
              </w:rPr>
            </w:pPr>
            <w:r>
              <w:rPr>
                <w:rFonts w:eastAsia="Times New Roman"/>
                <w:sz w:val="20"/>
                <w:szCs w:val="20"/>
              </w:rPr>
              <w:t>149.0</w:t>
            </w:r>
          </w:p>
        </w:tc>
        <w:tc>
          <w:tcPr>
            <w:tcW w:w="50" w:type="pct"/>
            <w:shd w:val="clear" w:color="auto" w:fill="FFFFFF"/>
            <w:vAlign w:val="bottom"/>
            <w:hideMark/>
          </w:tcPr>
          <w:p w14:paraId="6A03124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E0D03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9F8339"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637A0DFA" w14:textId="77777777" w:rsidR="00000000" w:rsidRDefault="00527094">
            <w:pPr>
              <w:jc w:val="right"/>
              <w:rPr>
                <w:rFonts w:eastAsia="Times New Roman"/>
                <w:sz w:val="20"/>
                <w:szCs w:val="20"/>
              </w:rPr>
            </w:pPr>
            <w:r>
              <w:rPr>
                <w:rFonts w:eastAsia="Times New Roman"/>
                <w:sz w:val="20"/>
                <w:szCs w:val="20"/>
              </w:rPr>
              <w:t>11.9</w:t>
            </w:r>
          </w:p>
        </w:tc>
        <w:tc>
          <w:tcPr>
            <w:tcW w:w="50" w:type="pct"/>
            <w:shd w:val="clear" w:color="auto" w:fill="FFFFFF"/>
            <w:vAlign w:val="bottom"/>
            <w:hideMark/>
          </w:tcPr>
          <w:p w14:paraId="5C771BB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6F2AE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CD9738"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212EF4C5" w14:textId="77777777" w:rsidR="00000000" w:rsidRDefault="00527094">
            <w:pPr>
              <w:jc w:val="right"/>
              <w:rPr>
                <w:rFonts w:eastAsia="Times New Roman"/>
                <w:sz w:val="20"/>
                <w:szCs w:val="20"/>
              </w:rPr>
            </w:pPr>
            <w:r>
              <w:rPr>
                <w:rFonts w:eastAsia="Times New Roman"/>
                <w:sz w:val="20"/>
                <w:szCs w:val="20"/>
              </w:rPr>
              <w:t>16.6</w:t>
            </w:r>
          </w:p>
        </w:tc>
        <w:tc>
          <w:tcPr>
            <w:tcW w:w="50" w:type="pct"/>
            <w:shd w:val="clear" w:color="auto" w:fill="FFFFFF"/>
            <w:vAlign w:val="bottom"/>
            <w:hideMark/>
          </w:tcPr>
          <w:p w14:paraId="2170F09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CAFEE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A22EF8"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3AF0E9BD" w14:textId="77777777" w:rsidR="00000000" w:rsidRDefault="00527094">
            <w:pPr>
              <w:jc w:val="right"/>
              <w:rPr>
                <w:rFonts w:eastAsia="Times New Roman"/>
                <w:sz w:val="20"/>
                <w:szCs w:val="20"/>
              </w:rPr>
            </w:pPr>
            <w:r>
              <w:rPr>
                <w:rFonts w:eastAsia="Times New Roman"/>
                <w:sz w:val="20"/>
                <w:szCs w:val="20"/>
              </w:rPr>
              <w:t>427.7</w:t>
            </w:r>
          </w:p>
        </w:tc>
        <w:tc>
          <w:tcPr>
            <w:tcW w:w="50" w:type="pct"/>
            <w:shd w:val="clear" w:color="auto" w:fill="FFFFFF"/>
            <w:vAlign w:val="bottom"/>
            <w:hideMark/>
          </w:tcPr>
          <w:p w14:paraId="4743C51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EBC2A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6E087"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3F305171" w14:textId="77777777" w:rsidR="00000000" w:rsidRDefault="00527094">
            <w:pPr>
              <w:jc w:val="right"/>
              <w:rPr>
                <w:rFonts w:eastAsia="Times New Roman"/>
                <w:sz w:val="20"/>
                <w:szCs w:val="20"/>
              </w:rPr>
            </w:pPr>
            <w:r>
              <w:rPr>
                <w:rFonts w:eastAsia="Times New Roman"/>
                <w:sz w:val="20"/>
                <w:szCs w:val="20"/>
              </w:rPr>
              <w:t>429.3</w:t>
            </w:r>
          </w:p>
        </w:tc>
        <w:tc>
          <w:tcPr>
            <w:tcW w:w="50" w:type="pct"/>
            <w:shd w:val="clear" w:color="auto" w:fill="FFFFFF"/>
            <w:vAlign w:val="bottom"/>
            <w:hideMark/>
          </w:tcPr>
          <w:p w14:paraId="3BB130F2" w14:textId="77777777" w:rsidR="00000000" w:rsidRDefault="00527094">
            <w:pPr>
              <w:rPr>
                <w:rFonts w:eastAsia="Times New Roman"/>
                <w:sz w:val="20"/>
                <w:szCs w:val="20"/>
              </w:rPr>
            </w:pPr>
            <w:r>
              <w:rPr>
                <w:rFonts w:eastAsia="Times New Roman"/>
                <w:sz w:val="20"/>
                <w:szCs w:val="20"/>
              </w:rPr>
              <w:t> </w:t>
            </w:r>
          </w:p>
        </w:tc>
      </w:tr>
      <w:tr w:rsidR="00527094" w14:paraId="59064C4D" w14:textId="77777777">
        <w:trPr>
          <w:tblCellSpacing w:w="0" w:type="dxa"/>
        </w:trPr>
        <w:tc>
          <w:tcPr>
            <w:tcW w:w="0" w:type="auto"/>
            <w:shd w:val="clear" w:color="auto" w:fill="CCEEFF"/>
            <w:vAlign w:val="bottom"/>
            <w:hideMark/>
          </w:tcPr>
          <w:p w14:paraId="43B5E41B" w14:textId="77777777" w:rsidR="00000000" w:rsidRDefault="00527094">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33FCBBA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B8837D"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E990943"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005015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10773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B94289"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0B3A29EF" w14:textId="77777777" w:rsidR="00000000" w:rsidRDefault="00527094">
            <w:pPr>
              <w:jc w:val="right"/>
              <w:rPr>
                <w:rFonts w:eastAsia="Times New Roman"/>
                <w:sz w:val="20"/>
                <w:szCs w:val="20"/>
              </w:rPr>
            </w:pPr>
            <w:r>
              <w:rPr>
                <w:rFonts w:eastAsia="Times New Roman"/>
                <w:sz w:val="20"/>
                <w:szCs w:val="20"/>
              </w:rPr>
              <w:t>5.45</w:t>
            </w:r>
          </w:p>
        </w:tc>
        <w:tc>
          <w:tcPr>
            <w:tcW w:w="50" w:type="pct"/>
            <w:shd w:val="clear" w:color="auto" w:fill="CCEEFF"/>
            <w:vAlign w:val="bottom"/>
            <w:hideMark/>
          </w:tcPr>
          <w:p w14:paraId="51677716"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095068D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D32F36"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CC71769" w14:textId="77777777" w:rsidR="00000000" w:rsidRDefault="00527094">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14:paraId="7CDA0D74"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5443142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68DD22"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DF82756" w14:textId="77777777" w:rsidR="00000000" w:rsidRDefault="00527094">
            <w:pPr>
              <w:jc w:val="right"/>
              <w:rPr>
                <w:rFonts w:eastAsia="Times New Roman"/>
                <w:sz w:val="20"/>
                <w:szCs w:val="20"/>
              </w:rPr>
            </w:pPr>
            <w:r>
              <w:rPr>
                <w:rFonts w:eastAsia="Times New Roman"/>
                <w:sz w:val="20"/>
                <w:szCs w:val="20"/>
              </w:rPr>
              <w:t>4.05</w:t>
            </w:r>
          </w:p>
        </w:tc>
        <w:tc>
          <w:tcPr>
            <w:tcW w:w="50" w:type="pct"/>
            <w:shd w:val="clear" w:color="auto" w:fill="CCEEFF"/>
            <w:vAlign w:val="bottom"/>
            <w:hideMark/>
          </w:tcPr>
          <w:p w14:paraId="4409DABE"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4919965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A8A5D2"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1EE67EB" w14:textId="77777777" w:rsidR="00000000" w:rsidRDefault="00527094">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14:paraId="12157B50" w14:textId="77777777" w:rsidR="00000000" w:rsidRDefault="00527094">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5D2876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63FA95"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A911639" w14:textId="77777777" w:rsidR="00000000" w:rsidRDefault="00527094">
            <w:pPr>
              <w:jc w:val="right"/>
              <w:rPr>
                <w:rFonts w:eastAsia="Times New Roman"/>
                <w:sz w:val="20"/>
                <w:szCs w:val="20"/>
              </w:rPr>
            </w:pPr>
            <w:r>
              <w:rPr>
                <w:rFonts w:eastAsia="Times New Roman"/>
                <w:sz w:val="20"/>
                <w:szCs w:val="20"/>
              </w:rPr>
              <w:t>6.83</w:t>
            </w:r>
          </w:p>
        </w:tc>
        <w:tc>
          <w:tcPr>
            <w:tcW w:w="50" w:type="pct"/>
            <w:shd w:val="clear" w:color="auto" w:fill="CCEEFF"/>
            <w:vAlign w:val="bottom"/>
            <w:hideMark/>
          </w:tcPr>
          <w:p w14:paraId="6B0E585A" w14:textId="77777777" w:rsidR="00000000" w:rsidRDefault="00527094">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2060781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ED07D1"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351AC80" w14:textId="77777777" w:rsidR="00000000" w:rsidRDefault="00527094">
            <w:pPr>
              <w:jc w:val="right"/>
              <w:rPr>
                <w:rFonts w:eastAsia="Times New Roman"/>
                <w:sz w:val="20"/>
                <w:szCs w:val="20"/>
              </w:rPr>
            </w:pPr>
            <w:r>
              <w:rPr>
                <w:rFonts w:eastAsia="Times New Roman"/>
                <w:sz w:val="20"/>
                <w:szCs w:val="20"/>
              </w:rPr>
              <w:t>4.93</w:t>
            </w:r>
          </w:p>
        </w:tc>
        <w:tc>
          <w:tcPr>
            <w:tcW w:w="50" w:type="pct"/>
            <w:shd w:val="clear" w:color="auto" w:fill="CCEEFF"/>
            <w:vAlign w:val="bottom"/>
            <w:hideMark/>
          </w:tcPr>
          <w:p w14:paraId="5F538097" w14:textId="77777777" w:rsidR="00000000" w:rsidRDefault="00527094">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14:paraId="217915B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401A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001F28" w14:textId="77777777" w:rsidR="00000000" w:rsidRDefault="0052709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B84A47" w14:textId="77777777" w:rsidR="00000000" w:rsidRDefault="00527094">
            <w:pPr>
              <w:rPr>
                <w:rFonts w:eastAsia="Times New Roman"/>
                <w:sz w:val="20"/>
                <w:szCs w:val="20"/>
              </w:rPr>
            </w:pPr>
            <w:r>
              <w:rPr>
                <w:rFonts w:eastAsia="Times New Roman"/>
                <w:sz w:val="20"/>
                <w:szCs w:val="20"/>
              </w:rPr>
              <w:t> </w:t>
            </w:r>
          </w:p>
        </w:tc>
      </w:tr>
      <w:tr w:rsidR="00527094" w14:paraId="4D279EB1" w14:textId="77777777">
        <w:trPr>
          <w:tblCellSpacing w:w="0" w:type="dxa"/>
        </w:trPr>
        <w:tc>
          <w:tcPr>
            <w:tcW w:w="0" w:type="auto"/>
            <w:shd w:val="clear" w:color="auto" w:fill="FFFFFF"/>
            <w:vAlign w:val="bottom"/>
            <w:hideMark/>
          </w:tcPr>
          <w:p w14:paraId="61A9FCE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57854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A0D57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2982C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8A081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66573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2CBD8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70017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F5241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796B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D17E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EB190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2C804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30AD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0410D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077C3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35684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F4AC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3C6D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BF580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0FA6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336E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4E34E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14F6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0CE9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E1F6A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BF69C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A220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94B6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F745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3FA64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DB5FE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B7796" w14:textId="77777777" w:rsidR="00000000" w:rsidRDefault="00527094">
            <w:pPr>
              <w:rPr>
                <w:rFonts w:eastAsia="Times New Roman"/>
                <w:sz w:val="20"/>
                <w:szCs w:val="20"/>
              </w:rPr>
            </w:pPr>
            <w:r>
              <w:rPr>
                <w:rFonts w:eastAsia="Times New Roman"/>
                <w:sz w:val="20"/>
                <w:szCs w:val="20"/>
              </w:rPr>
              <w:t> </w:t>
            </w:r>
          </w:p>
        </w:tc>
      </w:tr>
      <w:tr w:rsidR="00527094" w14:paraId="03FBD4B4" w14:textId="77777777">
        <w:trPr>
          <w:tblCellSpacing w:w="0" w:type="dxa"/>
        </w:trPr>
        <w:tc>
          <w:tcPr>
            <w:tcW w:w="0" w:type="auto"/>
            <w:shd w:val="clear" w:color="auto" w:fill="CCEEFF"/>
            <w:vAlign w:val="bottom"/>
            <w:hideMark/>
          </w:tcPr>
          <w:p w14:paraId="03FFC70B" w14:textId="77777777" w:rsidR="00000000" w:rsidRDefault="00527094">
            <w:pPr>
              <w:pStyle w:val="a3"/>
              <w:spacing w:before="0" w:beforeAutospacing="0" w:after="0" w:afterAutospacing="0"/>
              <w:rPr>
                <w:sz w:val="20"/>
                <w:szCs w:val="20"/>
              </w:rPr>
            </w:pPr>
            <w:r>
              <w:rPr>
                <w:sz w:val="20"/>
                <w:szCs w:val="20"/>
              </w:rPr>
              <w:t>Floating Rate</w:t>
            </w:r>
          </w:p>
        </w:tc>
        <w:tc>
          <w:tcPr>
            <w:tcW w:w="50" w:type="pct"/>
            <w:shd w:val="clear" w:color="auto" w:fill="CCEEFF"/>
            <w:vAlign w:val="bottom"/>
            <w:hideMark/>
          </w:tcPr>
          <w:p w14:paraId="0683A33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18A9D5"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6437FCBC"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2E7A68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EC0E3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EA1BE9"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353DA1DF" w14:textId="77777777" w:rsidR="00000000" w:rsidRDefault="00527094">
            <w:pPr>
              <w:jc w:val="right"/>
              <w:rPr>
                <w:rFonts w:eastAsia="Times New Roman"/>
                <w:sz w:val="20"/>
                <w:szCs w:val="20"/>
              </w:rPr>
            </w:pPr>
            <w:r>
              <w:rPr>
                <w:rFonts w:eastAsia="Times New Roman"/>
                <w:sz w:val="20"/>
                <w:szCs w:val="20"/>
              </w:rPr>
              <w:t>57.4</w:t>
            </w:r>
          </w:p>
        </w:tc>
        <w:tc>
          <w:tcPr>
            <w:tcW w:w="50" w:type="pct"/>
            <w:shd w:val="clear" w:color="auto" w:fill="CCEEFF"/>
            <w:vAlign w:val="bottom"/>
            <w:hideMark/>
          </w:tcPr>
          <w:p w14:paraId="1877B4E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63503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0A23F4"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241221C8"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6A6BCD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A74D0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423BD1"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6DFD7E97"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0EE538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063E0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8654EF"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307505C1"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46A880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F1DA0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46E636"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4CFA7604"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F8E4D7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3EE28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84A755"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20146FBA" w14:textId="77777777" w:rsidR="00000000" w:rsidRDefault="00527094">
            <w:pPr>
              <w:jc w:val="right"/>
              <w:rPr>
                <w:rFonts w:eastAsia="Times New Roman"/>
                <w:sz w:val="20"/>
                <w:szCs w:val="20"/>
              </w:rPr>
            </w:pPr>
            <w:r>
              <w:rPr>
                <w:rFonts w:eastAsia="Times New Roman"/>
                <w:sz w:val="20"/>
                <w:szCs w:val="20"/>
              </w:rPr>
              <w:t>57.4</w:t>
            </w:r>
          </w:p>
        </w:tc>
        <w:tc>
          <w:tcPr>
            <w:tcW w:w="50" w:type="pct"/>
            <w:shd w:val="clear" w:color="auto" w:fill="CCEEFF"/>
            <w:vAlign w:val="bottom"/>
            <w:hideMark/>
          </w:tcPr>
          <w:p w14:paraId="4B0EF22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6DD7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E10A95"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335FDAAF" w14:textId="77777777" w:rsidR="00000000" w:rsidRDefault="00527094">
            <w:pPr>
              <w:jc w:val="right"/>
              <w:rPr>
                <w:rFonts w:eastAsia="Times New Roman"/>
                <w:sz w:val="20"/>
                <w:szCs w:val="20"/>
              </w:rPr>
            </w:pPr>
            <w:r>
              <w:rPr>
                <w:rFonts w:eastAsia="Times New Roman"/>
                <w:sz w:val="20"/>
                <w:szCs w:val="20"/>
              </w:rPr>
              <w:t>58.6</w:t>
            </w:r>
          </w:p>
        </w:tc>
        <w:tc>
          <w:tcPr>
            <w:tcW w:w="50" w:type="pct"/>
            <w:shd w:val="clear" w:color="auto" w:fill="CCEEFF"/>
            <w:vAlign w:val="bottom"/>
            <w:hideMark/>
          </w:tcPr>
          <w:p w14:paraId="7F553C6B" w14:textId="77777777" w:rsidR="00000000" w:rsidRDefault="00527094">
            <w:pPr>
              <w:rPr>
                <w:rFonts w:eastAsia="Times New Roman"/>
                <w:sz w:val="20"/>
                <w:szCs w:val="20"/>
              </w:rPr>
            </w:pPr>
            <w:r>
              <w:rPr>
                <w:rFonts w:eastAsia="Times New Roman"/>
                <w:sz w:val="20"/>
                <w:szCs w:val="20"/>
              </w:rPr>
              <w:t> </w:t>
            </w:r>
          </w:p>
        </w:tc>
      </w:tr>
      <w:tr w:rsidR="00527094" w14:paraId="0FF6F0BF" w14:textId="77777777">
        <w:trPr>
          <w:tblCellSpacing w:w="0" w:type="dxa"/>
        </w:trPr>
        <w:tc>
          <w:tcPr>
            <w:tcW w:w="0" w:type="auto"/>
            <w:shd w:val="clear" w:color="auto" w:fill="FFFFFF"/>
            <w:vAlign w:val="bottom"/>
            <w:hideMark/>
          </w:tcPr>
          <w:p w14:paraId="6F1BAC5E" w14:textId="77777777" w:rsidR="00000000" w:rsidRDefault="00527094">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14:paraId="13B08E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477FE3"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D021384"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3B35FB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6C6C4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83272D"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F82D072" w14:textId="77777777" w:rsidR="00000000" w:rsidRDefault="00527094">
            <w:pPr>
              <w:jc w:val="right"/>
              <w:rPr>
                <w:rFonts w:eastAsia="Times New Roman"/>
                <w:sz w:val="20"/>
                <w:szCs w:val="20"/>
              </w:rPr>
            </w:pPr>
            <w:r>
              <w:rPr>
                <w:rFonts w:eastAsia="Times New Roman"/>
                <w:sz w:val="20"/>
                <w:szCs w:val="20"/>
              </w:rPr>
              <w:t>4.20</w:t>
            </w:r>
          </w:p>
        </w:tc>
        <w:tc>
          <w:tcPr>
            <w:tcW w:w="50" w:type="pct"/>
            <w:shd w:val="clear" w:color="auto" w:fill="FFFFFF"/>
            <w:vAlign w:val="bottom"/>
            <w:hideMark/>
          </w:tcPr>
          <w:p w14:paraId="5883A338"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4D19744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8EDF4C"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8194B1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D627B1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18CAA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22D2A4"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2F7A7FB"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1F4303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E959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17DEEC"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CCFCC09"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AD3805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EF41E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BF1807"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D097C5D"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FF4E1F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8E777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89A775"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FEA192E" w14:textId="77777777" w:rsidR="00000000" w:rsidRDefault="00527094">
            <w:pPr>
              <w:jc w:val="right"/>
              <w:rPr>
                <w:rFonts w:eastAsia="Times New Roman"/>
                <w:sz w:val="20"/>
                <w:szCs w:val="20"/>
              </w:rPr>
            </w:pPr>
            <w:r>
              <w:rPr>
                <w:rFonts w:eastAsia="Times New Roman"/>
                <w:sz w:val="20"/>
                <w:szCs w:val="20"/>
              </w:rPr>
              <w:t>4.20</w:t>
            </w:r>
          </w:p>
        </w:tc>
        <w:tc>
          <w:tcPr>
            <w:tcW w:w="50" w:type="pct"/>
            <w:shd w:val="clear" w:color="auto" w:fill="FFFFFF"/>
            <w:vAlign w:val="bottom"/>
            <w:hideMark/>
          </w:tcPr>
          <w:p w14:paraId="32D4F1D2" w14:textId="77777777" w:rsidR="00000000" w:rsidRDefault="00527094">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14:paraId="2E4DE5A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6FDB6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11746" w14:textId="77777777" w:rsidR="00000000" w:rsidRDefault="0052709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26A0E3" w14:textId="77777777" w:rsidR="00000000" w:rsidRDefault="00527094">
            <w:pPr>
              <w:rPr>
                <w:rFonts w:eastAsia="Times New Roman"/>
                <w:sz w:val="20"/>
                <w:szCs w:val="20"/>
              </w:rPr>
            </w:pPr>
            <w:r>
              <w:rPr>
                <w:rFonts w:eastAsia="Times New Roman"/>
                <w:sz w:val="20"/>
                <w:szCs w:val="20"/>
              </w:rPr>
              <w:t> </w:t>
            </w:r>
          </w:p>
        </w:tc>
      </w:tr>
      <w:tr w:rsidR="00527094" w14:paraId="03C66C28" w14:textId="77777777">
        <w:trPr>
          <w:tblCellSpacing w:w="0" w:type="dxa"/>
        </w:trPr>
        <w:tc>
          <w:tcPr>
            <w:tcW w:w="0" w:type="auto"/>
            <w:shd w:val="clear" w:color="auto" w:fill="CCEEFF"/>
            <w:vAlign w:val="bottom"/>
            <w:hideMark/>
          </w:tcPr>
          <w:p w14:paraId="0F7E7F6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AEFE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026E6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3089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7D742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D7E3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4063F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6EB7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C4290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676BA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9CBA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265AF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BE63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3C49F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EF3F9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80F3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1C035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B955C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1CBB7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F931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B170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E2A9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41F7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919A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A500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CB1C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BD5B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375F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1A1D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6B249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67095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DD7A8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B2BB41" w14:textId="77777777" w:rsidR="00000000" w:rsidRDefault="00527094">
            <w:pPr>
              <w:rPr>
                <w:rFonts w:eastAsia="Times New Roman"/>
                <w:sz w:val="20"/>
                <w:szCs w:val="20"/>
              </w:rPr>
            </w:pPr>
            <w:r>
              <w:rPr>
                <w:rFonts w:eastAsia="Times New Roman"/>
                <w:sz w:val="20"/>
                <w:szCs w:val="20"/>
              </w:rPr>
              <w:t> </w:t>
            </w:r>
          </w:p>
        </w:tc>
      </w:tr>
      <w:tr w:rsidR="00527094" w14:paraId="63EF7E64" w14:textId="77777777">
        <w:trPr>
          <w:tblCellSpacing w:w="0" w:type="dxa"/>
        </w:trPr>
        <w:tc>
          <w:tcPr>
            <w:tcW w:w="0" w:type="auto"/>
            <w:shd w:val="clear" w:color="auto" w:fill="FFFFFF"/>
            <w:vAlign w:val="bottom"/>
            <w:hideMark/>
          </w:tcPr>
          <w:p w14:paraId="6E2FEF34" w14:textId="77777777" w:rsidR="00000000" w:rsidRDefault="00527094">
            <w:pPr>
              <w:pStyle w:val="a3"/>
              <w:spacing w:before="0" w:beforeAutospacing="0" w:after="0" w:afterAutospacing="0"/>
              <w:rPr>
                <w:sz w:val="20"/>
                <w:szCs w:val="20"/>
              </w:rPr>
            </w:pPr>
            <w:r>
              <w:rPr>
                <w:b/>
                <w:bCs/>
                <w:sz w:val="20"/>
                <w:szCs w:val="20"/>
                <w:u w:val="single"/>
              </w:rPr>
              <w:t>Unsecured Debt</w:t>
            </w:r>
          </w:p>
        </w:tc>
        <w:tc>
          <w:tcPr>
            <w:tcW w:w="0" w:type="auto"/>
            <w:shd w:val="clear" w:color="auto" w:fill="FFFFFF"/>
            <w:vAlign w:val="bottom"/>
            <w:hideMark/>
          </w:tcPr>
          <w:p w14:paraId="3FF8925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1284D8"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677F349F"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1612B605"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66DD93C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A97A6"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4318A627"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23AB00C2"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7248DD1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572B59"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5B26EDBE"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7F7B67F6"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3C5055A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3E43A"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5787741D"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27E5DDF"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44E3E59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EC9B51"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110F56C2"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14800C59"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F666AD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1D1F34"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63430613"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1D4CEE3B"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2B5C136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1BC60"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6E8473CE"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6A5BAA3B"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599E982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3F5679"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7CE53F0A" w14:textId="77777777" w:rsidR="00000000" w:rsidRDefault="00527094">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1B04FBC" w14:textId="77777777" w:rsidR="00000000" w:rsidRDefault="00527094">
            <w:pPr>
              <w:rPr>
                <w:rFonts w:eastAsia="Times New Roman"/>
                <w:sz w:val="20"/>
                <w:szCs w:val="20"/>
              </w:rPr>
            </w:pPr>
            <w:r>
              <w:rPr>
                <w:rFonts w:eastAsia="Times New Roman"/>
                <w:b/>
                <w:bCs/>
                <w:sz w:val="20"/>
                <w:szCs w:val="20"/>
              </w:rPr>
              <w:t> </w:t>
            </w:r>
          </w:p>
        </w:tc>
      </w:tr>
      <w:tr w:rsidR="00527094" w14:paraId="79FAD28D" w14:textId="77777777">
        <w:trPr>
          <w:tblCellSpacing w:w="0" w:type="dxa"/>
        </w:trPr>
        <w:tc>
          <w:tcPr>
            <w:tcW w:w="0" w:type="auto"/>
            <w:shd w:val="clear" w:color="auto" w:fill="CCEEFF"/>
            <w:vAlign w:val="bottom"/>
            <w:hideMark/>
          </w:tcPr>
          <w:p w14:paraId="75D0AAC7" w14:textId="77777777" w:rsidR="00000000" w:rsidRDefault="00527094">
            <w:pPr>
              <w:pStyle w:val="a3"/>
              <w:spacing w:before="0" w:beforeAutospacing="0" w:after="0" w:afterAutospacing="0"/>
              <w:rPr>
                <w:sz w:val="20"/>
                <w:szCs w:val="20"/>
              </w:rPr>
            </w:pPr>
            <w:r>
              <w:rPr>
                <w:sz w:val="20"/>
                <w:szCs w:val="20"/>
              </w:rPr>
              <w:t>Fixed Rate</w:t>
            </w:r>
          </w:p>
        </w:tc>
        <w:tc>
          <w:tcPr>
            <w:tcW w:w="50" w:type="pct"/>
            <w:shd w:val="clear" w:color="auto" w:fill="CCEEFF"/>
            <w:vAlign w:val="bottom"/>
            <w:hideMark/>
          </w:tcPr>
          <w:p w14:paraId="61348D1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150A9D"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1A44F46A"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261560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2D59D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DCD2D8"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2391695C"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C83AD7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A1725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AB2BA0"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6FB55451" w14:textId="77777777" w:rsidR="00000000" w:rsidRDefault="00527094">
            <w:pPr>
              <w:jc w:val="right"/>
              <w:rPr>
                <w:rFonts w:eastAsia="Times New Roman"/>
                <w:sz w:val="20"/>
                <w:szCs w:val="20"/>
              </w:rPr>
            </w:pPr>
            <w:r>
              <w:rPr>
                <w:rFonts w:eastAsia="Times New Roman"/>
                <w:sz w:val="20"/>
                <w:szCs w:val="20"/>
              </w:rPr>
              <w:t>483.6</w:t>
            </w:r>
          </w:p>
        </w:tc>
        <w:tc>
          <w:tcPr>
            <w:tcW w:w="50" w:type="pct"/>
            <w:shd w:val="clear" w:color="auto" w:fill="CCEEFF"/>
            <w:vAlign w:val="bottom"/>
            <w:hideMark/>
          </w:tcPr>
          <w:p w14:paraId="1A70AB4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681AF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DF2A7C"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176D85BB" w14:textId="77777777" w:rsidR="00000000" w:rsidRDefault="00527094">
            <w:pPr>
              <w:jc w:val="right"/>
              <w:rPr>
                <w:rFonts w:eastAsia="Times New Roman"/>
                <w:sz w:val="20"/>
                <w:szCs w:val="20"/>
              </w:rPr>
            </w:pPr>
            <w:r>
              <w:rPr>
                <w:rFonts w:eastAsia="Times New Roman"/>
                <w:sz w:val="20"/>
                <w:szCs w:val="20"/>
              </w:rPr>
              <w:t>496.5</w:t>
            </w:r>
          </w:p>
        </w:tc>
        <w:tc>
          <w:tcPr>
            <w:tcW w:w="50" w:type="pct"/>
            <w:shd w:val="clear" w:color="auto" w:fill="CCEEFF"/>
            <w:vAlign w:val="bottom"/>
            <w:hideMark/>
          </w:tcPr>
          <w:p w14:paraId="5FB010A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7AC51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E7933F"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4F08787B" w14:textId="77777777" w:rsidR="00000000" w:rsidRDefault="00527094">
            <w:pPr>
              <w:jc w:val="right"/>
              <w:rPr>
                <w:rFonts w:eastAsia="Times New Roman"/>
                <w:sz w:val="20"/>
                <w:szCs w:val="20"/>
              </w:rPr>
            </w:pPr>
            <w:r>
              <w:rPr>
                <w:rFonts w:eastAsia="Times New Roman"/>
                <w:sz w:val="20"/>
                <w:szCs w:val="20"/>
              </w:rPr>
              <w:t>348.0</w:t>
            </w:r>
          </w:p>
        </w:tc>
        <w:tc>
          <w:tcPr>
            <w:tcW w:w="50" w:type="pct"/>
            <w:shd w:val="clear" w:color="auto" w:fill="CCEEFF"/>
            <w:vAlign w:val="bottom"/>
            <w:hideMark/>
          </w:tcPr>
          <w:p w14:paraId="1302EC8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398AA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881F2D"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1520CF5A" w14:textId="77777777" w:rsidR="00000000" w:rsidRDefault="00527094">
            <w:pPr>
              <w:jc w:val="right"/>
              <w:rPr>
                <w:rFonts w:eastAsia="Times New Roman"/>
                <w:sz w:val="20"/>
                <w:szCs w:val="20"/>
              </w:rPr>
            </w:pPr>
            <w:r>
              <w:rPr>
                <w:rFonts w:eastAsia="Times New Roman"/>
                <w:sz w:val="20"/>
                <w:szCs w:val="20"/>
              </w:rPr>
              <w:t>2,960.6</w:t>
            </w:r>
          </w:p>
        </w:tc>
        <w:tc>
          <w:tcPr>
            <w:tcW w:w="50" w:type="pct"/>
            <w:shd w:val="clear" w:color="auto" w:fill="CCEEFF"/>
            <w:vAlign w:val="bottom"/>
            <w:hideMark/>
          </w:tcPr>
          <w:p w14:paraId="26BF668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CDBAD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858380"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7F12A495" w14:textId="77777777" w:rsidR="00000000" w:rsidRDefault="00527094">
            <w:pPr>
              <w:jc w:val="right"/>
              <w:rPr>
                <w:rFonts w:eastAsia="Times New Roman"/>
                <w:sz w:val="20"/>
                <w:szCs w:val="20"/>
              </w:rPr>
            </w:pPr>
            <w:r>
              <w:rPr>
                <w:rFonts w:eastAsia="Times New Roman"/>
                <w:sz w:val="20"/>
                <w:szCs w:val="20"/>
              </w:rPr>
              <w:t>4,288.7</w:t>
            </w:r>
          </w:p>
        </w:tc>
        <w:tc>
          <w:tcPr>
            <w:tcW w:w="50" w:type="pct"/>
            <w:shd w:val="clear" w:color="auto" w:fill="CCEEFF"/>
            <w:vAlign w:val="bottom"/>
            <w:hideMark/>
          </w:tcPr>
          <w:p w14:paraId="0940D53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40D78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993E7F" w14:textId="77777777" w:rsidR="00000000" w:rsidRDefault="00527094">
            <w:pPr>
              <w:rPr>
                <w:rFonts w:eastAsia="Times New Roman"/>
                <w:sz w:val="20"/>
                <w:szCs w:val="20"/>
              </w:rPr>
            </w:pPr>
            <w:r>
              <w:rPr>
                <w:rFonts w:eastAsia="Times New Roman"/>
                <w:sz w:val="20"/>
                <w:szCs w:val="20"/>
              </w:rPr>
              <w:t>$</w:t>
            </w:r>
          </w:p>
        </w:tc>
        <w:tc>
          <w:tcPr>
            <w:tcW w:w="350" w:type="pct"/>
            <w:shd w:val="clear" w:color="auto" w:fill="CCEEFF"/>
            <w:vAlign w:val="bottom"/>
            <w:hideMark/>
          </w:tcPr>
          <w:p w14:paraId="6AFF498D" w14:textId="77777777" w:rsidR="00000000" w:rsidRDefault="00527094">
            <w:pPr>
              <w:jc w:val="right"/>
              <w:rPr>
                <w:rFonts w:eastAsia="Times New Roman"/>
                <w:sz w:val="20"/>
                <w:szCs w:val="20"/>
              </w:rPr>
            </w:pPr>
            <w:r>
              <w:rPr>
                <w:rFonts w:eastAsia="Times New Roman"/>
                <w:sz w:val="20"/>
                <w:szCs w:val="20"/>
              </w:rPr>
              <w:t>4,351.1</w:t>
            </w:r>
          </w:p>
        </w:tc>
        <w:tc>
          <w:tcPr>
            <w:tcW w:w="50" w:type="pct"/>
            <w:shd w:val="clear" w:color="auto" w:fill="CCEEFF"/>
            <w:vAlign w:val="bottom"/>
            <w:hideMark/>
          </w:tcPr>
          <w:p w14:paraId="5EB5A7FF" w14:textId="77777777" w:rsidR="00000000" w:rsidRDefault="00527094">
            <w:pPr>
              <w:rPr>
                <w:rFonts w:eastAsia="Times New Roman"/>
                <w:sz w:val="20"/>
                <w:szCs w:val="20"/>
              </w:rPr>
            </w:pPr>
            <w:r>
              <w:rPr>
                <w:rFonts w:eastAsia="Times New Roman"/>
                <w:sz w:val="20"/>
                <w:szCs w:val="20"/>
              </w:rPr>
              <w:t> </w:t>
            </w:r>
          </w:p>
        </w:tc>
      </w:tr>
      <w:tr w:rsidR="00527094" w14:paraId="3290C4E1" w14:textId="77777777">
        <w:trPr>
          <w:tblCellSpacing w:w="0" w:type="dxa"/>
        </w:trPr>
        <w:tc>
          <w:tcPr>
            <w:tcW w:w="0" w:type="auto"/>
            <w:shd w:val="clear" w:color="auto" w:fill="FFFFFF"/>
            <w:vAlign w:val="bottom"/>
            <w:hideMark/>
          </w:tcPr>
          <w:p w14:paraId="266C6129" w14:textId="77777777" w:rsidR="00000000" w:rsidRDefault="00527094">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14:paraId="26D8382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EE732D"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9C564BC"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4B63C8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3D557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04C69E"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C44760F"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972156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AC2FA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AC7FE5"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4B33B73" w14:textId="77777777" w:rsidR="00000000" w:rsidRDefault="00527094">
            <w:pPr>
              <w:jc w:val="right"/>
              <w:rPr>
                <w:rFonts w:eastAsia="Times New Roman"/>
                <w:sz w:val="20"/>
                <w:szCs w:val="20"/>
              </w:rPr>
            </w:pPr>
            <w:r>
              <w:rPr>
                <w:rFonts w:eastAsia="Times New Roman"/>
                <w:sz w:val="20"/>
                <w:szCs w:val="20"/>
              </w:rPr>
              <w:t>3.20</w:t>
            </w:r>
          </w:p>
        </w:tc>
        <w:tc>
          <w:tcPr>
            <w:tcW w:w="50" w:type="pct"/>
            <w:shd w:val="clear" w:color="auto" w:fill="FFFFFF"/>
            <w:vAlign w:val="bottom"/>
            <w:hideMark/>
          </w:tcPr>
          <w:p w14:paraId="2AFC7AA7"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32FA244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4E4F78"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44B97B7" w14:textId="77777777" w:rsidR="00000000" w:rsidRDefault="00527094">
            <w:pPr>
              <w:jc w:val="right"/>
              <w:rPr>
                <w:rFonts w:eastAsia="Times New Roman"/>
                <w:sz w:val="20"/>
                <w:szCs w:val="20"/>
              </w:rPr>
            </w:pPr>
            <w:r>
              <w:rPr>
                <w:rFonts w:eastAsia="Times New Roman"/>
                <w:sz w:val="20"/>
                <w:szCs w:val="20"/>
              </w:rPr>
              <w:t>3.40</w:t>
            </w:r>
          </w:p>
        </w:tc>
        <w:tc>
          <w:tcPr>
            <w:tcW w:w="50" w:type="pct"/>
            <w:shd w:val="clear" w:color="auto" w:fill="FFFFFF"/>
            <w:vAlign w:val="bottom"/>
            <w:hideMark/>
          </w:tcPr>
          <w:p w14:paraId="1308419E"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3ECA00D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9046DF"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7FBCD60" w14:textId="77777777" w:rsidR="00000000" w:rsidRDefault="00527094">
            <w:pPr>
              <w:jc w:val="right"/>
              <w:rPr>
                <w:rFonts w:eastAsia="Times New Roman"/>
                <w:sz w:val="20"/>
                <w:szCs w:val="20"/>
              </w:rPr>
            </w:pPr>
            <w:r>
              <w:rPr>
                <w:rFonts w:eastAsia="Times New Roman"/>
                <w:sz w:val="20"/>
                <w:szCs w:val="20"/>
              </w:rPr>
              <w:t>3.13</w:t>
            </w:r>
          </w:p>
        </w:tc>
        <w:tc>
          <w:tcPr>
            <w:tcW w:w="50" w:type="pct"/>
            <w:shd w:val="clear" w:color="auto" w:fill="FFFFFF"/>
            <w:vAlign w:val="bottom"/>
            <w:hideMark/>
          </w:tcPr>
          <w:p w14:paraId="2202B917"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5D83595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06F1A4"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C70D94D" w14:textId="77777777" w:rsidR="00000000" w:rsidRDefault="00527094">
            <w:pPr>
              <w:jc w:val="right"/>
              <w:rPr>
                <w:rFonts w:eastAsia="Times New Roman"/>
                <w:sz w:val="20"/>
                <w:szCs w:val="20"/>
              </w:rPr>
            </w:pPr>
            <w:r>
              <w:rPr>
                <w:rFonts w:eastAsia="Times New Roman"/>
                <w:sz w:val="20"/>
                <w:szCs w:val="20"/>
              </w:rPr>
              <w:t>3.59</w:t>
            </w:r>
          </w:p>
        </w:tc>
        <w:tc>
          <w:tcPr>
            <w:tcW w:w="50" w:type="pct"/>
            <w:shd w:val="clear" w:color="auto" w:fill="FFFFFF"/>
            <w:vAlign w:val="bottom"/>
            <w:hideMark/>
          </w:tcPr>
          <w:p w14:paraId="604D25B4" w14:textId="77777777" w:rsidR="00000000" w:rsidRDefault="00527094">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14:paraId="0AAC563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743E12"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67DF3F5" w14:textId="77777777" w:rsidR="00000000" w:rsidRDefault="00527094">
            <w:pPr>
              <w:jc w:val="right"/>
              <w:rPr>
                <w:rFonts w:eastAsia="Times New Roman"/>
                <w:sz w:val="20"/>
                <w:szCs w:val="20"/>
              </w:rPr>
            </w:pPr>
            <w:r>
              <w:rPr>
                <w:rFonts w:eastAsia="Times New Roman"/>
                <w:sz w:val="20"/>
                <w:szCs w:val="20"/>
              </w:rPr>
              <w:t>3.49</w:t>
            </w:r>
          </w:p>
        </w:tc>
        <w:tc>
          <w:tcPr>
            <w:tcW w:w="50" w:type="pct"/>
            <w:shd w:val="clear" w:color="auto" w:fill="FFFFFF"/>
            <w:vAlign w:val="bottom"/>
            <w:hideMark/>
          </w:tcPr>
          <w:p w14:paraId="3904D96B" w14:textId="77777777" w:rsidR="00000000" w:rsidRDefault="00527094">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14:paraId="0A15A86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B2D2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30C715" w14:textId="77777777" w:rsidR="00000000" w:rsidRDefault="0052709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5218DD" w14:textId="77777777" w:rsidR="00000000" w:rsidRDefault="00527094">
            <w:pPr>
              <w:rPr>
                <w:rFonts w:eastAsia="Times New Roman"/>
                <w:sz w:val="20"/>
                <w:szCs w:val="20"/>
              </w:rPr>
            </w:pPr>
            <w:r>
              <w:rPr>
                <w:rFonts w:eastAsia="Times New Roman"/>
                <w:sz w:val="20"/>
                <w:szCs w:val="20"/>
              </w:rPr>
              <w:t> </w:t>
            </w:r>
          </w:p>
        </w:tc>
      </w:tr>
      <w:tr w:rsidR="00527094" w14:paraId="32379047" w14:textId="77777777">
        <w:trPr>
          <w:tblCellSpacing w:w="0" w:type="dxa"/>
        </w:trPr>
        <w:tc>
          <w:tcPr>
            <w:tcW w:w="0" w:type="auto"/>
            <w:shd w:val="clear" w:color="auto" w:fill="CCEEFF"/>
            <w:vAlign w:val="bottom"/>
            <w:hideMark/>
          </w:tcPr>
          <w:p w14:paraId="76DDC97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709B7"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C748B"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5FC1C6"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99BB7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BAC68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04A79"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5B45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B5144C"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D8908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2CB07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A3B31"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45BC0"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0C8A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EFB9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76EE42"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F0D28"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86D5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17196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35DE0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498E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BB8DC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3A97F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E4603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C832F"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51947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A674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1845BE"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839A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98FC5"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D3DF4"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9E74C3"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F21C62" w14:textId="77777777" w:rsidR="00000000" w:rsidRDefault="00527094">
            <w:pPr>
              <w:rPr>
                <w:rFonts w:eastAsia="Times New Roman"/>
                <w:sz w:val="20"/>
                <w:szCs w:val="20"/>
              </w:rPr>
            </w:pPr>
            <w:r>
              <w:rPr>
                <w:rFonts w:eastAsia="Times New Roman"/>
                <w:sz w:val="20"/>
                <w:szCs w:val="20"/>
              </w:rPr>
              <w:t> </w:t>
            </w:r>
          </w:p>
        </w:tc>
      </w:tr>
      <w:tr w:rsidR="00527094" w14:paraId="4EBE3EDF" w14:textId="77777777">
        <w:trPr>
          <w:tblCellSpacing w:w="0" w:type="dxa"/>
        </w:trPr>
        <w:tc>
          <w:tcPr>
            <w:tcW w:w="0" w:type="auto"/>
            <w:shd w:val="clear" w:color="auto" w:fill="FFFFFF"/>
            <w:vAlign w:val="bottom"/>
            <w:hideMark/>
          </w:tcPr>
          <w:p w14:paraId="18A6C1DF" w14:textId="77777777" w:rsidR="00000000" w:rsidRDefault="00527094">
            <w:pPr>
              <w:pStyle w:val="a3"/>
              <w:spacing w:before="0" w:beforeAutospacing="0" w:after="0" w:afterAutospacing="0"/>
              <w:rPr>
                <w:sz w:val="20"/>
                <w:szCs w:val="20"/>
              </w:rPr>
            </w:pPr>
            <w:r>
              <w:rPr>
                <w:sz w:val="20"/>
                <w:szCs w:val="20"/>
              </w:rPr>
              <w:t>Floating Rate</w:t>
            </w:r>
          </w:p>
        </w:tc>
        <w:tc>
          <w:tcPr>
            <w:tcW w:w="50" w:type="pct"/>
            <w:shd w:val="clear" w:color="auto" w:fill="FFFFFF"/>
            <w:vAlign w:val="bottom"/>
            <w:hideMark/>
          </w:tcPr>
          <w:p w14:paraId="506845D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4BAA3C"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30CE9FEE"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1DA490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3043A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A0E4D2"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137713C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A3E51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C38293"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750092"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09A3993D" w14:textId="77777777" w:rsidR="00000000" w:rsidRDefault="00527094">
            <w:pPr>
              <w:jc w:val="right"/>
              <w:rPr>
                <w:rFonts w:eastAsia="Times New Roman"/>
                <w:sz w:val="20"/>
                <w:szCs w:val="20"/>
              </w:rPr>
            </w:pPr>
            <w:r>
              <w:rPr>
                <w:rFonts w:eastAsia="Times New Roman"/>
                <w:sz w:val="20"/>
                <w:szCs w:val="20"/>
              </w:rPr>
              <w:t>131.7</w:t>
            </w:r>
          </w:p>
        </w:tc>
        <w:tc>
          <w:tcPr>
            <w:tcW w:w="50" w:type="pct"/>
            <w:shd w:val="clear" w:color="auto" w:fill="FFFFFF"/>
            <w:vAlign w:val="bottom"/>
            <w:hideMark/>
          </w:tcPr>
          <w:p w14:paraId="643A757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B9ABA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F9FEF4"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23B6AAB6"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1BFDA5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2712D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0BA663"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1FFB18B5"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EEF8B3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BD28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B86D59"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7B47CB7E"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C568AA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11CF1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431F9E"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3F20BDF3" w14:textId="77777777" w:rsidR="00000000" w:rsidRDefault="00527094">
            <w:pPr>
              <w:jc w:val="right"/>
              <w:rPr>
                <w:rFonts w:eastAsia="Times New Roman"/>
                <w:sz w:val="20"/>
                <w:szCs w:val="20"/>
              </w:rPr>
            </w:pPr>
            <w:r>
              <w:rPr>
                <w:rFonts w:eastAsia="Times New Roman"/>
                <w:sz w:val="20"/>
                <w:szCs w:val="20"/>
              </w:rPr>
              <w:t>131.7</w:t>
            </w:r>
          </w:p>
        </w:tc>
        <w:tc>
          <w:tcPr>
            <w:tcW w:w="50" w:type="pct"/>
            <w:shd w:val="clear" w:color="auto" w:fill="FFFFFF"/>
            <w:vAlign w:val="bottom"/>
            <w:hideMark/>
          </w:tcPr>
          <w:p w14:paraId="6623ED0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4989B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34758A" w14:textId="77777777" w:rsidR="00000000" w:rsidRDefault="00527094">
            <w:pPr>
              <w:rPr>
                <w:rFonts w:eastAsia="Times New Roman"/>
                <w:sz w:val="20"/>
                <w:szCs w:val="20"/>
              </w:rPr>
            </w:pPr>
            <w:r>
              <w:rPr>
                <w:rFonts w:eastAsia="Times New Roman"/>
                <w:sz w:val="20"/>
                <w:szCs w:val="20"/>
              </w:rPr>
              <w:t>$</w:t>
            </w:r>
          </w:p>
        </w:tc>
        <w:tc>
          <w:tcPr>
            <w:tcW w:w="350" w:type="pct"/>
            <w:shd w:val="clear" w:color="auto" w:fill="FFFFFF"/>
            <w:vAlign w:val="bottom"/>
            <w:hideMark/>
          </w:tcPr>
          <w:p w14:paraId="3A8DFCFC" w14:textId="77777777" w:rsidR="00000000" w:rsidRDefault="00527094">
            <w:pPr>
              <w:jc w:val="right"/>
              <w:rPr>
                <w:rFonts w:eastAsia="Times New Roman"/>
                <w:sz w:val="20"/>
                <w:szCs w:val="20"/>
              </w:rPr>
            </w:pPr>
            <w:r>
              <w:rPr>
                <w:rFonts w:eastAsia="Times New Roman"/>
                <w:sz w:val="20"/>
                <w:szCs w:val="20"/>
              </w:rPr>
              <w:t>133.7</w:t>
            </w:r>
          </w:p>
        </w:tc>
        <w:tc>
          <w:tcPr>
            <w:tcW w:w="50" w:type="pct"/>
            <w:shd w:val="clear" w:color="auto" w:fill="FFFFFF"/>
            <w:vAlign w:val="bottom"/>
            <w:hideMark/>
          </w:tcPr>
          <w:p w14:paraId="742F1ED1" w14:textId="77777777" w:rsidR="00000000" w:rsidRDefault="00527094">
            <w:pPr>
              <w:rPr>
                <w:rFonts w:eastAsia="Times New Roman"/>
                <w:sz w:val="20"/>
                <w:szCs w:val="20"/>
              </w:rPr>
            </w:pPr>
            <w:r>
              <w:rPr>
                <w:rFonts w:eastAsia="Times New Roman"/>
                <w:sz w:val="20"/>
                <w:szCs w:val="20"/>
              </w:rPr>
              <w:t> </w:t>
            </w:r>
          </w:p>
        </w:tc>
      </w:tr>
      <w:tr w:rsidR="00527094" w14:paraId="144CB80E" w14:textId="77777777">
        <w:trPr>
          <w:tblCellSpacing w:w="0" w:type="dxa"/>
        </w:trPr>
        <w:tc>
          <w:tcPr>
            <w:tcW w:w="0" w:type="auto"/>
            <w:shd w:val="clear" w:color="auto" w:fill="CCEEFF"/>
            <w:vAlign w:val="bottom"/>
            <w:hideMark/>
          </w:tcPr>
          <w:p w14:paraId="737ED018" w14:textId="77777777" w:rsidR="00000000" w:rsidRDefault="00527094">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630215D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0BB862"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6AD700C"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6B0848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D82459"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F7624B"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F82A9BE"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2B6B75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A44BD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FF2D28"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374497F" w14:textId="77777777" w:rsidR="00000000" w:rsidRDefault="00527094">
            <w:pPr>
              <w:jc w:val="right"/>
              <w:rPr>
                <w:rFonts w:eastAsia="Times New Roman"/>
                <w:sz w:val="20"/>
                <w:szCs w:val="20"/>
              </w:rPr>
            </w:pPr>
            <w:r>
              <w:rPr>
                <w:rFonts w:eastAsia="Times New Roman"/>
                <w:sz w:val="20"/>
                <w:szCs w:val="20"/>
              </w:rPr>
              <w:t>3.28</w:t>
            </w:r>
          </w:p>
        </w:tc>
        <w:tc>
          <w:tcPr>
            <w:tcW w:w="50" w:type="pct"/>
            <w:shd w:val="clear" w:color="auto" w:fill="CCEEFF"/>
            <w:vAlign w:val="bottom"/>
            <w:hideMark/>
          </w:tcPr>
          <w:p w14:paraId="5F34718A" w14:textId="77777777" w:rsidR="00000000" w:rsidRDefault="0052709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79F4A44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4E4BBF"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0BBCBB3A"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267559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4A900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84ACD9"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0E7B2CF"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3C38EF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502C1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B83517"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BD978D0"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0FCAC04"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5FD10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E2962B" w14:textId="77777777" w:rsidR="00000000" w:rsidRDefault="0052709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5A7B1EE" w14:textId="77777777" w:rsidR="00000000" w:rsidRDefault="00527094">
            <w:pPr>
              <w:jc w:val="right"/>
              <w:rPr>
                <w:rFonts w:eastAsia="Times New Roman"/>
                <w:sz w:val="20"/>
                <w:szCs w:val="20"/>
              </w:rPr>
            </w:pPr>
            <w:r>
              <w:rPr>
                <w:rFonts w:eastAsia="Times New Roman"/>
                <w:sz w:val="20"/>
                <w:szCs w:val="20"/>
              </w:rPr>
              <w:t>3.28</w:t>
            </w:r>
          </w:p>
        </w:tc>
        <w:tc>
          <w:tcPr>
            <w:tcW w:w="50" w:type="pct"/>
            <w:shd w:val="clear" w:color="auto" w:fill="CCEEFF"/>
            <w:vAlign w:val="bottom"/>
            <w:hideMark/>
          </w:tcPr>
          <w:p w14:paraId="3D61EE26" w14:textId="77777777" w:rsidR="00000000" w:rsidRDefault="00527094">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14:paraId="70F9F6DA"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7FFB3D" w14:textId="77777777" w:rsidR="00000000" w:rsidRDefault="0052709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61853" w14:textId="77777777" w:rsidR="00000000" w:rsidRDefault="0052709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6FCE5E" w14:textId="77777777" w:rsidR="00000000" w:rsidRDefault="00527094">
            <w:pPr>
              <w:rPr>
                <w:rFonts w:eastAsia="Times New Roman"/>
                <w:sz w:val="20"/>
                <w:szCs w:val="20"/>
              </w:rPr>
            </w:pPr>
            <w:r>
              <w:rPr>
                <w:rFonts w:eastAsia="Times New Roman"/>
                <w:sz w:val="20"/>
                <w:szCs w:val="20"/>
              </w:rPr>
              <w:t> </w:t>
            </w:r>
          </w:p>
        </w:tc>
      </w:tr>
    </w:tbl>
    <w:p w14:paraId="5E3DA4A3" w14:textId="77777777" w:rsidR="00000000" w:rsidRDefault="00527094">
      <w:pPr>
        <w:pStyle w:val="a3"/>
        <w:spacing w:before="0" w:beforeAutospacing="0" w:after="0" w:afterAutospacing="0"/>
        <w:ind w:firstLine="360"/>
        <w:jc w:val="both"/>
        <w:rPr>
          <w:sz w:val="20"/>
          <w:szCs w:val="20"/>
        </w:rPr>
      </w:pPr>
      <w:r>
        <w:rPr>
          <w:sz w:val="20"/>
          <w:szCs w:val="20"/>
        </w:rPr>
        <w:t> </w:t>
      </w:r>
    </w:p>
    <w:p w14:paraId="7DE1D9DA" w14:textId="77777777" w:rsidR="00000000" w:rsidRDefault="00527094">
      <w:pPr>
        <w:pStyle w:val="a3"/>
        <w:spacing w:before="0" w:beforeAutospacing="0" w:after="0" w:afterAutospacing="0"/>
        <w:ind w:firstLine="360"/>
        <w:jc w:val="both"/>
        <w:rPr>
          <w:sz w:val="20"/>
          <w:szCs w:val="20"/>
        </w:rPr>
      </w:pPr>
      <w:r>
        <w:rPr>
          <w:sz w:val="20"/>
          <w:szCs w:val="20"/>
        </w:rPr>
        <w:t>Based on the Company’</w:t>
      </w:r>
      <w:r>
        <w:rPr>
          <w:sz w:val="20"/>
          <w:szCs w:val="20"/>
        </w:rPr>
        <w:t>s variable-rate debt balances, interest expense would have increased by $0.9 million for the six months ended June 30, 2019 if short-term interest rates were 1.0% higher.</w:t>
      </w:r>
    </w:p>
    <w:p w14:paraId="5C6F7BD3" w14:textId="77777777" w:rsidR="00000000" w:rsidRDefault="00527094">
      <w:pPr>
        <w:pStyle w:val="a3"/>
        <w:spacing w:before="0" w:beforeAutospacing="0" w:after="0" w:afterAutospacing="0"/>
        <w:rPr>
          <w:sz w:val="20"/>
          <w:szCs w:val="20"/>
        </w:rPr>
      </w:pPr>
      <w:r>
        <w:rPr>
          <w:sz w:val="20"/>
          <w:szCs w:val="20"/>
        </w:rPr>
        <w:t> </w:t>
      </w:r>
    </w:p>
    <w:p w14:paraId="3BEE42C4" w14:textId="77777777" w:rsidR="00000000" w:rsidRDefault="00527094">
      <w:pPr>
        <w:pStyle w:val="a3"/>
        <w:spacing w:before="0" w:beforeAutospacing="0" w:after="0" w:afterAutospacing="0"/>
        <w:rPr>
          <w:sz w:val="20"/>
          <w:szCs w:val="20"/>
        </w:rPr>
      </w:pPr>
      <w:r>
        <w:rPr>
          <w:sz w:val="20"/>
          <w:szCs w:val="20"/>
        </w:rPr>
        <w:t> </w:t>
      </w:r>
    </w:p>
    <w:p w14:paraId="3E842F5F" w14:textId="77777777" w:rsidR="00000000" w:rsidRDefault="00527094">
      <w:pPr>
        <w:pStyle w:val="a3"/>
        <w:spacing w:before="0" w:beforeAutospacing="0" w:after="0" w:afterAutospacing="0"/>
        <w:rPr>
          <w:sz w:val="20"/>
          <w:szCs w:val="20"/>
        </w:rPr>
      </w:pPr>
      <w:r>
        <w:rPr>
          <w:b/>
          <w:bCs/>
          <w:sz w:val="20"/>
          <w:szCs w:val="20"/>
        </w:rPr>
        <w:t>Item 4.  Controls and Procedures.</w:t>
      </w:r>
    </w:p>
    <w:p w14:paraId="701A2501" w14:textId="77777777" w:rsidR="00000000" w:rsidRDefault="00527094">
      <w:pPr>
        <w:pStyle w:val="a3"/>
        <w:spacing w:before="0" w:beforeAutospacing="0" w:after="0" w:afterAutospacing="0"/>
        <w:jc w:val="both"/>
        <w:rPr>
          <w:sz w:val="20"/>
          <w:szCs w:val="20"/>
        </w:rPr>
      </w:pPr>
      <w:r>
        <w:rPr>
          <w:sz w:val="20"/>
          <w:szCs w:val="20"/>
        </w:rPr>
        <w:t> </w:t>
      </w:r>
    </w:p>
    <w:p w14:paraId="360A7ADE" w14:textId="77777777" w:rsidR="00000000" w:rsidRDefault="00527094">
      <w:pPr>
        <w:pStyle w:val="a3"/>
        <w:spacing w:before="0" w:beforeAutospacing="0" w:after="0" w:afterAutospacing="0"/>
        <w:ind w:firstLine="360"/>
        <w:jc w:val="both"/>
        <w:rPr>
          <w:sz w:val="20"/>
          <w:szCs w:val="20"/>
        </w:rPr>
      </w:pPr>
      <w:r>
        <w:rPr>
          <w:sz w:val="20"/>
          <w:szCs w:val="20"/>
        </w:rPr>
        <w:t>The Company’s managem</w:t>
      </w:r>
      <w:r>
        <w:rPr>
          <w:sz w:val="20"/>
          <w:szCs w:val="20"/>
        </w:rPr>
        <w:t>ent, with the participation of the Company’s Chief Executive Officer and Chief Financial Officer, has evaluated the effectiveness of the Company’s disclosure controls and procedures (as such term is defined in Rules 13a-15(e) and 15d-15(e) under the Securi</w:t>
      </w:r>
      <w:r>
        <w:rPr>
          <w:sz w:val="20"/>
          <w:szCs w:val="20"/>
        </w:rPr>
        <w:t>ties Exchange Act of 1934, as amended (the “Exchange Act”)) as of the end of the period covered by this report. Based on such evaluation, the Company’s Chief Executive Officer and Chief Financial Officer have concluded that, as of the end of such period, t</w:t>
      </w:r>
      <w:r>
        <w:rPr>
          <w:sz w:val="20"/>
          <w:szCs w:val="20"/>
        </w:rPr>
        <w:t>he Company’s disclosure controls and procedures are effective.</w:t>
      </w:r>
    </w:p>
    <w:p w14:paraId="4B1878E1" w14:textId="77777777" w:rsidR="00000000" w:rsidRDefault="00527094">
      <w:pPr>
        <w:pStyle w:val="a3"/>
        <w:spacing w:before="0" w:beforeAutospacing="0" w:after="0" w:afterAutospacing="0"/>
        <w:ind w:firstLine="360"/>
        <w:jc w:val="both"/>
        <w:rPr>
          <w:sz w:val="20"/>
          <w:szCs w:val="20"/>
        </w:rPr>
      </w:pPr>
      <w:r>
        <w:rPr>
          <w:sz w:val="20"/>
          <w:szCs w:val="20"/>
        </w:rPr>
        <w:t> </w:t>
      </w:r>
    </w:p>
    <w:p w14:paraId="04E22E9A" w14:textId="77777777" w:rsidR="00000000" w:rsidRDefault="00527094">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during the fiscal quarter to which this report relates that have materially affected, or are reasona</w:t>
      </w:r>
      <w:r>
        <w:rPr>
          <w:sz w:val="20"/>
          <w:szCs w:val="20"/>
        </w:rPr>
        <w:t>bly likely to materially affect, the Company’s internal control over financial reporting.</w:t>
      </w:r>
    </w:p>
    <w:p w14:paraId="74227BC5" w14:textId="77777777" w:rsidR="00000000" w:rsidRDefault="00527094">
      <w:pPr>
        <w:pStyle w:val="a3"/>
        <w:spacing w:before="0" w:beforeAutospacing="0" w:after="0" w:afterAutospacing="0"/>
        <w:ind w:firstLine="360"/>
        <w:jc w:val="both"/>
        <w:rPr>
          <w:sz w:val="20"/>
          <w:szCs w:val="20"/>
        </w:rPr>
      </w:pPr>
      <w:r>
        <w:rPr>
          <w:sz w:val="20"/>
          <w:szCs w:val="20"/>
        </w:rPr>
        <w:t> </w:t>
      </w:r>
    </w:p>
    <w:p w14:paraId="69F32CC0" w14:textId="77777777" w:rsidR="00000000" w:rsidRDefault="00527094">
      <w:pPr>
        <w:jc w:val="center"/>
        <w:divId w:val="541097319"/>
        <w:rPr>
          <w:rFonts w:eastAsia="Times New Roman"/>
          <w:sz w:val="20"/>
          <w:szCs w:val="20"/>
        </w:rPr>
      </w:pPr>
      <w:r>
        <w:rPr>
          <w:rFonts w:eastAsia="Times New Roman"/>
          <w:sz w:val="20"/>
          <w:szCs w:val="20"/>
        </w:rPr>
        <w:t xml:space="preserve">34 </w:t>
      </w:r>
    </w:p>
    <w:p w14:paraId="3108A914" w14:textId="77777777" w:rsidR="00000000" w:rsidRDefault="00527094">
      <w:pPr>
        <w:divId w:val="541097319"/>
        <w:rPr>
          <w:rFonts w:eastAsia="Times New Roman"/>
          <w:sz w:val="20"/>
          <w:szCs w:val="20"/>
        </w:rPr>
      </w:pPr>
      <w:r>
        <w:rPr>
          <w:rFonts w:eastAsia="Times New Roman"/>
          <w:sz w:val="20"/>
          <w:szCs w:val="20"/>
        </w:rPr>
        <w:pict w14:anchorId="78786E0E">
          <v:rect id="_x0000_i1062" style="width:0;height:1.5pt" o:hralign="center" o:hrstd="t" o:hr="t" fillcolor="#a0a0a0" stroked="f"/>
        </w:pict>
      </w:r>
    </w:p>
    <w:p w14:paraId="344B2A40" w14:textId="77777777" w:rsidR="00000000" w:rsidRDefault="00527094">
      <w:pPr>
        <w:divId w:val="5410973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2A0A5C0" w14:textId="77777777" w:rsidR="00000000" w:rsidRDefault="00527094">
      <w:pPr>
        <w:pStyle w:val="a3"/>
        <w:spacing w:before="0" w:beforeAutospacing="0" w:after="0" w:afterAutospacing="0"/>
        <w:rPr>
          <w:sz w:val="20"/>
          <w:szCs w:val="20"/>
        </w:rPr>
      </w:pPr>
      <w:r>
        <w:rPr>
          <w:sz w:val="20"/>
          <w:szCs w:val="20"/>
        </w:rPr>
        <w:t> </w:t>
      </w:r>
    </w:p>
    <w:p w14:paraId="2803A20D" w14:textId="77777777" w:rsidR="00000000" w:rsidRDefault="00527094">
      <w:pPr>
        <w:pStyle w:val="a3"/>
        <w:spacing w:before="0" w:beforeAutospacing="0" w:after="0" w:afterAutospacing="0"/>
        <w:jc w:val="center"/>
        <w:rPr>
          <w:sz w:val="20"/>
          <w:szCs w:val="20"/>
        </w:rPr>
      </w:pPr>
      <w:r>
        <w:rPr>
          <w:b/>
          <w:bCs/>
          <w:sz w:val="20"/>
          <w:szCs w:val="20"/>
        </w:rPr>
        <w:t>PART II</w:t>
      </w:r>
    </w:p>
    <w:p w14:paraId="2E6C8465" w14:textId="77777777" w:rsidR="00000000" w:rsidRDefault="00527094">
      <w:pPr>
        <w:pStyle w:val="a3"/>
        <w:spacing w:before="0" w:beforeAutospacing="0" w:after="0" w:afterAutospacing="0"/>
        <w:jc w:val="center"/>
        <w:rPr>
          <w:sz w:val="20"/>
          <w:szCs w:val="20"/>
        </w:rPr>
      </w:pPr>
      <w:r>
        <w:rPr>
          <w:b/>
          <w:bCs/>
          <w:sz w:val="20"/>
          <w:szCs w:val="20"/>
        </w:rPr>
        <w:t>OTHER INFORMATION</w:t>
      </w:r>
    </w:p>
    <w:p w14:paraId="141FEEF6" w14:textId="77777777" w:rsidR="00000000" w:rsidRDefault="00527094">
      <w:pPr>
        <w:pStyle w:val="a3"/>
        <w:spacing w:before="0" w:beforeAutospacing="0" w:after="0" w:afterAutospacing="0"/>
        <w:rPr>
          <w:sz w:val="20"/>
          <w:szCs w:val="20"/>
        </w:rPr>
      </w:pPr>
      <w:r>
        <w:rPr>
          <w:sz w:val="20"/>
          <w:szCs w:val="20"/>
        </w:rPr>
        <w:t> </w:t>
      </w:r>
    </w:p>
    <w:p w14:paraId="281F05CC" w14:textId="77777777" w:rsidR="00000000" w:rsidRDefault="00527094">
      <w:pPr>
        <w:pStyle w:val="a3"/>
        <w:spacing w:before="0" w:beforeAutospacing="0" w:after="0" w:afterAutospacing="0"/>
        <w:rPr>
          <w:sz w:val="20"/>
          <w:szCs w:val="20"/>
        </w:rPr>
      </w:pPr>
      <w:r>
        <w:rPr>
          <w:b/>
          <w:bCs/>
          <w:sz w:val="20"/>
          <w:szCs w:val="20"/>
        </w:rPr>
        <w:t>Item 1.  Legal Proceedings.</w:t>
      </w:r>
    </w:p>
    <w:p w14:paraId="492E1FF3" w14:textId="77777777" w:rsidR="00000000" w:rsidRDefault="00527094">
      <w:pPr>
        <w:pStyle w:val="a3"/>
        <w:spacing w:before="0" w:beforeAutospacing="0" w:after="0" w:afterAutospacing="0"/>
        <w:jc w:val="both"/>
        <w:rPr>
          <w:sz w:val="20"/>
          <w:szCs w:val="20"/>
        </w:rPr>
      </w:pPr>
      <w:r>
        <w:rPr>
          <w:sz w:val="20"/>
          <w:szCs w:val="20"/>
        </w:rPr>
        <w:t> </w:t>
      </w:r>
    </w:p>
    <w:p w14:paraId="098C9A00" w14:textId="77777777" w:rsidR="00000000" w:rsidRDefault="00527094">
      <w:pPr>
        <w:pStyle w:val="a3"/>
        <w:spacing w:before="0" w:beforeAutospacing="0" w:after="0" w:afterAutospacing="0"/>
        <w:ind w:firstLine="360"/>
        <w:jc w:val="both"/>
        <w:rPr>
          <w:sz w:val="20"/>
          <w:szCs w:val="20"/>
        </w:rPr>
      </w:pPr>
      <w:r>
        <w:rPr>
          <w:sz w:val="20"/>
          <w:szCs w:val="20"/>
        </w:rPr>
        <w:t>The following information supplements and amends our discussion set forth under Part I, Item 3 "Legal Proceedings" in our Annual Report on Form 10-K for the fiscal year ended December 31, 2018.</w:t>
      </w:r>
    </w:p>
    <w:p w14:paraId="71FCBAFA" w14:textId="77777777" w:rsidR="00000000" w:rsidRDefault="00527094">
      <w:pPr>
        <w:pStyle w:val="a3"/>
        <w:spacing w:before="0" w:beforeAutospacing="0" w:after="0" w:afterAutospacing="0"/>
        <w:ind w:firstLine="360"/>
        <w:jc w:val="both"/>
        <w:rPr>
          <w:sz w:val="20"/>
          <w:szCs w:val="20"/>
        </w:rPr>
      </w:pPr>
      <w:r>
        <w:rPr>
          <w:sz w:val="20"/>
          <w:szCs w:val="20"/>
        </w:rPr>
        <w:t> </w:t>
      </w:r>
    </w:p>
    <w:p w14:paraId="079E05E1" w14:textId="77777777" w:rsidR="00000000" w:rsidRDefault="00527094">
      <w:pPr>
        <w:pStyle w:val="a3"/>
        <w:spacing w:before="0" w:beforeAutospacing="0" w:after="0" w:afterAutospacing="0"/>
        <w:ind w:firstLine="360"/>
        <w:jc w:val="both"/>
        <w:rPr>
          <w:sz w:val="20"/>
          <w:szCs w:val="20"/>
        </w:rPr>
      </w:pPr>
      <w:r>
        <w:rPr>
          <w:sz w:val="20"/>
          <w:szCs w:val="20"/>
        </w:rPr>
        <w:t>The Company is not present</w:t>
      </w:r>
      <w:r>
        <w:rPr>
          <w:sz w:val="20"/>
          <w:szCs w:val="20"/>
        </w:rPr>
        <w:t xml:space="preserve">ly involved in any litigation nor, to its knowledge, is any litigation threatened against the Company or its subsidiaries that, in management's opinion, would result in any material adverse effect on the Company's ownership, management or operation of its </w:t>
      </w:r>
      <w:r>
        <w:rPr>
          <w:sz w:val="20"/>
          <w:szCs w:val="20"/>
        </w:rPr>
        <w:t>properties taken as a whole, or which is not covered by the Company's liability insurance.</w:t>
      </w:r>
    </w:p>
    <w:p w14:paraId="5454425B" w14:textId="77777777" w:rsidR="00000000" w:rsidRDefault="00527094">
      <w:pPr>
        <w:pStyle w:val="a3"/>
        <w:spacing w:before="0" w:beforeAutospacing="0" w:after="0" w:afterAutospacing="0"/>
        <w:rPr>
          <w:sz w:val="20"/>
          <w:szCs w:val="20"/>
        </w:rPr>
      </w:pPr>
      <w:r>
        <w:rPr>
          <w:sz w:val="20"/>
          <w:szCs w:val="20"/>
        </w:rPr>
        <w:t> </w:t>
      </w:r>
    </w:p>
    <w:p w14:paraId="3F82910C" w14:textId="77777777" w:rsidR="00000000" w:rsidRDefault="00527094">
      <w:pPr>
        <w:pStyle w:val="a3"/>
        <w:spacing w:before="0" w:beforeAutospacing="0" w:after="0" w:afterAutospacing="0"/>
        <w:rPr>
          <w:sz w:val="20"/>
          <w:szCs w:val="20"/>
        </w:rPr>
      </w:pPr>
      <w:r>
        <w:rPr>
          <w:sz w:val="20"/>
          <w:szCs w:val="20"/>
        </w:rPr>
        <w:t> </w:t>
      </w:r>
    </w:p>
    <w:p w14:paraId="0F035A18" w14:textId="77777777" w:rsidR="00000000" w:rsidRDefault="00527094">
      <w:pPr>
        <w:pStyle w:val="a3"/>
        <w:spacing w:before="0" w:beforeAutospacing="0" w:after="0" w:afterAutospacing="0"/>
        <w:rPr>
          <w:sz w:val="20"/>
          <w:szCs w:val="20"/>
        </w:rPr>
      </w:pPr>
      <w:r>
        <w:rPr>
          <w:b/>
          <w:bCs/>
          <w:sz w:val="20"/>
          <w:szCs w:val="20"/>
        </w:rPr>
        <w:t>Item 1A.  Risk Factors.</w:t>
      </w:r>
    </w:p>
    <w:p w14:paraId="0EA4114E" w14:textId="77777777" w:rsidR="00000000" w:rsidRDefault="00527094">
      <w:pPr>
        <w:pStyle w:val="a3"/>
        <w:spacing w:before="0" w:beforeAutospacing="0" w:after="0" w:afterAutospacing="0"/>
        <w:jc w:val="both"/>
        <w:rPr>
          <w:sz w:val="20"/>
          <w:szCs w:val="20"/>
        </w:rPr>
      </w:pPr>
      <w:r>
        <w:rPr>
          <w:sz w:val="20"/>
          <w:szCs w:val="20"/>
        </w:rPr>
        <w:t> </w:t>
      </w:r>
    </w:p>
    <w:p w14:paraId="473894DC" w14:textId="77777777" w:rsidR="00000000" w:rsidRDefault="00527094">
      <w:pPr>
        <w:pStyle w:val="a3"/>
        <w:spacing w:before="0" w:beforeAutospacing="0" w:after="0" w:afterAutospacing="0"/>
        <w:ind w:firstLine="360"/>
        <w:jc w:val="both"/>
        <w:rPr>
          <w:sz w:val="20"/>
          <w:szCs w:val="20"/>
        </w:rPr>
      </w:pPr>
      <w:r>
        <w:rPr>
          <w:sz w:val="20"/>
          <w:szCs w:val="20"/>
        </w:rPr>
        <w:t>There are no material changes from risk factors as previously disclosed in Part I, Item 1A of our Annual Report on Form 10-K for the year ended December 31, 2018. </w:t>
      </w:r>
    </w:p>
    <w:p w14:paraId="60B38640" w14:textId="77777777" w:rsidR="00000000" w:rsidRDefault="00527094">
      <w:pPr>
        <w:pStyle w:val="a3"/>
        <w:spacing w:before="0" w:beforeAutospacing="0" w:after="0" w:afterAutospacing="0"/>
        <w:rPr>
          <w:sz w:val="20"/>
          <w:szCs w:val="20"/>
        </w:rPr>
      </w:pPr>
      <w:r>
        <w:rPr>
          <w:sz w:val="20"/>
          <w:szCs w:val="20"/>
        </w:rPr>
        <w:t> </w:t>
      </w:r>
    </w:p>
    <w:p w14:paraId="62322648" w14:textId="77777777" w:rsidR="00000000" w:rsidRDefault="00527094">
      <w:pPr>
        <w:pStyle w:val="a3"/>
        <w:spacing w:before="0" w:beforeAutospacing="0" w:after="0" w:afterAutospacing="0"/>
        <w:rPr>
          <w:sz w:val="20"/>
          <w:szCs w:val="20"/>
        </w:rPr>
      </w:pPr>
      <w:r>
        <w:rPr>
          <w:sz w:val="20"/>
          <w:szCs w:val="20"/>
        </w:rPr>
        <w:t> </w:t>
      </w:r>
    </w:p>
    <w:p w14:paraId="38F37A9D" w14:textId="77777777" w:rsidR="00000000" w:rsidRDefault="00527094">
      <w:pPr>
        <w:pStyle w:val="a3"/>
        <w:spacing w:before="0" w:beforeAutospacing="0" w:after="0" w:afterAutospacing="0"/>
        <w:rPr>
          <w:sz w:val="20"/>
          <w:szCs w:val="20"/>
        </w:rPr>
      </w:pPr>
      <w:r>
        <w:rPr>
          <w:b/>
          <w:bCs/>
          <w:sz w:val="20"/>
          <w:szCs w:val="20"/>
        </w:rPr>
        <w:t>Item 2. Unregistered Sales of Equity Securities and Use of Pro</w:t>
      </w:r>
      <w:r>
        <w:rPr>
          <w:b/>
          <w:bCs/>
          <w:sz w:val="20"/>
          <w:szCs w:val="20"/>
        </w:rPr>
        <w:t>ceeds.</w:t>
      </w:r>
    </w:p>
    <w:p w14:paraId="6FB3A66F" w14:textId="77777777" w:rsidR="00000000" w:rsidRDefault="00527094">
      <w:pPr>
        <w:pStyle w:val="a3"/>
        <w:spacing w:before="0" w:beforeAutospacing="0" w:after="0" w:afterAutospacing="0"/>
        <w:ind w:firstLine="720"/>
        <w:jc w:val="both"/>
        <w:rPr>
          <w:sz w:val="20"/>
          <w:szCs w:val="20"/>
        </w:rPr>
      </w:pPr>
      <w:r>
        <w:rPr>
          <w:sz w:val="20"/>
          <w:szCs w:val="20"/>
        </w:rPr>
        <w:t> </w:t>
      </w:r>
    </w:p>
    <w:p w14:paraId="5A04E283" w14:textId="77777777" w:rsidR="00000000" w:rsidRDefault="00527094">
      <w:pPr>
        <w:pStyle w:val="a3"/>
        <w:spacing w:before="0" w:beforeAutospacing="0" w:after="0" w:afterAutospacing="0"/>
        <w:ind w:firstLine="360"/>
        <w:jc w:val="both"/>
        <w:rPr>
          <w:sz w:val="20"/>
          <w:szCs w:val="20"/>
        </w:rPr>
      </w:pPr>
      <w:r>
        <w:rPr>
          <w:sz w:val="20"/>
          <w:szCs w:val="20"/>
          <w:u w:val="single"/>
        </w:rPr>
        <w:t>Issuer Purchases of Equity Securities</w:t>
      </w:r>
    </w:p>
    <w:p w14:paraId="0872B4E7" w14:textId="77777777" w:rsidR="00000000" w:rsidRDefault="00527094">
      <w:pPr>
        <w:pStyle w:val="a3"/>
        <w:spacing w:before="0" w:beforeAutospacing="0" w:after="0" w:afterAutospacing="0"/>
        <w:ind w:firstLine="360"/>
        <w:jc w:val="both"/>
        <w:rPr>
          <w:sz w:val="20"/>
          <w:szCs w:val="20"/>
        </w:rPr>
      </w:pPr>
      <w:r>
        <w:rPr>
          <w:sz w:val="20"/>
          <w:szCs w:val="20"/>
        </w:rPr>
        <w:t> </w:t>
      </w:r>
    </w:p>
    <w:p w14:paraId="3392B851" w14:textId="77777777" w:rsidR="00000000" w:rsidRDefault="00527094">
      <w:pPr>
        <w:pStyle w:val="a3"/>
        <w:spacing w:before="0" w:beforeAutospacing="0" w:after="0" w:afterAutospacing="0"/>
        <w:ind w:firstLine="360"/>
        <w:jc w:val="both"/>
        <w:rPr>
          <w:sz w:val="20"/>
          <w:szCs w:val="20"/>
        </w:rPr>
      </w:pPr>
      <w:r>
        <w:rPr>
          <w:sz w:val="20"/>
          <w:szCs w:val="20"/>
        </w:rPr>
        <w:t>During the six months ended June 30, 2019, the Company repurchased 206,435 shares for an aggregate purchase price of $3.6 million (weighted average price of $17.63 per share) in connection with common shares</w:t>
      </w:r>
      <w:r>
        <w:rPr>
          <w:sz w:val="20"/>
          <w:szCs w:val="20"/>
        </w:rPr>
        <w:t xml:space="preserve"> surrendered or deemed surrendered to the Company to satisfy statutory minimum tax withholding obligations in connection with the vesting of restricted stock awards under the Company’s equity-based compensation plans.</w:t>
      </w:r>
    </w:p>
    <w:p w14:paraId="1EB5D052" w14:textId="77777777" w:rsidR="00000000" w:rsidRDefault="00527094">
      <w:pPr>
        <w:pStyle w:val="a3"/>
        <w:spacing w:before="0" w:beforeAutospacing="0" w:after="0" w:afterAutospacing="0"/>
        <w:ind w:firstLine="360"/>
        <w:jc w:val="both"/>
        <w:rPr>
          <w:sz w:val="20"/>
          <w:szCs w:val="20"/>
        </w:rPr>
      </w:pPr>
      <w:r>
        <w:rPr>
          <w:sz w:val="20"/>
          <w:szCs w:val="20"/>
        </w:rPr>
        <w:t> </w:t>
      </w:r>
    </w:p>
    <w:p w14:paraId="4005ABE9" w14:textId="77777777" w:rsidR="00000000" w:rsidRDefault="00527094">
      <w:pPr>
        <w:pStyle w:val="a3"/>
        <w:spacing w:before="0" w:beforeAutospacing="0" w:after="0" w:afterAutospacing="0"/>
        <w:ind w:firstLine="360"/>
        <w:jc w:val="both"/>
        <w:rPr>
          <w:sz w:val="20"/>
          <w:szCs w:val="20"/>
        </w:rPr>
      </w:pPr>
      <w:r>
        <w:rPr>
          <w:sz w:val="20"/>
          <w:szCs w:val="20"/>
        </w:rPr>
        <w:t>In addition, during February 2018, t</w:t>
      </w:r>
      <w:r>
        <w:rPr>
          <w:sz w:val="20"/>
          <w:szCs w:val="20"/>
        </w:rPr>
        <w:t>he Company’s Board of Directors authorized a share repurchase program, which is effective for a term of two years, pursuant to which the Company may repurchase shares of its common stock, par value $0.01 per share, with an aggregate gross purchase price of</w:t>
      </w:r>
      <w:r>
        <w:rPr>
          <w:sz w:val="20"/>
          <w:szCs w:val="20"/>
        </w:rPr>
        <w:t xml:space="preserve"> up to $300.0 million. The Company did not repurchase any shares under the share repurchase program during the six months ended June 30, 2019. As of June 30, 2019, the Company had $224.9 million available under this common share repurchase program.</w:t>
      </w:r>
    </w:p>
    <w:p w14:paraId="34A0E67B" w14:textId="77777777" w:rsidR="00000000" w:rsidRDefault="0052709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21"/>
        <w:gridCol w:w="80"/>
        <w:gridCol w:w="80"/>
        <w:gridCol w:w="994"/>
        <w:gridCol w:w="80"/>
        <w:gridCol w:w="80"/>
        <w:gridCol w:w="101"/>
        <w:gridCol w:w="995"/>
        <w:gridCol w:w="81"/>
        <w:gridCol w:w="81"/>
        <w:gridCol w:w="81"/>
        <w:gridCol w:w="1244"/>
        <w:gridCol w:w="81"/>
        <w:gridCol w:w="81"/>
        <w:gridCol w:w="101"/>
        <w:gridCol w:w="1244"/>
        <w:gridCol w:w="81"/>
      </w:tblGrid>
      <w:tr w:rsidR="00000000" w14:paraId="202ACB27" w14:textId="77777777">
        <w:trPr>
          <w:tblCellSpacing w:w="0" w:type="dxa"/>
        </w:trPr>
        <w:tc>
          <w:tcPr>
            <w:tcW w:w="1700" w:type="pct"/>
            <w:tcBorders>
              <w:bottom w:val="single" w:sz="6" w:space="0" w:color="000000"/>
            </w:tcBorders>
            <w:vAlign w:val="bottom"/>
            <w:hideMark/>
          </w:tcPr>
          <w:p w14:paraId="1BB6D88C" w14:textId="77777777" w:rsidR="00000000" w:rsidRDefault="00527094">
            <w:pPr>
              <w:pStyle w:val="a3"/>
              <w:spacing w:before="0" w:beforeAutospacing="0" w:after="0" w:afterAutospacing="0"/>
              <w:jc w:val="center"/>
              <w:rPr>
                <w:sz w:val="20"/>
                <w:szCs w:val="20"/>
              </w:rPr>
            </w:pPr>
            <w:r>
              <w:rPr>
                <w:b/>
                <w:bCs/>
                <w:sz w:val="20"/>
                <w:szCs w:val="20"/>
              </w:rPr>
              <w:t>Perio</w:t>
            </w:r>
            <w:r>
              <w:rPr>
                <w:b/>
                <w:bCs/>
                <w:sz w:val="20"/>
                <w:szCs w:val="20"/>
              </w:rPr>
              <w:t>d</w:t>
            </w:r>
          </w:p>
        </w:tc>
        <w:tc>
          <w:tcPr>
            <w:tcW w:w="50" w:type="pct"/>
            <w:vAlign w:val="bottom"/>
            <w:hideMark/>
          </w:tcPr>
          <w:p w14:paraId="509E40DC"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22B1522" w14:textId="77777777" w:rsidR="00000000" w:rsidRDefault="00527094">
            <w:pPr>
              <w:pStyle w:val="a3"/>
              <w:spacing w:before="0" w:beforeAutospacing="0" w:after="0" w:afterAutospacing="0"/>
              <w:jc w:val="center"/>
              <w:rPr>
                <w:sz w:val="20"/>
                <w:szCs w:val="20"/>
              </w:rPr>
            </w:pPr>
            <w:r>
              <w:rPr>
                <w:b/>
                <w:bCs/>
                <w:sz w:val="20"/>
                <w:szCs w:val="20"/>
              </w:rPr>
              <w:t xml:space="preserve">Total Number </w:t>
            </w:r>
          </w:p>
          <w:p w14:paraId="29D691B2" w14:textId="77777777" w:rsidR="00000000" w:rsidRDefault="00527094">
            <w:pPr>
              <w:pStyle w:val="a3"/>
              <w:spacing w:before="0" w:beforeAutospacing="0" w:after="0" w:afterAutospacing="0"/>
              <w:jc w:val="center"/>
              <w:rPr>
                <w:sz w:val="20"/>
                <w:szCs w:val="20"/>
              </w:rPr>
            </w:pPr>
            <w:r>
              <w:rPr>
                <w:b/>
                <w:bCs/>
                <w:sz w:val="20"/>
                <w:szCs w:val="20"/>
              </w:rPr>
              <w:t xml:space="preserve">of Shares </w:t>
            </w:r>
          </w:p>
          <w:p w14:paraId="27A01310" w14:textId="77777777" w:rsidR="00000000" w:rsidRDefault="00527094">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14:paraId="43080589"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25C91F81"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FCA5D53" w14:textId="77777777" w:rsidR="00000000" w:rsidRDefault="00527094">
            <w:pPr>
              <w:pStyle w:val="a3"/>
              <w:spacing w:before="0" w:beforeAutospacing="0" w:after="0" w:afterAutospacing="0"/>
              <w:jc w:val="center"/>
              <w:rPr>
                <w:sz w:val="20"/>
                <w:szCs w:val="20"/>
              </w:rPr>
            </w:pPr>
            <w:r>
              <w:rPr>
                <w:b/>
                <w:bCs/>
                <w:sz w:val="20"/>
                <w:szCs w:val="20"/>
              </w:rPr>
              <w:t xml:space="preserve">Average </w:t>
            </w:r>
          </w:p>
          <w:p w14:paraId="016AFB3E" w14:textId="77777777" w:rsidR="00000000" w:rsidRDefault="00527094">
            <w:pPr>
              <w:pStyle w:val="a3"/>
              <w:spacing w:before="0" w:beforeAutospacing="0" w:after="0" w:afterAutospacing="0"/>
              <w:jc w:val="center"/>
              <w:rPr>
                <w:sz w:val="20"/>
                <w:szCs w:val="20"/>
              </w:rPr>
            </w:pPr>
            <w:r>
              <w:rPr>
                <w:b/>
                <w:bCs/>
                <w:sz w:val="20"/>
                <w:szCs w:val="20"/>
              </w:rPr>
              <w:t xml:space="preserve">Price Paid </w:t>
            </w:r>
          </w:p>
          <w:p w14:paraId="003534F2" w14:textId="77777777" w:rsidR="00000000" w:rsidRDefault="00527094">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14:paraId="143CDCF8"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7DF5C5C8"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8B17A1F" w14:textId="77777777" w:rsidR="00000000" w:rsidRDefault="00527094">
            <w:pPr>
              <w:pStyle w:val="a3"/>
              <w:spacing w:before="0" w:beforeAutospacing="0" w:after="0" w:afterAutospacing="0"/>
              <w:jc w:val="center"/>
              <w:rPr>
                <w:sz w:val="20"/>
                <w:szCs w:val="20"/>
              </w:rPr>
            </w:pPr>
            <w:r>
              <w:rPr>
                <w:b/>
                <w:bCs/>
                <w:sz w:val="20"/>
                <w:szCs w:val="20"/>
              </w:rPr>
              <w:t>Total Number of</w:t>
            </w:r>
          </w:p>
          <w:p w14:paraId="2BA6E9D4" w14:textId="77777777" w:rsidR="00000000" w:rsidRDefault="00527094">
            <w:pPr>
              <w:pStyle w:val="a3"/>
              <w:spacing w:before="0" w:beforeAutospacing="0" w:after="0" w:afterAutospacing="0"/>
              <w:jc w:val="center"/>
              <w:rPr>
                <w:sz w:val="20"/>
                <w:szCs w:val="20"/>
              </w:rPr>
            </w:pPr>
            <w:r>
              <w:rPr>
                <w:b/>
                <w:bCs/>
                <w:sz w:val="20"/>
                <w:szCs w:val="20"/>
              </w:rPr>
              <w:t xml:space="preserve">Shares Purchased </w:t>
            </w:r>
          </w:p>
          <w:p w14:paraId="3D653971" w14:textId="77777777" w:rsidR="00000000" w:rsidRDefault="00527094">
            <w:pPr>
              <w:pStyle w:val="a3"/>
              <w:spacing w:before="0" w:beforeAutospacing="0" w:after="0" w:afterAutospacing="0"/>
              <w:jc w:val="center"/>
              <w:rPr>
                <w:sz w:val="20"/>
                <w:szCs w:val="20"/>
              </w:rPr>
            </w:pPr>
            <w:r>
              <w:rPr>
                <w:b/>
                <w:bCs/>
                <w:sz w:val="20"/>
                <w:szCs w:val="20"/>
              </w:rPr>
              <w:t>as Part of Publicly</w:t>
            </w:r>
          </w:p>
          <w:p w14:paraId="6F596C34" w14:textId="77777777" w:rsidR="00000000" w:rsidRDefault="00527094">
            <w:pPr>
              <w:pStyle w:val="a3"/>
              <w:spacing w:before="0" w:beforeAutospacing="0" w:after="0" w:afterAutospacing="0"/>
              <w:jc w:val="center"/>
              <w:rPr>
                <w:sz w:val="20"/>
                <w:szCs w:val="20"/>
              </w:rPr>
            </w:pPr>
            <w:r>
              <w:rPr>
                <w:b/>
                <w:bCs/>
                <w:sz w:val="20"/>
                <w:szCs w:val="20"/>
              </w:rPr>
              <w:t>Announced Plans</w:t>
            </w:r>
          </w:p>
          <w:p w14:paraId="54990405" w14:textId="77777777" w:rsidR="00000000" w:rsidRDefault="00527094">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14:paraId="0D3C1AD9" w14:textId="77777777" w:rsidR="00000000" w:rsidRDefault="00527094">
            <w:pPr>
              <w:rPr>
                <w:rFonts w:eastAsia="Times New Roman"/>
                <w:sz w:val="20"/>
                <w:szCs w:val="20"/>
              </w:rPr>
            </w:pPr>
            <w:r>
              <w:rPr>
                <w:rFonts w:eastAsia="Times New Roman"/>
                <w:sz w:val="20"/>
                <w:szCs w:val="20"/>
              </w:rPr>
              <w:t> </w:t>
            </w:r>
          </w:p>
        </w:tc>
        <w:tc>
          <w:tcPr>
            <w:tcW w:w="50" w:type="pct"/>
            <w:vAlign w:val="bottom"/>
            <w:hideMark/>
          </w:tcPr>
          <w:p w14:paraId="55DEA0F1" w14:textId="77777777" w:rsidR="00000000" w:rsidRDefault="0052709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8D11A89" w14:textId="77777777" w:rsidR="00000000" w:rsidRDefault="00527094">
            <w:pPr>
              <w:pStyle w:val="a3"/>
              <w:spacing w:before="0" w:beforeAutospacing="0" w:after="0" w:afterAutospacing="0"/>
              <w:jc w:val="center"/>
              <w:rPr>
                <w:sz w:val="20"/>
                <w:szCs w:val="20"/>
              </w:rPr>
            </w:pPr>
            <w:r>
              <w:rPr>
                <w:b/>
                <w:bCs/>
                <w:sz w:val="20"/>
                <w:szCs w:val="20"/>
              </w:rPr>
              <w:t xml:space="preserve">Approximate Dollar </w:t>
            </w:r>
          </w:p>
          <w:p w14:paraId="68F3E391" w14:textId="77777777" w:rsidR="00000000" w:rsidRDefault="00527094">
            <w:pPr>
              <w:pStyle w:val="a3"/>
              <w:spacing w:before="0" w:beforeAutospacing="0" w:after="0" w:afterAutospacing="0"/>
              <w:jc w:val="center"/>
              <w:rPr>
                <w:sz w:val="20"/>
                <w:szCs w:val="20"/>
              </w:rPr>
            </w:pPr>
            <w:r>
              <w:rPr>
                <w:b/>
                <w:bCs/>
                <w:sz w:val="20"/>
                <w:szCs w:val="20"/>
              </w:rPr>
              <w:t xml:space="preserve">Value of Shares that May </w:t>
            </w:r>
          </w:p>
          <w:p w14:paraId="6F6E1DCB" w14:textId="77777777" w:rsidR="00000000" w:rsidRDefault="00527094">
            <w:pPr>
              <w:pStyle w:val="a3"/>
              <w:spacing w:before="0" w:beforeAutospacing="0" w:after="0" w:afterAutospacing="0"/>
              <w:jc w:val="center"/>
              <w:rPr>
                <w:sz w:val="20"/>
                <w:szCs w:val="20"/>
              </w:rPr>
            </w:pPr>
            <w:r>
              <w:rPr>
                <w:b/>
                <w:bCs/>
                <w:sz w:val="20"/>
                <w:szCs w:val="20"/>
              </w:rPr>
              <w:t>Yet Be Purchased Under</w:t>
            </w:r>
          </w:p>
          <w:p w14:paraId="6E79F911" w14:textId="77777777" w:rsidR="00000000" w:rsidRDefault="00527094">
            <w:pPr>
              <w:pStyle w:val="a3"/>
              <w:spacing w:before="0" w:beforeAutospacing="0" w:after="0" w:afterAutospacing="0"/>
              <w:jc w:val="center"/>
              <w:rPr>
                <w:sz w:val="20"/>
                <w:szCs w:val="20"/>
              </w:rPr>
            </w:pPr>
            <w:r>
              <w:rPr>
                <w:b/>
                <w:bCs/>
                <w:sz w:val="20"/>
                <w:szCs w:val="20"/>
              </w:rPr>
              <w:t xml:space="preserve">the </w:t>
            </w:r>
            <w:r>
              <w:rPr>
                <w:b/>
                <w:bCs/>
                <w:sz w:val="20"/>
                <w:szCs w:val="20"/>
              </w:rPr>
              <w:t>Plans or Programs</w:t>
            </w:r>
          </w:p>
          <w:p w14:paraId="5854F8FC" w14:textId="77777777" w:rsidR="00000000" w:rsidRDefault="00527094">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4EE0C678" w14:textId="77777777" w:rsidR="00000000" w:rsidRDefault="00527094">
            <w:pPr>
              <w:rPr>
                <w:rFonts w:eastAsia="Times New Roman"/>
                <w:sz w:val="20"/>
                <w:szCs w:val="20"/>
              </w:rPr>
            </w:pPr>
            <w:r>
              <w:rPr>
                <w:rFonts w:eastAsia="Times New Roman"/>
                <w:sz w:val="20"/>
                <w:szCs w:val="20"/>
              </w:rPr>
              <w:t> </w:t>
            </w:r>
          </w:p>
        </w:tc>
      </w:tr>
      <w:tr w:rsidR="00000000" w14:paraId="26307F7D" w14:textId="77777777">
        <w:trPr>
          <w:tblCellSpacing w:w="0" w:type="dxa"/>
        </w:trPr>
        <w:tc>
          <w:tcPr>
            <w:tcW w:w="1700" w:type="pct"/>
            <w:shd w:val="clear" w:color="auto" w:fill="CCEEFF"/>
            <w:vAlign w:val="bottom"/>
            <w:hideMark/>
          </w:tcPr>
          <w:p w14:paraId="24C05DAD" w14:textId="77777777" w:rsidR="00000000" w:rsidRDefault="00527094">
            <w:pPr>
              <w:pStyle w:val="a3"/>
              <w:spacing w:before="0" w:beforeAutospacing="0" w:after="0" w:afterAutospacing="0"/>
              <w:jc w:val="center"/>
              <w:rPr>
                <w:sz w:val="20"/>
                <w:szCs w:val="20"/>
              </w:rPr>
            </w:pPr>
            <w:r>
              <w:rPr>
                <w:sz w:val="20"/>
                <w:szCs w:val="20"/>
              </w:rPr>
              <w:t>January 1, 2019 – January 31, 2019</w:t>
            </w:r>
          </w:p>
        </w:tc>
        <w:tc>
          <w:tcPr>
            <w:tcW w:w="50" w:type="pct"/>
            <w:shd w:val="clear" w:color="auto" w:fill="CCEEFF"/>
            <w:vAlign w:val="bottom"/>
            <w:hideMark/>
          </w:tcPr>
          <w:p w14:paraId="02D68CC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E309A6"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FF62C54" w14:textId="77777777" w:rsidR="00000000" w:rsidRDefault="00527094">
            <w:pPr>
              <w:jc w:val="right"/>
              <w:rPr>
                <w:rFonts w:eastAsia="Times New Roman"/>
                <w:sz w:val="20"/>
                <w:szCs w:val="20"/>
              </w:rPr>
            </w:pPr>
            <w:r>
              <w:rPr>
                <w:rFonts w:eastAsia="Times New Roman"/>
                <w:sz w:val="20"/>
                <w:szCs w:val="20"/>
              </w:rPr>
              <w:t>9,931</w:t>
            </w:r>
          </w:p>
        </w:tc>
        <w:tc>
          <w:tcPr>
            <w:tcW w:w="50" w:type="pct"/>
            <w:shd w:val="clear" w:color="auto" w:fill="CCEEFF"/>
            <w:vAlign w:val="bottom"/>
            <w:hideMark/>
          </w:tcPr>
          <w:p w14:paraId="320F693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43F62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476FEB" w14:textId="77777777" w:rsidR="00000000" w:rsidRDefault="00527094">
            <w:pPr>
              <w:rPr>
                <w:rFonts w:eastAsia="Times New Roman"/>
                <w:sz w:val="20"/>
                <w:szCs w:val="20"/>
              </w:rPr>
            </w:pPr>
            <w:r>
              <w:rPr>
                <w:rFonts w:eastAsia="Times New Roman"/>
                <w:sz w:val="20"/>
                <w:szCs w:val="20"/>
              </w:rPr>
              <w:t>$</w:t>
            </w:r>
          </w:p>
        </w:tc>
        <w:tc>
          <w:tcPr>
            <w:tcW w:w="600" w:type="pct"/>
            <w:shd w:val="clear" w:color="auto" w:fill="CCEEFF"/>
            <w:vAlign w:val="bottom"/>
            <w:hideMark/>
          </w:tcPr>
          <w:p w14:paraId="659D48DC" w14:textId="77777777" w:rsidR="00000000" w:rsidRDefault="00527094">
            <w:pPr>
              <w:jc w:val="right"/>
              <w:rPr>
                <w:rFonts w:eastAsia="Times New Roman"/>
                <w:sz w:val="20"/>
                <w:szCs w:val="20"/>
              </w:rPr>
            </w:pPr>
            <w:r>
              <w:rPr>
                <w:rFonts w:eastAsia="Times New Roman"/>
                <w:sz w:val="20"/>
                <w:szCs w:val="20"/>
              </w:rPr>
              <w:t>14.62</w:t>
            </w:r>
          </w:p>
        </w:tc>
        <w:tc>
          <w:tcPr>
            <w:tcW w:w="50" w:type="pct"/>
            <w:shd w:val="clear" w:color="auto" w:fill="CCEEFF"/>
            <w:vAlign w:val="bottom"/>
            <w:hideMark/>
          </w:tcPr>
          <w:p w14:paraId="5E010C7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491F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3E06A5"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791C71A"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E8FFE2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15B92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6C82E6" w14:textId="77777777" w:rsidR="00000000" w:rsidRDefault="00527094">
            <w:pPr>
              <w:rPr>
                <w:rFonts w:eastAsia="Times New Roman"/>
                <w:sz w:val="20"/>
                <w:szCs w:val="20"/>
              </w:rPr>
            </w:pPr>
            <w:r>
              <w:rPr>
                <w:rFonts w:eastAsia="Times New Roman"/>
                <w:sz w:val="20"/>
                <w:szCs w:val="20"/>
              </w:rPr>
              <w:t>$</w:t>
            </w:r>
          </w:p>
        </w:tc>
        <w:tc>
          <w:tcPr>
            <w:tcW w:w="750" w:type="pct"/>
            <w:shd w:val="clear" w:color="auto" w:fill="CCEEFF"/>
            <w:vAlign w:val="bottom"/>
            <w:hideMark/>
          </w:tcPr>
          <w:p w14:paraId="46E6B62D" w14:textId="77777777" w:rsidR="00000000" w:rsidRDefault="00527094">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1BE7C9AC" w14:textId="77777777" w:rsidR="00000000" w:rsidRDefault="00527094">
            <w:pPr>
              <w:rPr>
                <w:rFonts w:eastAsia="Times New Roman"/>
                <w:sz w:val="20"/>
                <w:szCs w:val="20"/>
              </w:rPr>
            </w:pPr>
            <w:r>
              <w:rPr>
                <w:rFonts w:eastAsia="Times New Roman"/>
                <w:sz w:val="20"/>
                <w:szCs w:val="20"/>
              </w:rPr>
              <w:t> </w:t>
            </w:r>
          </w:p>
        </w:tc>
      </w:tr>
      <w:tr w:rsidR="00000000" w14:paraId="76FB0ABF" w14:textId="77777777">
        <w:trPr>
          <w:tblCellSpacing w:w="0" w:type="dxa"/>
        </w:trPr>
        <w:tc>
          <w:tcPr>
            <w:tcW w:w="1700" w:type="pct"/>
            <w:shd w:val="clear" w:color="auto" w:fill="FFFFFF"/>
            <w:vAlign w:val="bottom"/>
            <w:hideMark/>
          </w:tcPr>
          <w:p w14:paraId="2D979423" w14:textId="77777777" w:rsidR="00000000" w:rsidRDefault="00527094">
            <w:pPr>
              <w:pStyle w:val="a3"/>
              <w:spacing w:before="0" w:beforeAutospacing="0" w:after="0" w:afterAutospacing="0"/>
              <w:jc w:val="center"/>
              <w:rPr>
                <w:sz w:val="20"/>
                <w:szCs w:val="20"/>
              </w:rPr>
            </w:pPr>
            <w:r>
              <w:rPr>
                <w:sz w:val="20"/>
                <w:szCs w:val="20"/>
              </w:rPr>
              <w:t>February 1, 2019 – February 28, 2019</w:t>
            </w:r>
          </w:p>
        </w:tc>
        <w:tc>
          <w:tcPr>
            <w:tcW w:w="50" w:type="pct"/>
            <w:shd w:val="clear" w:color="auto" w:fill="FFFFFF"/>
            <w:vAlign w:val="bottom"/>
            <w:hideMark/>
          </w:tcPr>
          <w:p w14:paraId="2B1ABF4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2817D3"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926D31D" w14:textId="77777777" w:rsidR="00000000" w:rsidRDefault="00527094">
            <w:pPr>
              <w:jc w:val="right"/>
              <w:rPr>
                <w:rFonts w:eastAsia="Times New Roman"/>
                <w:sz w:val="20"/>
                <w:szCs w:val="20"/>
              </w:rPr>
            </w:pPr>
            <w:r>
              <w:rPr>
                <w:rFonts w:eastAsia="Times New Roman"/>
                <w:sz w:val="20"/>
                <w:szCs w:val="20"/>
              </w:rPr>
              <w:t>171,591</w:t>
            </w:r>
          </w:p>
        </w:tc>
        <w:tc>
          <w:tcPr>
            <w:tcW w:w="50" w:type="pct"/>
            <w:shd w:val="clear" w:color="auto" w:fill="FFFFFF"/>
            <w:vAlign w:val="bottom"/>
            <w:hideMark/>
          </w:tcPr>
          <w:p w14:paraId="117DFB1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168F5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863C0C"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5BA75B8" w14:textId="77777777" w:rsidR="00000000" w:rsidRDefault="00527094">
            <w:pPr>
              <w:jc w:val="right"/>
              <w:rPr>
                <w:rFonts w:eastAsia="Times New Roman"/>
                <w:sz w:val="20"/>
                <w:szCs w:val="20"/>
              </w:rPr>
            </w:pPr>
            <w:r>
              <w:rPr>
                <w:rFonts w:eastAsia="Times New Roman"/>
                <w:sz w:val="20"/>
                <w:szCs w:val="20"/>
              </w:rPr>
              <w:t>17.73</w:t>
            </w:r>
          </w:p>
        </w:tc>
        <w:tc>
          <w:tcPr>
            <w:tcW w:w="50" w:type="pct"/>
            <w:shd w:val="clear" w:color="auto" w:fill="FFFFFF"/>
            <w:vAlign w:val="bottom"/>
            <w:hideMark/>
          </w:tcPr>
          <w:p w14:paraId="0D42FA2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824ED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17E7FF"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0F2C0392"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691BB1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C39DB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86B4C6"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0D1DF5B" w14:textId="77777777" w:rsidR="00000000" w:rsidRDefault="00527094">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2E726E37" w14:textId="77777777" w:rsidR="00000000" w:rsidRDefault="00527094">
            <w:pPr>
              <w:rPr>
                <w:rFonts w:eastAsia="Times New Roman"/>
                <w:sz w:val="20"/>
                <w:szCs w:val="20"/>
              </w:rPr>
            </w:pPr>
            <w:r>
              <w:rPr>
                <w:rFonts w:eastAsia="Times New Roman"/>
                <w:sz w:val="20"/>
                <w:szCs w:val="20"/>
              </w:rPr>
              <w:t> </w:t>
            </w:r>
          </w:p>
        </w:tc>
      </w:tr>
      <w:tr w:rsidR="00000000" w14:paraId="1B32DD39" w14:textId="77777777">
        <w:trPr>
          <w:tblCellSpacing w:w="0" w:type="dxa"/>
        </w:trPr>
        <w:tc>
          <w:tcPr>
            <w:tcW w:w="1700" w:type="pct"/>
            <w:shd w:val="clear" w:color="auto" w:fill="CCEEFF"/>
            <w:vAlign w:val="bottom"/>
            <w:hideMark/>
          </w:tcPr>
          <w:p w14:paraId="17D82844" w14:textId="77777777" w:rsidR="00000000" w:rsidRDefault="00527094">
            <w:pPr>
              <w:pStyle w:val="a3"/>
              <w:spacing w:before="0" w:beforeAutospacing="0" w:after="0" w:afterAutospacing="0"/>
              <w:jc w:val="center"/>
              <w:rPr>
                <w:sz w:val="20"/>
                <w:szCs w:val="20"/>
              </w:rPr>
            </w:pPr>
            <w:r>
              <w:rPr>
                <w:sz w:val="20"/>
                <w:szCs w:val="20"/>
              </w:rPr>
              <w:t>March 1, 2019 – March 31, 2019</w:t>
            </w:r>
          </w:p>
        </w:tc>
        <w:tc>
          <w:tcPr>
            <w:tcW w:w="50" w:type="pct"/>
            <w:shd w:val="clear" w:color="auto" w:fill="CCEEFF"/>
            <w:vAlign w:val="bottom"/>
            <w:hideMark/>
          </w:tcPr>
          <w:p w14:paraId="5A8D7B5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C09843"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79E00E7" w14:textId="77777777" w:rsidR="00000000" w:rsidRDefault="00527094">
            <w:pPr>
              <w:jc w:val="right"/>
              <w:rPr>
                <w:rFonts w:eastAsia="Times New Roman"/>
                <w:sz w:val="20"/>
                <w:szCs w:val="20"/>
              </w:rPr>
            </w:pPr>
            <w:r>
              <w:rPr>
                <w:rFonts w:eastAsia="Times New Roman"/>
                <w:sz w:val="20"/>
                <w:szCs w:val="20"/>
              </w:rPr>
              <w:t>2,939</w:t>
            </w:r>
          </w:p>
        </w:tc>
        <w:tc>
          <w:tcPr>
            <w:tcW w:w="50" w:type="pct"/>
            <w:shd w:val="clear" w:color="auto" w:fill="CCEEFF"/>
            <w:vAlign w:val="bottom"/>
            <w:hideMark/>
          </w:tcPr>
          <w:p w14:paraId="0395917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FA1E55"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6A5AC6"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C294B1A" w14:textId="77777777" w:rsidR="00000000" w:rsidRDefault="00527094">
            <w:pPr>
              <w:jc w:val="right"/>
              <w:rPr>
                <w:rFonts w:eastAsia="Times New Roman"/>
                <w:sz w:val="20"/>
                <w:szCs w:val="20"/>
              </w:rPr>
            </w:pPr>
            <w:r>
              <w:rPr>
                <w:rFonts w:eastAsia="Times New Roman"/>
                <w:sz w:val="20"/>
                <w:szCs w:val="20"/>
              </w:rPr>
              <w:t>17.61</w:t>
            </w:r>
          </w:p>
        </w:tc>
        <w:tc>
          <w:tcPr>
            <w:tcW w:w="50" w:type="pct"/>
            <w:shd w:val="clear" w:color="auto" w:fill="CCEEFF"/>
            <w:vAlign w:val="bottom"/>
            <w:hideMark/>
          </w:tcPr>
          <w:p w14:paraId="1732F0E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4F7F5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D50EC3"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4A426BB"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86EB03F"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6C325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D3D1BB"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721A728" w14:textId="77777777" w:rsidR="00000000" w:rsidRDefault="00527094">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41169A86" w14:textId="77777777" w:rsidR="00000000" w:rsidRDefault="00527094">
            <w:pPr>
              <w:rPr>
                <w:rFonts w:eastAsia="Times New Roman"/>
                <w:sz w:val="20"/>
                <w:szCs w:val="20"/>
              </w:rPr>
            </w:pPr>
            <w:r>
              <w:rPr>
                <w:rFonts w:eastAsia="Times New Roman"/>
                <w:sz w:val="20"/>
                <w:szCs w:val="20"/>
              </w:rPr>
              <w:t> </w:t>
            </w:r>
          </w:p>
        </w:tc>
      </w:tr>
      <w:tr w:rsidR="00000000" w14:paraId="2B4A349A" w14:textId="77777777">
        <w:trPr>
          <w:tblCellSpacing w:w="0" w:type="dxa"/>
        </w:trPr>
        <w:tc>
          <w:tcPr>
            <w:tcW w:w="1700" w:type="pct"/>
            <w:shd w:val="clear" w:color="auto" w:fill="FFFFFF"/>
            <w:vAlign w:val="bottom"/>
            <w:hideMark/>
          </w:tcPr>
          <w:p w14:paraId="095DA5AF" w14:textId="77777777" w:rsidR="00000000" w:rsidRDefault="00527094">
            <w:pPr>
              <w:pStyle w:val="a3"/>
              <w:spacing w:before="0" w:beforeAutospacing="0" w:after="0" w:afterAutospacing="0"/>
              <w:jc w:val="center"/>
              <w:rPr>
                <w:sz w:val="20"/>
                <w:szCs w:val="20"/>
              </w:rPr>
            </w:pPr>
            <w:r>
              <w:rPr>
                <w:sz w:val="20"/>
                <w:szCs w:val="20"/>
              </w:rPr>
              <w:t>April 1, 2019 – April 30, 2019</w:t>
            </w:r>
          </w:p>
        </w:tc>
        <w:tc>
          <w:tcPr>
            <w:tcW w:w="50" w:type="pct"/>
            <w:shd w:val="clear" w:color="auto" w:fill="FFFFFF"/>
            <w:vAlign w:val="bottom"/>
            <w:hideMark/>
          </w:tcPr>
          <w:p w14:paraId="68A9D31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14BD46"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4AE1A0B" w14:textId="77777777" w:rsidR="00000000" w:rsidRDefault="00527094">
            <w:pPr>
              <w:jc w:val="right"/>
              <w:rPr>
                <w:rFonts w:eastAsia="Times New Roman"/>
                <w:sz w:val="20"/>
                <w:szCs w:val="20"/>
              </w:rPr>
            </w:pPr>
            <w:r>
              <w:rPr>
                <w:rFonts w:eastAsia="Times New Roman"/>
                <w:sz w:val="20"/>
                <w:szCs w:val="20"/>
              </w:rPr>
              <w:t>2,238</w:t>
            </w:r>
          </w:p>
        </w:tc>
        <w:tc>
          <w:tcPr>
            <w:tcW w:w="50" w:type="pct"/>
            <w:shd w:val="clear" w:color="auto" w:fill="FFFFFF"/>
            <w:vAlign w:val="bottom"/>
            <w:hideMark/>
          </w:tcPr>
          <w:p w14:paraId="5629FC4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BEFE97"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39AA70"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C4C84BF" w14:textId="77777777" w:rsidR="00000000" w:rsidRDefault="00527094">
            <w:pPr>
              <w:jc w:val="right"/>
              <w:rPr>
                <w:rFonts w:eastAsia="Times New Roman"/>
                <w:sz w:val="20"/>
                <w:szCs w:val="20"/>
              </w:rPr>
            </w:pPr>
            <w:r>
              <w:rPr>
                <w:rFonts w:eastAsia="Times New Roman"/>
                <w:sz w:val="20"/>
                <w:szCs w:val="20"/>
              </w:rPr>
              <w:t>18.08</w:t>
            </w:r>
          </w:p>
        </w:tc>
        <w:tc>
          <w:tcPr>
            <w:tcW w:w="50" w:type="pct"/>
            <w:shd w:val="clear" w:color="auto" w:fill="FFFFFF"/>
            <w:vAlign w:val="bottom"/>
            <w:hideMark/>
          </w:tcPr>
          <w:p w14:paraId="2E8D692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08E2B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EECB52"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8FAC2C9"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70F7A20"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CD070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944700"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5674BD90" w14:textId="77777777" w:rsidR="00000000" w:rsidRDefault="00527094">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57993319" w14:textId="77777777" w:rsidR="00000000" w:rsidRDefault="00527094">
            <w:pPr>
              <w:rPr>
                <w:rFonts w:eastAsia="Times New Roman"/>
                <w:sz w:val="20"/>
                <w:szCs w:val="20"/>
              </w:rPr>
            </w:pPr>
            <w:r>
              <w:rPr>
                <w:rFonts w:eastAsia="Times New Roman"/>
                <w:sz w:val="20"/>
                <w:szCs w:val="20"/>
              </w:rPr>
              <w:t> </w:t>
            </w:r>
          </w:p>
        </w:tc>
      </w:tr>
      <w:tr w:rsidR="00000000" w14:paraId="0A9B470C" w14:textId="77777777">
        <w:trPr>
          <w:tblCellSpacing w:w="0" w:type="dxa"/>
        </w:trPr>
        <w:tc>
          <w:tcPr>
            <w:tcW w:w="1700" w:type="pct"/>
            <w:shd w:val="clear" w:color="auto" w:fill="CCEEFF"/>
            <w:vAlign w:val="bottom"/>
            <w:hideMark/>
          </w:tcPr>
          <w:p w14:paraId="58D0CEB6" w14:textId="77777777" w:rsidR="00000000" w:rsidRDefault="00527094">
            <w:pPr>
              <w:pStyle w:val="a3"/>
              <w:spacing w:before="0" w:beforeAutospacing="0" w:after="0" w:afterAutospacing="0"/>
              <w:jc w:val="center"/>
              <w:rPr>
                <w:sz w:val="20"/>
                <w:szCs w:val="20"/>
              </w:rPr>
            </w:pPr>
            <w:r>
              <w:rPr>
                <w:sz w:val="20"/>
                <w:szCs w:val="20"/>
              </w:rPr>
              <w:t>May 1, 2019 – May 31, 2019</w:t>
            </w:r>
          </w:p>
        </w:tc>
        <w:tc>
          <w:tcPr>
            <w:tcW w:w="50" w:type="pct"/>
            <w:shd w:val="clear" w:color="auto" w:fill="CCEEFF"/>
            <w:vAlign w:val="bottom"/>
            <w:hideMark/>
          </w:tcPr>
          <w:p w14:paraId="5D9702F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5AB32D"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3988437" w14:textId="77777777" w:rsidR="00000000" w:rsidRDefault="00527094">
            <w:pPr>
              <w:jc w:val="right"/>
              <w:rPr>
                <w:rFonts w:eastAsia="Times New Roman"/>
                <w:sz w:val="20"/>
                <w:szCs w:val="20"/>
              </w:rPr>
            </w:pPr>
            <w:r>
              <w:rPr>
                <w:rFonts w:eastAsia="Times New Roman"/>
                <w:sz w:val="20"/>
                <w:szCs w:val="20"/>
              </w:rPr>
              <w:t>17,334</w:t>
            </w:r>
          </w:p>
        </w:tc>
        <w:tc>
          <w:tcPr>
            <w:tcW w:w="50" w:type="pct"/>
            <w:shd w:val="clear" w:color="auto" w:fill="CCEEFF"/>
            <w:vAlign w:val="bottom"/>
            <w:hideMark/>
          </w:tcPr>
          <w:p w14:paraId="0D14F4A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FB10E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C50E8A" w14:textId="77777777" w:rsidR="00000000" w:rsidRDefault="0052709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3CBB80D" w14:textId="77777777" w:rsidR="00000000" w:rsidRDefault="00527094">
            <w:pPr>
              <w:jc w:val="right"/>
              <w:rPr>
                <w:rFonts w:eastAsia="Times New Roman"/>
                <w:sz w:val="20"/>
                <w:szCs w:val="20"/>
              </w:rPr>
            </w:pPr>
            <w:r>
              <w:rPr>
                <w:rFonts w:eastAsia="Times New Roman"/>
                <w:sz w:val="20"/>
                <w:szCs w:val="20"/>
              </w:rPr>
              <w:t>18.09</w:t>
            </w:r>
          </w:p>
        </w:tc>
        <w:tc>
          <w:tcPr>
            <w:tcW w:w="50" w:type="pct"/>
            <w:shd w:val="clear" w:color="auto" w:fill="CCEEFF"/>
            <w:vAlign w:val="bottom"/>
            <w:hideMark/>
          </w:tcPr>
          <w:p w14:paraId="59607E3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D63C3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D049EA"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FB08A98"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2C1DB56"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083E3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47CB3B"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A4C4497" w14:textId="77777777" w:rsidR="00000000" w:rsidRDefault="00527094">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1AF02A81" w14:textId="77777777" w:rsidR="00000000" w:rsidRDefault="00527094">
            <w:pPr>
              <w:rPr>
                <w:rFonts w:eastAsia="Times New Roman"/>
                <w:sz w:val="20"/>
                <w:szCs w:val="20"/>
              </w:rPr>
            </w:pPr>
            <w:r>
              <w:rPr>
                <w:rFonts w:eastAsia="Times New Roman"/>
                <w:sz w:val="20"/>
                <w:szCs w:val="20"/>
              </w:rPr>
              <w:t> </w:t>
            </w:r>
          </w:p>
        </w:tc>
      </w:tr>
      <w:tr w:rsidR="00000000" w14:paraId="50E4E6E4" w14:textId="77777777">
        <w:trPr>
          <w:tblCellSpacing w:w="0" w:type="dxa"/>
        </w:trPr>
        <w:tc>
          <w:tcPr>
            <w:tcW w:w="1700" w:type="pct"/>
            <w:shd w:val="clear" w:color="auto" w:fill="FFFFFF"/>
            <w:vAlign w:val="bottom"/>
            <w:hideMark/>
          </w:tcPr>
          <w:p w14:paraId="020142F9" w14:textId="77777777" w:rsidR="00000000" w:rsidRDefault="00527094">
            <w:pPr>
              <w:pStyle w:val="a3"/>
              <w:spacing w:before="0" w:beforeAutospacing="0" w:after="0" w:afterAutospacing="0"/>
              <w:jc w:val="center"/>
              <w:rPr>
                <w:sz w:val="20"/>
                <w:szCs w:val="20"/>
              </w:rPr>
            </w:pPr>
            <w:r>
              <w:rPr>
                <w:sz w:val="20"/>
                <w:szCs w:val="20"/>
              </w:rPr>
              <w:t>June 1, 2019 – June 30, 2019</w:t>
            </w:r>
          </w:p>
        </w:tc>
        <w:tc>
          <w:tcPr>
            <w:tcW w:w="50" w:type="pct"/>
            <w:shd w:val="clear" w:color="auto" w:fill="FFFFFF"/>
            <w:tcMar>
              <w:top w:w="0" w:type="dxa"/>
              <w:left w:w="0" w:type="dxa"/>
              <w:bottom w:w="15" w:type="dxa"/>
              <w:right w:w="0" w:type="dxa"/>
            </w:tcMar>
            <w:vAlign w:val="bottom"/>
            <w:hideMark/>
          </w:tcPr>
          <w:p w14:paraId="0572F2FF"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5E0DE62"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EC0137C" w14:textId="77777777" w:rsidR="00000000" w:rsidRDefault="00527094">
            <w:pPr>
              <w:jc w:val="right"/>
              <w:rPr>
                <w:rFonts w:eastAsia="Times New Roman"/>
                <w:sz w:val="20"/>
                <w:szCs w:val="20"/>
              </w:rPr>
            </w:pPr>
            <w:r>
              <w:rPr>
                <w:rFonts w:eastAsia="Times New Roman"/>
                <w:sz w:val="20"/>
                <w:szCs w:val="20"/>
              </w:rPr>
              <w:t>2,402</w:t>
            </w:r>
          </w:p>
        </w:tc>
        <w:tc>
          <w:tcPr>
            <w:tcW w:w="50" w:type="pct"/>
            <w:shd w:val="clear" w:color="auto" w:fill="FFFFFF"/>
            <w:tcMar>
              <w:top w:w="0" w:type="dxa"/>
              <w:left w:w="0" w:type="dxa"/>
              <w:bottom w:w="15" w:type="dxa"/>
              <w:right w:w="0" w:type="dxa"/>
            </w:tcMar>
            <w:vAlign w:val="bottom"/>
            <w:hideMark/>
          </w:tcPr>
          <w:p w14:paraId="69B847FC"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DAE7F16"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A4E6874" w14:textId="77777777" w:rsidR="00000000" w:rsidRDefault="0052709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D09EE79" w14:textId="77777777" w:rsidR="00000000" w:rsidRDefault="00527094">
            <w:pPr>
              <w:jc w:val="right"/>
              <w:rPr>
                <w:rFonts w:eastAsia="Times New Roman"/>
                <w:sz w:val="20"/>
                <w:szCs w:val="20"/>
              </w:rPr>
            </w:pPr>
            <w:r>
              <w:rPr>
                <w:rFonts w:eastAsia="Times New Roman"/>
                <w:sz w:val="20"/>
                <w:szCs w:val="20"/>
              </w:rPr>
              <w:t>18.73</w:t>
            </w:r>
          </w:p>
        </w:tc>
        <w:tc>
          <w:tcPr>
            <w:tcW w:w="50" w:type="pct"/>
            <w:shd w:val="clear" w:color="auto" w:fill="FFFFFF"/>
            <w:tcMar>
              <w:top w:w="0" w:type="dxa"/>
              <w:left w:w="0" w:type="dxa"/>
              <w:bottom w:w="15" w:type="dxa"/>
              <w:right w:w="0" w:type="dxa"/>
            </w:tcMar>
            <w:vAlign w:val="bottom"/>
            <w:hideMark/>
          </w:tcPr>
          <w:p w14:paraId="010E8AFA"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5F64568" w14:textId="77777777" w:rsidR="00000000" w:rsidRDefault="0052709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3D15D2D" w14:textId="77777777" w:rsidR="00000000" w:rsidRDefault="00527094">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14:paraId="41F08E1B" w14:textId="77777777" w:rsidR="00000000" w:rsidRDefault="0052709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48882B1"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440A94D2" w14:textId="77777777" w:rsidR="00000000" w:rsidRDefault="0052709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FC11EE" w14:textId="77777777" w:rsidR="00000000" w:rsidRDefault="0052709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548C8E7" w14:textId="77777777" w:rsidR="00000000" w:rsidRDefault="00527094">
            <w:pPr>
              <w:jc w:val="right"/>
              <w:rPr>
                <w:rFonts w:eastAsia="Times New Roman"/>
                <w:sz w:val="20"/>
                <w:szCs w:val="20"/>
              </w:rPr>
            </w:pPr>
            <w:r>
              <w:rPr>
                <w:rFonts w:eastAsia="Times New Roman"/>
                <w:sz w:val="20"/>
                <w:szCs w:val="20"/>
              </w:rPr>
              <w:t>224.9</w:t>
            </w:r>
          </w:p>
        </w:tc>
        <w:tc>
          <w:tcPr>
            <w:tcW w:w="50" w:type="pct"/>
            <w:shd w:val="clear" w:color="auto" w:fill="FFFFFF"/>
            <w:tcMar>
              <w:top w:w="0" w:type="dxa"/>
              <w:left w:w="0" w:type="dxa"/>
              <w:bottom w:w="15" w:type="dxa"/>
              <w:right w:w="0" w:type="dxa"/>
            </w:tcMar>
            <w:vAlign w:val="bottom"/>
            <w:hideMark/>
          </w:tcPr>
          <w:p w14:paraId="44501FE8" w14:textId="77777777" w:rsidR="00000000" w:rsidRDefault="00527094">
            <w:pPr>
              <w:rPr>
                <w:rFonts w:eastAsia="Times New Roman"/>
                <w:sz w:val="20"/>
                <w:szCs w:val="20"/>
              </w:rPr>
            </w:pPr>
            <w:r>
              <w:rPr>
                <w:rFonts w:eastAsia="Times New Roman"/>
                <w:sz w:val="20"/>
                <w:szCs w:val="20"/>
              </w:rPr>
              <w:t> </w:t>
            </w:r>
          </w:p>
        </w:tc>
      </w:tr>
      <w:tr w:rsidR="00000000" w14:paraId="104FE97B" w14:textId="77777777">
        <w:trPr>
          <w:tblCellSpacing w:w="0" w:type="dxa"/>
        </w:trPr>
        <w:tc>
          <w:tcPr>
            <w:tcW w:w="1700" w:type="pct"/>
            <w:shd w:val="clear" w:color="auto" w:fill="CCEEFF"/>
            <w:vAlign w:val="bottom"/>
            <w:hideMark/>
          </w:tcPr>
          <w:p w14:paraId="787A89F9" w14:textId="77777777" w:rsidR="00000000" w:rsidRDefault="00527094">
            <w:pPr>
              <w:pStyle w:val="a3"/>
              <w:spacing w:before="0" w:beforeAutospacing="0" w:after="0" w:afterAutospacing="0"/>
              <w:jc w:val="center"/>
              <w:rPr>
                <w:sz w:val="20"/>
                <w:szCs w:val="20"/>
              </w:rPr>
            </w:pPr>
            <w:r>
              <w:rPr>
                <w:b/>
                <w:bCs/>
                <w:sz w:val="20"/>
                <w:szCs w:val="20"/>
              </w:rPr>
              <w:t>Total</w:t>
            </w:r>
          </w:p>
        </w:tc>
        <w:tc>
          <w:tcPr>
            <w:tcW w:w="50" w:type="pct"/>
            <w:shd w:val="clear" w:color="auto" w:fill="CCEEFF"/>
            <w:vAlign w:val="bottom"/>
            <w:hideMark/>
          </w:tcPr>
          <w:p w14:paraId="100C0ACC"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906F8F8" w14:textId="77777777" w:rsidR="00000000" w:rsidRDefault="00527094">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CCEEFF"/>
            <w:vAlign w:val="bottom"/>
            <w:hideMark/>
          </w:tcPr>
          <w:p w14:paraId="5B8A1929" w14:textId="77777777" w:rsidR="00000000" w:rsidRDefault="00527094">
            <w:pPr>
              <w:jc w:val="right"/>
              <w:rPr>
                <w:rFonts w:eastAsia="Times New Roman"/>
                <w:sz w:val="20"/>
                <w:szCs w:val="20"/>
              </w:rPr>
            </w:pPr>
            <w:r>
              <w:rPr>
                <w:rFonts w:eastAsia="Times New Roman"/>
                <w:b/>
                <w:bCs/>
                <w:sz w:val="20"/>
                <w:szCs w:val="20"/>
              </w:rPr>
              <w:t>206,435</w:t>
            </w:r>
          </w:p>
        </w:tc>
        <w:tc>
          <w:tcPr>
            <w:tcW w:w="50" w:type="pct"/>
            <w:shd w:val="clear" w:color="auto" w:fill="CCEEFF"/>
            <w:tcMar>
              <w:top w:w="0" w:type="dxa"/>
              <w:left w:w="0" w:type="dxa"/>
              <w:bottom w:w="45" w:type="dxa"/>
              <w:right w:w="0" w:type="dxa"/>
            </w:tcMar>
            <w:vAlign w:val="bottom"/>
            <w:hideMark/>
          </w:tcPr>
          <w:p w14:paraId="5BF41648"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07A092"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5A7E7C4" w14:textId="77777777" w:rsidR="00000000" w:rsidRDefault="00527094">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5573252A" w14:textId="77777777" w:rsidR="00000000" w:rsidRDefault="00527094">
            <w:pPr>
              <w:jc w:val="right"/>
              <w:rPr>
                <w:rFonts w:eastAsia="Times New Roman"/>
                <w:sz w:val="20"/>
                <w:szCs w:val="20"/>
              </w:rPr>
            </w:pPr>
            <w:r>
              <w:rPr>
                <w:rFonts w:eastAsia="Times New Roman"/>
                <w:b/>
                <w:bCs/>
                <w:sz w:val="20"/>
                <w:szCs w:val="20"/>
              </w:rPr>
              <w:t>17.63</w:t>
            </w:r>
          </w:p>
        </w:tc>
        <w:tc>
          <w:tcPr>
            <w:tcW w:w="50" w:type="pct"/>
            <w:shd w:val="clear" w:color="auto" w:fill="CCEEFF"/>
            <w:tcMar>
              <w:top w:w="0" w:type="dxa"/>
              <w:left w:w="0" w:type="dxa"/>
              <w:bottom w:w="45" w:type="dxa"/>
              <w:right w:w="0" w:type="dxa"/>
            </w:tcMar>
            <w:vAlign w:val="bottom"/>
            <w:hideMark/>
          </w:tcPr>
          <w:p w14:paraId="3D65A9BB"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2D2CE0" w14:textId="77777777" w:rsidR="00000000" w:rsidRDefault="0052709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01F3ADB" w14:textId="77777777" w:rsidR="00000000" w:rsidRDefault="00527094">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CCEEFF"/>
            <w:vAlign w:val="bottom"/>
            <w:hideMark/>
          </w:tcPr>
          <w:p w14:paraId="2921C737" w14:textId="77777777" w:rsidR="00000000" w:rsidRDefault="00527094">
            <w:pPr>
              <w:jc w:val="right"/>
              <w:rPr>
                <w:rFonts w:eastAsia="Times New Roman"/>
                <w:sz w:val="20"/>
                <w:szCs w:val="20"/>
              </w:rPr>
            </w:pP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14:paraId="0FE4612D"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70A6CE" w14:textId="77777777" w:rsidR="00000000" w:rsidRDefault="0052709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BC1429" w14:textId="77777777" w:rsidR="00000000" w:rsidRDefault="00527094">
            <w:pPr>
              <w:rPr>
                <w:rFonts w:eastAsia="Times New Roman"/>
                <w:sz w:val="20"/>
                <w:szCs w:val="20"/>
              </w:rPr>
            </w:pPr>
            <w:r>
              <w:rPr>
                <w:rFonts w:eastAsia="Times New Roman"/>
                <w:b/>
                <w:bCs/>
                <w:sz w:val="20"/>
                <w:szCs w:val="20"/>
              </w:rPr>
              <w:t> </w:t>
            </w:r>
          </w:p>
        </w:tc>
        <w:tc>
          <w:tcPr>
            <w:tcW w:w="750" w:type="pct"/>
            <w:shd w:val="clear" w:color="auto" w:fill="CCEEFF"/>
            <w:vAlign w:val="bottom"/>
            <w:hideMark/>
          </w:tcPr>
          <w:p w14:paraId="155E553E" w14:textId="77777777" w:rsidR="00000000" w:rsidRDefault="00527094">
            <w:pPr>
              <w:jc w:val="right"/>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14:paraId="5EF8F806" w14:textId="77777777" w:rsidR="00000000" w:rsidRDefault="00527094">
            <w:pPr>
              <w:rPr>
                <w:rFonts w:eastAsia="Times New Roman"/>
                <w:sz w:val="20"/>
                <w:szCs w:val="20"/>
              </w:rPr>
            </w:pPr>
            <w:r>
              <w:rPr>
                <w:rFonts w:eastAsia="Times New Roman"/>
                <w:b/>
                <w:bCs/>
                <w:sz w:val="20"/>
                <w:szCs w:val="20"/>
              </w:rPr>
              <w:t> </w:t>
            </w:r>
          </w:p>
        </w:tc>
      </w:tr>
    </w:tbl>
    <w:p w14:paraId="64BCCB5A" w14:textId="77777777" w:rsidR="00000000" w:rsidRDefault="00527094">
      <w:pPr>
        <w:pStyle w:val="a3"/>
        <w:spacing w:before="0" w:beforeAutospacing="0" w:after="0" w:afterAutospacing="0"/>
        <w:jc w:val="center"/>
        <w:rPr>
          <w:sz w:val="20"/>
          <w:szCs w:val="20"/>
        </w:rPr>
      </w:pPr>
      <w:r>
        <w:rPr>
          <w:sz w:val="20"/>
          <w:szCs w:val="20"/>
        </w:rPr>
        <w:t> </w:t>
      </w:r>
    </w:p>
    <w:p w14:paraId="39D23A53" w14:textId="77777777" w:rsidR="00000000" w:rsidRDefault="00527094">
      <w:pPr>
        <w:pStyle w:val="a3"/>
        <w:spacing w:before="0" w:beforeAutospacing="0" w:after="0" w:afterAutospacing="0"/>
        <w:jc w:val="center"/>
        <w:rPr>
          <w:sz w:val="20"/>
          <w:szCs w:val="20"/>
        </w:rPr>
      </w:pPr>
      <w:r>
        <w:rPr>
          <w:sz w:val="20"/>
          <w:szCs w:val="20"/>
        </w:rPr>
        <w:t> </w:t>
      </w:r>
    </w:p>
    <w:p w14:paraId="51145AF1" w14:textId="77777777" w:rsidR="00000000" w:rsidRDefault="00527094">
      <w:pPr>
        <w:pStyle w:val="a3"/>
        <w:spacing w:before="0" w:beforeAutospacing="0" w:after="0" w:afterAutospacing="0"/>
        <w:rPr>
          <w:sz w:val="20"/>
          <w:szCs w:val="20"/>
        </w:rPr>
      </w:pPr>
      <w:r>
        <w:rPr>
          <w:b/>
          <w:bCs/>
          <w:sz w:val="20"/>
          <w:szCs w:val="20"/>
        </w:rPr>
        <w:t>Item 3.  Defaults Upon Senior Securities.</w:t>
      </w:r>
    </w:p>
    <w:p w14:paraId="14F1B2C2" w14:textId="77777777" w:rsidR="00000000" w:rsidRDefault="00527094">
      <w:pPr>
        <w:pStyle w:val="a3"/>
        <w:spacing w:before="0" w:beforeAutospacing="0" w:after="0" w:afterAutospacing="0"/>
        <w:jc w:val="both"/>
        <w:rPr>
          <w:sz w:val="20"/>
          <w:szCs w:val="20"/>
        </w:rPr>
      </w:pPr>
      <w:r>
        <w:rPr>
          <w:sz w:val="20"/>
          <w:szCs w:val="20"/>
        </w:rPr>
        <w:t> </w:t>
      </w:r>
    </w:p>
    <w:p w14:paraId="176382D6" w14:textId="77777777" w:rsidR="00000000" w:rsidRDefault="00527094">
      <w:pPr>
        <w:pStyle w:val="a3"/>
        <w:spacing w:before="0" w:beforeAutospacing="0" w:after="0" w:afterAutospacing="0"/>
        <w:ind w:firstLine="360"/>
        <w:jc w:val="both"/>
        <w:rPr>
          <w:sz w:val="20"/>
          <w:szCs w:val="20"/>
        </w:rPr>
      </w:pPr>
      <w:r>
        <w:rPr>
          <w:sz w:val="20"/>
          <w:szCs w:val="20"/>
        </w:rPr>
        <w:t>None.</w:t>
      </w:r>
    </w:p>
    <w:p w14:paraId="5F9F14B9" w14:textId="77777777" w:rsidR="00000000" w:rsidRDefault="00527094">
      <w:pPr>
        <w:pStyle w:val="a3"/>
        <w:spacing w:before="0" w:beforeAutospacing="0" w:after="0" w:afterAutospacing="0"/>
        <w:rPr>
          <w:sz w:val="20"/>
          <w:szCs w:val="20"/>
        </w:rPr>
      </w:pPr>
      <w:r>
        <w:rPr>
          <w:sz w:val="20"/>
          <w:szCs w:val="20"/>
        </w:rPr>
        <w:t> </w:t>
      </w:r>
    </w:p>
    <w:p w14:paraId="74EAD3E5" w14:textId="77777777" w:rsidR="00000000" w:rsidRDefault="00527094">
      <w:pPr>
        <w:pStyle w:val="a3"/>
        <w:spacing w:before="0" w:beforeAutospacing="0" w:after="0" w:afterAutospacing="0"/>
        <w:rPr>
          <w:sz w:val="20"/>
          <w:szCs w:val="20"/>
        </w:rPr>
      </w:pPr>
      <w:r>
        <w:rPr>
          <w:sz w:val="20"/>
          <w:szCs w:val="20"/>
        </w:rPr>
        <w:t> </w:t>
      </w:r>
    </w:p>
    <w:p w14:paraId="6FCFFE76" w14:textId="77777777" w:rsidR="00000000" w:rsidRDefault="00527094">
      <w:pPr>
        <w:pStyle w:val="a3"/>
        <w:spacing w:before="0" w:beforeAutospacing="0" w:after="0" w:afterAutospacing="0"/>
        <w:rPr>
          <w:sz w:val="20"/>
          <w:szCs w:val="20"/>
        </w:rPr>
      </w:pPr>
      <w:r>
        <w:rPr>
          <w:b/>
          <w:bCs/>
          <w:sz w:val="20"/>
          <w:szCs w:val="20"/>
        </w:rPr>
        <w:t>Item 4.  Mine Safety Disclosures.</w:t>
      </w:r>
    </w:p>
    <w:p w14:paraId="1961E1E4" w14:textId="77777777" w:rsidR="00000000" w:rsidRDefault="00527094">
      <w:pPr>
        <w:pStyle w:val="a3"/>
        <w:spacing w:before="0" w:beforeAutospacing="0" w:after="0" w:afterAutospacing="0"/>
        <w:jc w:val="both"/>
        <w:rPr>
          <w:sz w:val="20"/>
          <w:szCs w:val="20"/>
        </w:rPr>
      </w:pPr>
      <w:r>
        <w:rPr>
          <w:sz w:val="20"/>
          <w:szCs w:val="20"/>
        </w:rPr>
        <w:t> </w:t>
      </w:r>
    </w:p>
    <w:p w14:paraId="5B23A664" w14:textId="77777777" w:rsidR="00000000" w:rsidRDefault="00527094">
      <w:pPr>
        <w:pStyle w:val="a3"/>
        <w:spacing w:before="0" w:beforeAutospacing="0" w:after="0" w:afterAutospacing="0"/>
        <w:ind w:firstLine="360"/>
        <w:jc w:val="both"/>
        <w:rPr>
          <w:sz w:val="20"/>
          <w:szCs w:val="20"/>
        </w:rPr>
      </w:pPr>
      <w:r>
        <w:rPr>
          <w:sz w:val="20"/>
          <w:szCs w:val="20"/>
        </w:rPr>
        <w:t>Not applicable.</w:t>
      </w:r>
    </w:p>
    <w:p w14:paraId="01B33DDF" w14:textId="77777777" w:rsidR="00000000" w:rsidRDefault="00527094">
      <w:pPr>
        <w:pStyle w:val="a3"/>
        <w:spacing w:before="0" w:beforeAutospacing="0" w:after="0" w:afterAutospacing="0"/>
        <w:rPr>
          <w:sz w:val="20"/>
          <w:szCs w:val="20"/>
        </w:rPr>
      </w:pPr>
      <w:r>
        <w:rPr>
          <w:sz w:val="20"/>
          <w:szCs w:val="20"/>
        </w:rPr>
        <w:t> </w:t>
      </w:r>
    </w:p>
    <w:p w14:paraId="54594AEF" w14:textId="77777777" w:rsidR="00000000" w:rsidRDefault="00527094">
      <w:pPr>
        <w:pStyle w:val="a3"/>
        <w:spacing w:before="0" w:beforeAutospacing="0" w:after="0" w:afterAutospacing="0"/>
        <w:rPr>
          <w:sz w:val="20"/>
          <w:szCs w:val="20"/>
        </w:rPr>
      </w:pPr>
      <w:r>
        <w:rPr>
          <w:sz w:val="20"/>
          <w:szCs w:val="20"/>
        </w:rPr>
        <w:t> </w:t>
      </w:r>
    </w:p>
    <w:p w14:paraId="009C9224" w14:textId="77777777" w:rsidR="00000000" w:rsidRDefault="00527094">
      <w:pPr>
        <w:pStyle w:val="a3"/>
        <w:spacing w:before="0" w:beforeAutospacing="0" w:after="0" w:afterAutospacing="0"/>
        <w:rPr>
          <w:sz w:val="20"/>
          <w:szCs w:val="20"/>
        </w:rPr>
      </w:pPr>
      <w:r>
        <w:rPr>
          <w:b/>
          <w:bCs/>
          <w:sz w:val="20"/>
          <w:szCs w:val="20"/>
        </w:rPr>
        <w:t>Item 5.  </w:t>
      </w:r>
      <w:r>
        <w:rPr>
          <w:b/>
          <w:bCs/>
          <w:sz w:val="20"/>
          <w:szCs w:val="20"/>
        </w:rPr>
        <w:t>Other Information.</w:t>
      </w:r>
    </w:p>
    <w:p w14:paraId="119F14FF" w14:textId="77777777" w:rsidR="00000000" w:rsidRDefault="00527094">
      <w:pPr>
        <w:pStyle w:val="a3"/>
        <w:spacing w:before="0" w:beforeAutospacing="0" w:after="0" w:afterAutospacing="0"/>
        <w:jc w:val="both"/>
        <w:rPr>
          <w:sz w:val="20"/>
          <w:szCs w:val="20"/>
        </w:rPr>
      </w:pPr>
      <w:r>
        <w:rPr>
          <w:sz w:val="20"/>
          <w:szCs w:val="20"/>
        </w:rPr>
        <w:t> </w:t>
      </w:r>
    </w:p>
    <w:p w14:paraId="1EF52AAB" w14:textId="77777777" w:rsidR="00000000" w:rsidRDefault="00527094">
      <w:pPr>
        <w:pStyle w:val="a3"/>
        <w:spacing w:before="0" w:beforeAutospacing="0" w:after="0" w:afterAutospacing="0"/>
        <w:ind w:firstLine="360"/>
        <w:jc w:val="both"/>
        <w:rPr>
          <w:sz w:val="20"/>
          <w:szCs w:val="20"/>
        </w:rPr>
      </w:pPr>
      <w:r>
        <w:rPr>
          <w:sz w:val="20"/>
          <w:szCs w:val="20"/>
        </w:rPr>
        <w:t>None.</w:t>
      </w:r>
    </w:p>
    <w:p w14:paraId="3E72B1A8" w14:textId="77777777" w:rsidR="00000000" w:rsidRDefault="00527094">
      <w:pPr>
        <w:pStyle w:val="a3"/>
        <w:spacing w:before="0" w:beforeAutospacing="0" w:after="0" w:afterAutospacing="0"/>
        <w:rPr>
          <w:sz w:val="20"/>
          <w:szCs w:val="20"/>
        </w:rPr>
      </w:pPr>
      <w:r>
        <w:rPr>
          <w:sz w:val="20"/>
          <w:szCs w:val="20"/>
        </w:rPr>
        <w:t> </w:t>
      </w:r>
    </w:p>
    <w:p w14:paraId="51165FD2" w14:textId="77777777" w:rsidR="00000000" w:rsidRDefault="00527094">
      <w:pPr>
        <w:jc w:val="center"/>
        <w:divId w:val="1329282539"/>
        <w:rPr>
          <w:rFonts w:eastAsia="Times New Roman"/>
          <w:sz w:val="20"/>
          <w:szCs w:val="20"/>
        </w:rPr>
      </w:pPr>
      <w:r>
        <w:rPr>
          <w:rFonts w:eastAsia="Times New Roman"/>
          <w:sz w:val="20"/>
          <w:szCs w:val="20"/>
        </w:rPr>
        <w:t xml:space="preserve">35 </w:t>
      </w:r>
    </w:p>
    <w:p w14:paraId="6266DF17" w14:textId="77777777" w:rsidR="00000000" w:rsidRDefault="00527094">
      <w:pPr>
        <w:divId w:val="1329282539"/>
        <w:rPr>
          <w:rFonts w:eastAsia="Times New Roman"/>
          <w:sz w:val="20"/>
          <w:szCs w:val="20"/>
        </w:rPr>
      </w:pPr>
      <w:r>
        <w:rPr>
          <w:rFonts w:eastAsia="Times New Roman"/>
          <w:sz w:val="20"/>
          <w:szCs w:val="20"/>
        </w:rPr>
        <w:pict w14:anchorId="3F231A3A">
          <v:rect id="_x0000_i1063" style="width:0;height:1.5pt" o:hralign="center" o:hrstd="t" o:hr="t" fillcolor="#a0a0a0" stroked="f"/>
        </w:pict>
      </w:r>
    </w:p>
    <w:p w14:paraId="1F897376" w14:textId="77777777" w:rsidR="00000000" w:rsidRDefault="00527094">
      <w:pPr>
        <w:divId w:val="132928253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71F443D" w14:textId="77777777" w:rsidR="00000000" w:rsidRDefault="00527094">
      <w:pPr>
        <w:pStyle w:val="a3"/>
        <w:spacing w:before="0" w:beforeAutospacing="0" w:after="0" w:afterAutospacing="0"/>
        <w:rPr>
          <w:sz w:val="20"/>
          <w:szCs w:val="20"/>
        </w:rPr>
      </w:pPr>
      <w:r>
        <w:rPr>
          <w:sz w:val="20"/>
          <w:szCs w:val="20"/>
        </w:rPr>
        <w:t> </w:t>
      </w:r>
    </w:p>
    <w:p w14:paraId="0589D837" w14:textId="77777777" w:rsidR="00000000" w:rsidRDefault="00527094">
      <w:pPr>
        <w:pStyle w:val="a3"/>
        <w:spacing w:before="0" w:beforeAutospacing="0" w:after="0" w:afterAutospacing="0"/>
        <w:rPr>
          <w:sz w:val="20"/>
          <w:szCs w:val="20"/>
        </w:rPr>
      </w:pPr>
      <w:r>
        <w:rPr>
          <w:b/>
          <w:bCs/>
          <w:sz w:val="20"/>
          <w:szCs w:val="20"/>
        </w:rPr>
        <w:t>Item 6.  Exhibits.</w:t>
      </w:r>
    </w:p>
    <w:p w14:paraId="143879CB" w14:textId="77777777" w:rsidR="00000000" w:rsidRDefault="00527094">
      <w:pPr>
        <w:pStyle w:val="a3"/>
        <w:spacing w:before="0" w:beforeAutospacing="0" w:after="0" w:afterAutospacing="0"/>
        <w:jc w:val="both"/>
        <w:rPr>
          <w:sz w:val="20"/>
          <w:szCs w:val="20"/>
        </w:rPr>
      </w:pPr>
      <w:r>
        <w:rPr>
          <w:sz w:val="20"/>
          <w:szCs w:val="20"/>
        </w:rPr>
        <w:t> </w:t>
      </w:r>
    </w:p>
    <w:p w14:paraId="55A522FB" w14:textId="77777777" w:rsidR="00000000" w:rsidRDefault="00527094">
      <w:pPr>
        <w:pStyle w:val="a3"/>
        <w:spacing w:before="0" w:beforeAutospacing="0" w:after="0" w:afterAutospacing="0"/>
        <w:rPr>
          <w:sz w:val="20"/>
          <w:szCs w:val="20"/>
        </w:rPr>
      </w:pPr>
      <w:r>
        <w:rPr>
          <w:sz w:val="20"/>
          <w:szCs w:val="20"/>
        </w:rPr>
        <w:t>Exhibits –</w:t>
      </w:r>
    </w:p>
    <w:p w14:paraId="3B3BE6E7" w14:textId="77777777" w:rsidR="00000000" w:rsidRDefault="00527094">
      <w:pPr>
        <w:pStyle w:val="a3"/>
        <w:spacing w:before="0" w:beforeAutospacing="0" w:after="0" w:afterAutospacing="0"/>
        <w:jc w:val="both"/>
        <w:rPr>
          <w:sz w:val="20"/>
          <w:szCs w:val="20"/>
        </w:rPr>
      </w:pPr>
      <w:r>
        <w:rPr>
          <w:sz w:val="20"/>
          <w:szCs w:val="20"/>
        </w:rPr>
        <w:t> </w:t>
      </w:r>
    </w:p>
    <w:p w14:paraId="0415FF18" w14:textId="77777777" w:rsidR="00000000" w:rsidRDefault="00527094">
      <w:pPr>
        <w:pStyle w:val="a3"/>
        <w:spacing w:before="0" w:beforeAutospacing="0" w:after="0" w:afterAutospacing="0"/>
        <w:rPr>
          <w:sz w:val="20"/>
          <w:szCs w:val="20"/>
        </w:rPr>
      </w:pPr>
      <w:r>
        <w:rPr>
          <w:sz w:val="20"/>
          <w:szCs w:val="20"/>
        </w:rPr>
        <w:t>4.1 Agreement to File Instruments</w:t>
      </w:r>
    </w:p>
    <w:p w14:paraId="5AE7E0A8" w14:textId="77777777" w:rsidR="00000000" w:rsidRDefault="00527094">
      <w:pPr>
        <w:pStyle w:val="a3"/>
        <w:spacing w:before="0" w:beforeAutospacing="0" w:after="0" w:afterAutospacing="0"/>
        <w:jc w:val="both"/>
        <w:rPr>
          <w:sz w:val="20"/>
          <w:szCs w:val="20"/>
        </w:rPr>
      </w:pPr>
      <w:r>
        <w:rPr>
          <w:sz w:val="20"/>
          <w:szCs w:val="20"/>
        </w:rPr>
        <w:t> </w:t>
      </w:r>
    </w:p>
    <w:p w14:paraId="0CA27BEE" w14:textId="77777777" w:rsidR="00000000" w:rsidRDefault="00527094">
      <w:pPr>
        <w:pStyle w:val="a3"/>
        <w:spacing w:before="0" w:beforeAutospacing="0" w:after="0" w:afterAutospacing="0"/>
        <w:ind w:firstLine="360"/>
        <w:jc w:val="both"/>
        <w:rPr>
          <w:sz w:val="20"/>
          <w:szCs w:val="20"/>
        </w:rPr>
      </w:pPr>
      <w:r>
        <w:rPr>
          <w:sz w:val="20"/>
          <w:szCs w:val="20"/>
        </w:rPr>
        <w:t>Kimco Realty Corporation (the “Registrant”) hereby agrees to file with the Securities and Exchange Commission, upon request of the Commission, all instruments defining the rights of holders of long-term debt of the Registrant and its consolidated subsidiar</w:t>
      </w:r>
      <w:r>
        <w:rPr>
          <w:sz w:val="20"/>
          <w:szCs w:val="20"/>
        </w:rPr>
        <w:t>ies, and for any of its unconsolidated subsidiaries for which financial statements are required to be filed, and for which the total amount of securities authorized thereunder does not exceed 10 percent of the total assets of the Registrant and its subsidi</w:t>
      </w:r>
      <w:r>
        <w:rPr>
          <w:sz w:val="20"/>
          <w:szCs w:val="20"/>
        </w:rPr>
        <w:t>aries on a consolidated basis.</w:t>
      </w:r>
    </w:p>
    <w:tbl>
      <w:tblPr>
        <w:tblW w:w="4880" w:type="pct"/>
        <w:tblCellSpacing w:w="0" w:type="dxa"/>
        <w:tblCellMar>
          <w:left w:w="0" w:type="dxa"/>
          <w:right w:w="0" w:type="dxa"/>
        </w:tblCellMar>
        <w:tblLook w:val="04A0" w:firstRow="1" w:lastRow="0" w:firstColumn="1" w:lastColumn="0" w:noHBand="0" w:noVBand="1"/>
      </w:tblPr>
      <w:tblGrid>
        <w:gridCol w:w="233"/>
        <w:gridCol w:w="750"/>
        <w:gridCol w:w="7124"/>
      </w:tblGrid>
      <w:tr w:rsidR="00000000" w14:paraId="423A6A72" w14:textId="77777777">
        <w:trPr>
          <w:tblCellSpacing w:w="0" w:type="dxa"/>
        </w:trPr>
        <w:tc>
          <w:tcPr>
            <w:tcW w:w="150" w:type="pct"/>
            <w:hideMark/>
          </w:tcPr>
          <w:p w14:paraId="50790658" w14:textId="77777777" w:rsidR="00000000" w:rsidRDefault="00527094">
            <w:pPr>
              <w:rPr>
                <w:rFonts w:eastAsia="Times New Roman"/>
                <w:sz w:val="20"/>
                <w:szCs w:val="20"/>
              </w:rPr>
            </w:pPr>
            <w:r>
              <w:rPr>
                <w:rFonts w:eastAsia="Times New Roman"/>
                <w:sz w:val="20"/>
                <w:szCs w:val="20"/>
              </w:rPr>
              <w:t> </w:t>
            </w:r>
          </w:p>
        </w:tc>
        <w:tc>
          <w:tcPr>
            <w:tcW w:w="450" w:type="pct"/>
            <w:hideMark/>
          </w:tcPr>
          <w:p w14:paraId="4DF5303D" w14:textId="77777777" w:rsidR="00000000" w:rsidRDefault="00527094">
            <w:pPr>
              <w:rPr>
                <w:rFonts w:eastAsia="Times New Roman"/>
                <w:sz w:val="20"/>
                <w:szCs w:val="20"/>
              </w:rPr>
            </w:pPr>
            <w:r>
              <w:rPr>
                <w:rFonts w:eastAsia="Times New Roman"/>
                <w:sz w:val="20"/>
                <w:szCs w:val="20"/>
              </w:rPr>
              <w:t> </w:t>
            </w:r>
          </w:p>
        </w:tc>
        <w:tc>
          <w:tcPr>
            <w:tcW w:w="4400" w:type="pct"/>
            <w:hideMark/>
          </w:tcPr>
          <w:p w14:paraId="52487EEF" w14:textId="77777777" w:rsidR="00000000" w:rsidRDefault="00527094">
            <w:pPr>
              <w:rPr>
                <w:rFonts w:eastAsia="Times New Roman"/>
                <w:sz w:val="20"/>
                <w:szCs w:val="20"/>
              </w:rPr>
            </w:pPr>
            <w:r>
              <w:rPr>
                <w:rFonts w:eastAsia="Times New Roman"/>
                <w:sz w:val="20"/>
                <w:szCs w:val="20"/>
              </w:rPr>
              <w:t> </w:t>
            </w:r>
          </w:p>
        </w:tc>
      </w:tr>
      <w:tr w:rsidR="00000000" w14:paraId="6978DBDC" w14:textId="77777777">
        <w:trPr>
          <w:tblCellSpacing w:w="0" w:type="dxa"/>
        </w:trPr>
        <w:tc>
          <w:tcPr>
            <w:tcW w:w="150" w:type="pct"/>
            <w:hideMark/>
          </w:tcPr>
          <w:p w14:paraId="5612662A" w14:textId="77777777" w:rsidR="00000000" w:rsidRDefault="00527094">
            <w:pPr>
              <w:pStyle w:val="a3"/>
              <w:spacing w:before="0" w:beforeAutospacing="0" w:after="0" w:afterAutospacing="0"/>
              <w:rPr>
                <w:sz w:val="20"/>
                <w:szCs w:val="20"/>
              </w:rPr>
            </w:pPr>
            <w:r>
              <w:rPr>
                <w:sz w:val="20"/>
                <w:szCs w:val="20"/>
              </w:rPr>
              <w:t>  </w:t>
            </w:r>
          </w:p>
        </w:tc>
        <w:tc>
          <w:tcPr>
            <w:tcW w:w="450" w:type="pct"/>
            <w:hideMark/>
          </w:tcPr>
          <w:p w14:paraId="1AE62F6E" w14:textId="77777777" w:rsidR="00000000" w:rsidRDefault="00527094">
            <w:pPr>
              <w:pStyle w:val="a3"/>
              <w:spacing w:before="0" w:beforeAutospacing="0" w:after="0" w:afterAutospacing="0"/>
              <w:rPr>
                <w:sz w:val="20"/>
                <w:szCs w:val="20"/>
              </w:rPr>
            </w:pPr>
            <w:r>
              <w:rPr>
                <w:sz w:val="20"/>
                <w:szCs w:val="20"/>
              </w:rPr>
              <w:t>31.1</w:t>
            </w:r>
          </w:p>
        </w:tc>
        <w:tc>
          <w:tcPr>
            <w:tcW w:w="4400" w:type="pct"/>
            <w:hideMark/>
          </w:tcPr>
          <w:p w14:paraId="0BB63E18" w14:textId="77777777" w:rsidR="00000000" w:rsidRDefault="00527094">
            <w:pPr>
              <w:pStyle w:val="a3"/>
              <w:spacing w:before="0" w:beforeAutospacing="0" w:after="0" w:afterAutospacing="0"/>
              <w:rPr>
                <w:sz w:val="20"/>
                <w:szCs w:val="20"/>
              </w:rPr>
            </w:pPr>
            <w:hyperlink r:id="rId4" w:history="1">
              <w:r>
                <w:rPr>
                  <w:rStyle w:val="a4"/>
                  <w:sz w:val="20"/>
                  <w:szCs w:val="20"/>
                </w:rPr>
                <w:t>Certification of the Company’s Chief Executive Officer, Conor C. Flynn, pursuant to Section 302 of the Sarbanes-Oxley Act of 2002.</w:t>
              </w:r>
            </w:hyperlink>
          </w:p>
        </w:tc>
      </w:tr>
      <w:tr w:rsidR="00000000" w14:paraId="3ED68E1E" w14:textId="77777777">
        <w:trPr>
          <w:tblCellSpacing w:w="0" w:type="dxa"/>
        </w:trPr>
        <w:tc>
          <w:tcPr>
            <w:tcW w:w="150" w:type="pct"/>
            <w:hideMark/>
          </w:tcPr>
          <w:p w14:paraId="5C976927" w14:textId="77777777" w:rsidR="00000000" w:rsidRDefault="00527094">
            <w:pPr>
              <w:rPr>
                <w:rFonts w:eastAsia="Times New Roman"/>
                <w:sz w:val="20"/>
                <w:szCs w:val="20"/>
              </w:rPr>
            </w:pPr>
            <w:r>
              <w:rPr>
                <w:rFonts w:eastAsia="Times New Roman"/>
                <w:sz w:val="20"/>
                <w:szCs w:val="20"/>
              </w:rPr>
              <w:t> </w:t>
            </w:r>
          </w:p>
        </w:tc>
        <w:tc>
          <w:tcPr>
            <w:tcW w:w="450" w:type="pct"/>
            <w:hideMark/>
          </w:tcPr>
          <w:p w14:paraId="37A9DC07" w14:textId="77777777" w:rsidR="00000000" w:rsidRDefault="00527094">
            <w:pPr>
              <w:pStyle w:val="a3"/>
              <w:spacing w:before="0" w:beforeAutospacing="0" w:after="0" w:afterAutospacing="0"/>
              <w:rPr>
                <w:sz w:val="20"/>
                <w:szCs w:val="20"/>
              </w:rPr>
            </w:pPr>
            <w:r>
              <w:rPr>
                <w:sz w:val="20"/>
                <w:szCs w:val="20"/>
              </w:rPr>
              <w:t>31.2</w:t>
            </w:r>
          </w:p>
        </w:tc>
        <w:tc>
          <w:tcPr>
            <w:tcW w:w="4400" w:type="pct"/>
            <w:hideMark/>
          </w:tcPr>
          <w:p w14:paraId="0A6AD0BD" w14:textId="77777777" w:rsidR="00000000" w:rsidRDefault="00527094">
            <w:pPr>
              <w:pStyle w:val="a3"/>
              <w:spacing w:before="0" w:beforeAutospacing="0" w:after="0" w:afterAutospacing="0"/>
              <w:rPr>
                <w:sz w:val="20"/>
                <w:szCs w:val="20"/>
              </w:rPr>
            </w:pPr>
            <w:hyperlink r:id="rId5" w:history="1">
              <w:r>
                <w:rPr>
                  <w:rStyle w:val="a4"/>
                  <w:sz w:val="20"/>
                  <w:szCs w:val="20"/>
                </w:rPr>
                <w:t>Certificati</w:t>
              </w:r>
              <w:r>
                <w:rPr>
                  <w:rStyle w:val="a4"/>
                  <w:sz w:val="20"/>
                  <w:szCs w:val="20"/>
                </w:rPr>
                <w:t>on of the Company’s Chief Financial Officer, Glenn G. Cohen, pursuant to Section 302 of the Sarbanes-Oxley Act of 2002.</w:t>
              </w:r>
            </w:hyperlink>
          </w:p>
        </w:tc>
      </w:tr>
      <w:tr w:rsidR="00000000" w14:paraId="1C92F1CB" w14:textId="77777777">
        <w:trPr>
          <w:tblCellSpacing w:w="0" w:type="dxa"/>
        </w:trPr>
        <w:tc>
          <w:tcPr>
            <w:tcW w:w="150" w:type="pct"/>
            <w:hideMark/>
          </w:tcPr>
          <w:p w14:paraId="4816FC39" w14:textId="77777777" w:rsidR="00000000" w:rsidRDefault="00527094">
            <w:pPr>
              <w:pStyle w:val="a3"/>
              <w:spacing w:before="0" w:beforeAutospacing="0" w:after="0" w:afterAutospacing="0"/>
              <w:rPr>
                <w:sz w:val="20"/>
                <w:szCs w:val="20"/>
              </w:rPr>
            </w:pPr>
            <w:r>
              <w:rPr>
                <w:sz w:val="20"/>
                <w:szCs w:val="20"/>
              </w:rPr>
              <w:t>  </w:t>
            </w:r>
          </w:p>
        </w:tc>
        <w:tc>
          <w:tcPr>
            <w:tcW w:w="450" w:type="pct"/>
            <w:hideMark/>
          </w:tcPr>
          <w:p w14:paraId="34D7030E" w14:textId="77777777" w:rsidR="00000000" w:rsidRDefault="00527094">
            <w:pPr>
              <w:pStyle w:val="a3"/>
              <w:spacing w:before="0" w:beforeAutospacing="0" w:after="0" w:afterAutospacing="0"/>
              <w:rPr>
                <w:sz w:val="20"/>
                <w:szCs w:val="20"/>
              </w:rPr>
            </w:pPr>
            <w:r>
              <w:rPr>
                <w:sz w:val="20"/>
                <w:szCs w:val="20"/>
              </w:rPr>
              <w:t>32.1</w:t>
            </w:r>
          </w:p>
        </w:tc>
        <w:tc>
          <w:tcPr>
            <w:tcW w:w="4400" w:type="pct"/>
            <w:hideMark/>
          </w:tcPr>
          <w:p w14:paraId="379CFC97" w14:textId="77777777" w:rsidR="00000000" w:rsidRDefault="00527094">
            <w:pPr>
              <w:pStyle w:val="a3"/>
              <w:spacing w:before="0" w:beforeAutospacing="0" w:after="0" w:afterAutospacing="0"/>
              <w:rPr>
                <w:sz w:val="20"/>
                <w:szCs w:val="20"/>
              </w:rPr>
            </w:pPr>
            <w:hyperlink r:id="rId6" w:history="1">
              <w:r>
                <w:rPr>
                  <w:rStyle w:val="a4"/>
                  <w:sz w:val="20"/>
                  <w:szCs w:val="20"/>
                </w:rPr>
                <w:t>Certification of the Company’</w:t>
              </w:r>
              <w:r>
                <w:rPr>
                  <w:rStyle w:val="a4"/>
                  <w:sz w:val="20"/>
                  <w:szCs w:val="20"/>
                </w:rPr>
                <w:t>s Chief Executive Officer, Conor C. Flynn, and the Company’s Chief Financial Officer, Glenn G. Cohen, pursuant to Section 906 of the Sarbanes-Oxley Act of 2002.</w:t>
              </w:r>
            </w:hyperlink>
          </w:p>
        </w:tc>
      </w:tr>
      <w:tr w:rsidR="00000000" w14:paraId="4203AC12" w14:textId="77777777">
        <w:trPr>
          <w:tblCellSpacing w:w="0" w:type="dxa"/>
        </w:trPr>
        <w:tc>
          <w:tcPr>
            <w:tcW w:w="150" w:type="pct"/>
            <w:hideMark/>
          </w:tcPr>
          <w:p w14:paraId="4C52B06B" w14:textId="77777777" w:rsidR="00000000" w:rsidRDefault="00527094">
            <w:pPr>
              <w:rPr>
                <w:rFonts w:eastAsia="Times New Roman"/>
                <w:sz w:val="20"/>
                <w:szCs w:val="20"/>
              </w:rPr>
            </w:pPr>
            <w:r>
              <w:rPr>
                <w:rFonts w:eastAsia="Times New Roman"/>
                <w:sz w:val="20"/>
                <w:szCs w:val="20"/>
              </w:rPr>
              <w:t> </w:t>
            </w:r>
          </w:p>
        </w:tc>
        <w:tc>
          <w:tcPr>
            <w:tcW w:w="450" w:type="pct"/>
            <w:hideMark/>
          </w:tcPr>
          <w:p w14:paraId="1B46D124" w14:textId="77777777" w:rsidR="00000000" w:rsidRDefault="00527094">
            <w:pPr>
              <w:pStyle w:val="a3"/>
              <w:spacing w:before="0" w:beforeAutospacing="0" w:after="0" w:afterAutospacing="0"/>
              <w:rPr>
                <w:sz w:val="20"/>
                <w:szCs w:val="20"/>
              </w:rPr>
            </w:pPr>
            <w:r>
              <w:rPr>
                <w:sz w:val="20"/>
                <w:szCs w:val="20"/>
              </w:rPr>
              <w:t>101.INS</w:t>
            </w:r>
          </w:p>
        </w:tc>
        <w:tc>
          <w:tcPr>
            <w:tcW w:w="4400" w:type="pct"/>
            <w:hideMark/>
          </w:tcPr>
          <w:p w14:paraId="06D20482" w14:textId="77777777" w:rsidR="00000000" w:rsidRDefault="00527094">
            <w:pPr>
              <w:pStyle w:val="a3"/>
              <w:spacing w:before="0" w:beforeAutospacing="0" w:after="0" w:afterAutospacing="0"/>
              <w:rPr>
                <w:sz w:val="20"/>
                <w:szCs w:val="20"/>
              </w:rPr>
            </w:pPr>
            <w:r>
              <w:rPr>
                <w:sz w:val="20"/>
                <w:szCs w:val="20"/>
              </w:rPr>
              <w:t>XBRL Instance Document - the instance document does not appear in the Interactive Da</w:t>
            </w:r>
            <w:r>
              <w:rPr>
                <w:sz w:val="20"/>
                <w:szCs w:val="20"/>
              </w:rPr>
              <w:t>ta File because its XBRL tags are embedded within the Inline XBRL document.</w:t>
            </w:r>
          </w:p>
        </w:tc>
      </w:tr>
      <w:tr w:rsidR="00000000" w14:paraId="48CBB8C6" w14:textId="77777777">
        <w:trPr>
          <w:tblCellSpacing w:w="0" w:type="dxa"/>
        </w:trPr>
        <w:tc>
          <w:tcPr>
            <w:tcW w:w="150" w:type="pct"/>
            <w:hideMark/>
          </w:tcPr>
          <w:p w14:paraId="21ECF4E6" w14:textId="77777777" w:rsidR="00000000" w:rsidRDefault="00527094">
            <w:pPr>
              <w:rPr>
                <w:rFonts w:eastAsia="Times New Roman"/>
                <w:sz w:val="20"/>
                <w:szCs w:val="20"/>
              </w:rPr>
            </w:pPr>
            <w:r>
              <w:rPr>
                <w:rFonts w:eastAsia="Times New Roman"/>
                <w:sz w:val="20"/>
                <w:szCs w:val="20"/>
              </w:rPr>
              <w:t> </w:t>
            </w:r>
          </w:p>
        </w:tc>
        <w:tc>
          <w:tcPr>
            <w:tcW w:w="450" w:type="pct"/>
            <w:hideMark/>
          </w:tcPr>
          <w:p w14:paraId="1A7BE48A" w14:textId="77777777" w:rsidR="00000000" w:rsidRDefault="00527094">
            <w:pPr>
              <w:pStyle w:val="a3"/>
              <w:spacing w:before="0" w:beforeAutospacing="0" w:after="0" w:afterAutospacing="0"/>
              <w:rPr>
                <w:sz w:val="20"/>
                <w:szCs w:val="20"/>
              </w:rPr>
            </w:pPr>
            <w:r>
              <w:rPr>
                <w:sz w:val="20"/>
                <w:szCs w:val="20"/>
              </w:rPr>
              <w:t>101.SCH</w:t>
            </w:r>
          </w:p>
        </w:tc>
        <w:tc>
          <w:tcPr>
            <w:tcW w:w="4400" w:type="pct"/>
            <w:hideMark/>
          </w:tcPr>
          <w:p w14:paraId="1DFB3277" w14:textId="77777777" w:rsidR="00000000" w:rsidRDefault="00527094">
            <w:pPr>
              <w:pStyle w:val="a3"/>
              <w:spacing w:before="0" w:beforeAutospacing="0" w:after="0" w:afterAutospacing="0"/>
              <w:rPr>
                <w:sz w:val="20"/>
                <w:szCs w:val="20"/>
              </w:rPr>
            </w:pPr>
            <w:r>
              <w:rPr>
                <w:sz w:val="20"/>
                <w:szCs w:val="20"/>
              </w:rPr>
              <w:t>XBRL Taxonomy Extension Schema</w:t>
            </w:r>
          </w:p>
        </w:tc>
      </w:tr>
      <w:tr w:rsidR="00000000" w14:paraId="458C2C5B" w14:textId="77777777">
        <w:trPr>
          <w:tblCellSpacing w:w="0" w:type="dxa"/>
        </w:trPr>
        <w:tc>
          <w:tcPr>
            <w:tcW w:w="150" w:type="pct"/>
            <w:hideMark/>
          </w:tcPr>
          <w:p w14:paraId="4A7C70F3" w14:textId="77777777" w:rsidR="00000000" w:rsidRDefault="00527094">
            <w:pPr>
              <w:pStyle w:val="a3"/>
              <w:spacing w:before="0" w:beforeAutospacing="0" w:after="0" w:afterAutospacing="0"/>
              <w:rPr>
                <w:sz w:val="20"/>
                <w:szCs w:val="20"/>
              </w:rPr>
            </w:pPr>
            <w:r>
              <w:rPr>
                <w:sz w:val="20"/>
                <w:szCs w:val="20"/>
              </w:rPr>
              <w:t>  </w:t>
            </w:r>
          </w:p>
        </w:tc>
        <w:tc>
          <w:tcPr>
            <w:tcW w:w="450" w:type="pct"/>
            <w:hideMark/>
          </w:tcPr>
          <w:p w14:paraId="2305FF22" w14:textId="77777777" w:rsidR="00000000" w:rsidRDefault="00527094">
            <w:pPr>
              <w:pStyle w:val="a3"/>
              <w:spacing w:before="0" w:beforeAutospacing="0" w:after="0" w:afterAutospacing="0"/>
              <w:rPr>
                <w:sz w:val="20"/>
                <w:szCs w:val="20"/>
              </w:rPr>
            </w:pPr>
            <w:r>
              <w:rPr>
                <w:sz w:val="20"/>
                <w:szCs w:val="20"/>
              </w:rPr>
              <w:t>101.CAL</w:t>
            </w:r>
          </w:p>
        </w:tc>
        <w:tc>
          <w:tcPr>
            <w:tcW w:w="4400" w:type="pct"/>
            <w:hideMark/>
          </w:tcPr>
          <w:p w14:paraId="3819818F" w14:textId="77777777" w:rsidR="00000000" w:rsidRDefault="00527094">
            <w:pPr>
              <w:pStyle w:val="a3"/>
              <w:spacing w:before="0" w:beforeAutospacing="0" w:after="0" w:afterAutospacing="0"/>
              <w:rPr>
                <w:sz w:val="20"/>
                <w:szCs w:val="20"/>
              </w:rPr>
            </w:pPr>
            <w:r>
              <w:rPr>
                <w:sz w:val="20"/>
                <w:szCs w:val="20"/>
              </w:rPr>
              <w:t>XBRL Taxonomy Extension Calculation Linkbase</w:t>
            </w:r>
          </w:p>
        </w:tc>
      </w:tr>
      <w:tr w:rsidR="00000000" w14:paraId="564095E1" w14:textId="77777777">
        <w:trPr>
          <w:tblCellSpacing w:w="0" w:type="dxa"/>
        </w:trPr>
        <w:tc>
          <w:tcPr>
            <w:tcW w:w="150" w:type="pct"/>
            <w:hideMark/>
          </w:tcPr>
          <w:p w14:paraId="2D8E7DFF" w14:textId="77777777" w:rsidR="00000000" w:rsidRDefault="00527094">
            <w:pPr>
              <w:pStyle w:val="a3"/>
              <w:spacing w:before="0" w:beforeAutospacing="0" w:after="0" w:afterAutospacing="0"/>
              <w:rPr>
                <w:sz w:val="20"/>
                <w:szCs w:val="20"/>
              </w:rPr>
            </w:pPr>
            <w:r>
              <w:rPr>
                <w:sz w:val="20"/>
                <w:szCs w:val="20"/>
              </w:rPr>
              <w:t>  </w:t>
            </w:r>
          </w:p>
        </w:tc>
        <w:tc>
          <w:tcPr>
            <w:tcW w:w="450" w:type="pct"/>
            <w:hideMark/>
          </w:tcPr>
          <w:p w14:paraId="4E84586F" w14:textId="77777777" w:rsidR="00000000" w:rsidRDefault="00527094">
            <w:pPr>
              <w:pStyle w:val="a3"/>
              <w:spacing w:before="0" w:beforeAutospacing="0" w:after="0" w:afterAutospacing="0"/>
              <w:rPr>
                <w:sz w:val="20"/>
                <w:szCs w:val="20"/>
              </w:rPr>
            </w:pPr>
            <w:r>
              <w:rPr>
                <w:sz w:val="20"/>
                <w:szCs w:val="20"/>
              </w:rPr>
              <w:t>101.DEF</w:t>
            </w:r>
          </w:p>
        </w:tc>
        <w:tc>
          <w:tcPr>
            <w:tcW w:w="4400" w:type="pct"/>
            <w:hideMark/>
          </w:tcPr>
          <w:p w14:paraId="46416806" w14:textId="77777777" w:rsidR="00000000" w:rsidRDefault="00527094">
            <w:pPr>
              <w:pStyle w:val="a3"/>
              <w:spacing w:before="0" w:beforeAutospacing="0" w:after="0" w:afterAutospacing="0"/>
              <w:rPr>
                <w:sz w:val="20"/>
                <w:szCs w:val="20"/>
              </w:rPr>
            </w:pPr>
            <w:r>
              <w:rPr>
                <w:sz w:val="20"/>
                <w:szCs w:val="20"/>
              </w:rPr>
              <w:t>XBRL Taxonomy Extension Definition Linkbase</w:t>
            </w:r>
          </w:p>
        </w:tc>
      </w:tr>
      <w:tr w:rsidR="00000000" w14:paraId="4719011E" w14:textId="77777777">
        <w:trPr>
          <w:tblCellSpacing w:w="0" w:type="dxa"/>
        </w:trPr>
        <w:tc>
          <w:tcPr>
            <w:tcW w:w="150" w:type="pct"/>
            <w:hideMark/>
          </w:tcPr>
          <w:p w14:paraId="06C2C191" w14:textId="77777777" w:rsidR="00000000" w:rsidRDefault="00527094">
            <w:pPr>
              <w:pStyle w:val="a3"/>
              <w:spacing w:before="0" w:beforeAutospacing="0" w:after="0" w:afterAutospacing="0"/>
              <w:rPr>
                <w:sz w:val="20"/>
                <w:szCs w:val="20"/>
              </w:rPr>
            </w:pPr>
            <w:r>
              <w:rPr>
                <w:sz w:val="20"/>
                <w:szCs w:val="20"/>
              </w:rPr>
              <w:t>  </w:t>
            </w:r>
          </w:p>
        </w:tc>
        <w:tc>
          <w:tcPr>
            <w:tcW w:w="450" w:type="pct"/>
            <w:hideMark/>
          </w:tcPr>
          <w:p w14:paraId="78888F92" w14:textId="77777777" w:rsidR="00000000" w:rsidRDefault="00527094">
            <w:pPr>
              <w:pStyle w:val="a3"/>
              <w:spacing w:before="0" w:beforeAutospacing="0" w:after="0" w:afterAutospacing="0"/>
              <w:rPr>
                <w:sz w:val="20"/>
                <w:szCs w:val="20"/>
              </w:rPr>
            </w:pPr>
            <w:r>
              <w:rPr>
                <w:sz w:val="20"/>
                <w:szCs w:val="20"/>
              </w:rPr>
              <w:t>101.LAB</w:t>
            </w:r>
          </w:p>
        </w:tc>
        <w:tc>
          <w:tcPr>
            <w:tcW w:w="4400" w:type="pct"/>
            <w:hideMark/>
          </w:tcPr>
          <w:p w14:paraId="29F8C136" w14:textId="77777777" w:rsidR="00000000" w:rsidRDefault="00527094">
            <w:pPr>
              <w:pStyle w:val="a3"/>
              <w:spacing w:before="0" w:beforeAutospacing="0" w:after="0" w:afterAutospacing="0"/>
              <w:rPr>
                <w:sz w:val="20"/>
                <w:szCs w:val="20"/>
              </w:rPr>
            </w:pPr>
            <w:r>
              <w:rPr>
                <w:sz w:val="20"/>
                <w:szCs w:val="20"/>
              </w:rPr>
              <w:t>XBRL Taxonomy</w:t>
            </w:r>
            <w:r>
              <w:rPr>
                <w:sz w:val="20"/>
                <w:szCs w:val="20"/>
              </w:rPr>
              <w:t xml:space="preserve"> Extension Label Linkbase</w:t>
            </w:r>
          </w:p>
        </w:tc>
      </w:tr>
      <w:tr w:rsidR="00000000" w14:paraId="25E46F8A" w14:textId="77777777">
        <w:trPr>
          <w:tblCellSpacing w:w="0" w:type="dxa"/>
        </w:trPr>
        <w:tc>
          <w:tcPr>
            <w:tcW w:w="150" w:type="pct"/>
            <w:hideMark/>
          </w:tcPr>
          <w:p w14:paraId="254CC733" w14:textId="77777777" w:rsidR="00000000" w:rsidRDefault="00527094">
            <w:pPr>
              <w:pStyle w:val="a3"/>
              <w:spacing w:before="0" w:beforeAutospacing="0" w:after="0" w:afterAutospacing="0"/>
              <w:rPr>
                <w:sz w:val="20"/>
                <w:szCs w:val="20"/>
              </w:rPr>
            </w:pPr>
            <w:r>
              <w:rPr>
                <w:sz w:val="20"/>
                <w:szCs w:val="20"/>
              </w:rPr>
              <w:t>  </w:t>
            </w:r>
          </w:p>
        </w:tc>
        <w:tc>
          <w:tcPr>
            <w:tcW w:w="450" w:type="pct"/>
            <w:hideMark/>
          </w:tcPr>
          <w:p w14:paraId="0D82A734" w14:textId="77777777" w:rsidR="00000000" w:rsidRDefault="00527094">
            <w:pPr>
              <w:pStyle w:val="a3"/>
              <w:spacing w:before="0" w:beforeAutospacing="0" w:after="0" w:afterAutospacing="0"/>
              <w:rPr>
                <w:sz w:val="20"/>
                <w:szCs w:val="20"/>
              </w:rPr>
            </w:pPr>
            <w:r>
              <w:rPr>
                <w:sz w:val="20"/>
                <w:szCs w:val="20"/>
              </w:rPr>
              <w:t>101.PRE</w:t>
            </w:r>
          </w:p>
        </w:tc>
        <w:tc>
          <w:tcPr>
            <w:tcW w:w="4400" w:type="pct"/>
            <w:hideMark/>
          </w:tcPr>
          <w:p w14:paraId="685527CA" w14:textId="77777777" w:rsidR="00000000" w:rsidRDefault="00527094">
            <w:pPr>
              <w:pStyle w:val="a3"/>
              <w:spacing w:before="0" w:beforeAutospacing="0" w:after="0" w:afterAutospacing="0"/>
              <w:rPr>
                <w:sz w:val="20"/>
                <w:szCs w:val="20"/>
              </w:rPr>
            </w:pPr>
            <w:r>
              <w:rPr>
                <w:sz w:val="20"/>
                <w:szCs w:val="20"/>
              </w:rPr>
              <w:t>XBRL Taxonomy Extension Presentation Linkbase</w:t>
            </w:r>
          </w:p>
        </w:tc>
      </w:tr>
    </w:tbl>
    <w:p w14:paraId="4797BDF9" w14:textId="77777777" w:rsidR="00000000" w:rsidRDefault="00527094">
      <w:pPr>
        <w:pStyle w:val="a3"/>
        <w:spacing w:before="0" w:beforeAutospacing="0" w:after="0" w:afterAutospacing="0"/>
        <w:rPr>
          <w:sz w:val="20"/>
          <w:szCs w:val="20"/>
        </w:rPr>
      </w:pPr>
      <w:r>
        <w:rPr>
          <w:sz w:val="20"/>
          <w:szCs w:val="20"/>
        </w:rPr>
        <w:t> </w:t>
      </w:r>
    </w:p>
    <w:p w14:paraId="235FE62E" w14:textId="77777777" w:rsidR="00000000" w:rsidRDefault="00527094">
      <w:pPr>
        <w:jc w:val="center"/>
        <w:divId w:val="618292930"/>
        <w:rPr>
          <w:rFonts w:eastAsia="Times New Roman"/>
          <w:sz w:val="20"/>
          <w:szCs w:val="20"/>
        </w:rPr>
      </w:pPr>
      <w:r>
        <w:rPr>
          <w:rFonts w:eastAsia="Times New Roman"/>
          <w:sz w:val="20"/>
          <w:szCs w:val="20"/>
        </w:rPr>
        <w:t xml:space="preserve">36 </w:t>
      </w:r>
    </w:p>
    <w:p w14:paraId="310E3BB1" w14:textId="77777777" w:rsidR="00000000" w:rsidRDefault="00527094">
      <w:pPr>
        <w:divId w:val="618292930"/>
        <w:rPr>
          <w:rFonts w:eastAsia="Times New Roman"/>
          <w:sz w:val="20"/>
          <w:szCs w:val="20"/>
        </w:rPr>
      </w:pPr>
      <w:r>
        <w:rPr>
          <w:rFonts w:eastAsia="Times New Roman"/>
          <w:sz w:val="20"/>
          <w:szCs w:val="20"/>
        </w:rPr>
        <w:pict w14:anchorId="40B208C0">
          <v:rect id="_x0000_i1064" style="width:0;height:1.5pt" o:hralign="center" o:hrstd="t" o:hr="t" fillcolor="#a0a0a0" stroked="f"/>
        </w:pict>
      </w:r>
    </w:p>
    <w:p w14:paraId="0A14CBFF" w14:textId="77777777" w:rsidR="00000000" w:rsidRDefault="00527094">
      <w:pPr>
        <w:divId w:val="6182929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AE2AF2E" w14:textId="77777777" w:rsidR="00000000" w:rsidRDefault="00527094">
      <w:pPr>
        <w:pStyle w:val="a3"/>
        <w:spacing w:before="0" w:beforeAutospacing="0" w:after="0" w:afterAutospacing="0"/>
        <w:rPr>
          <w:sz w:val="20"/>
          <w:szCs w:val="20"/>
        </w:rPr>
      </w:pPr>
      <w:r>
        <w:rPr>
          <w:sz w:val="20"/>
          <w:szCs w:val="20"/>
        </w:rPr>
        <w:t> </w:t>
      </w:r>
    </w:p>
    <w:p w14:paraId="456764BB" w14:textId="77777777" w:rsidR="00000000" w:rsidRDefault="00527094">
      <w:pPr>
        <w:pStyle w:val="a3"/>
        <w:spacing w:before="0" w:beforeAutospacing="0" w:after="0" w:afterAutospacing="0"/>
        <w:jc w:val="center"/>
        <w:rPr>
          <w:sz w:val="20"/>
          <w:szCs w:val="20"/>
        </w:rPr>
      </w:pPr>
      <w:r>
        <w:rPr>
          <w:b/>
          <w:bCs/>
          <w:sz w:val="20"/>
          <w:szCs w:val="20"/>
        </w:rPr>
        <w:t>SIGNATURES</w:t>
      </w:r>
    </w:p>
    <w:p w14:paraId="2A903ECA" w14:textId="77777777" w:rsidR="00000000" w:rsidRDefault="00527094">
      <w:pPr>
        <w:pStyle w:val="a3"/>
        <w:spacing w:before="0" w:beforeAutospacing="0" w:after="0" w:afterAutospacing="0"/>
        <w:rPr>
          <w:sz w:val="20"/>
          <w:szCs w:val="20"/>
        </w:rPr>
      </w:pPr>
      <w:r>
        <w:rPr>
          <w:sz w:val="20"/>
          <w:szCs w:val="20"/>
        </w:rPr>
        <w:t> </w:t>
      </w:r>
    </w:p>
    <w:p w14:paraId="7AC59196" w14:textId="77777777" w:rsidR="00000000" w:rsidRDefault="00527094">
      <w:pPr>
        <w:pStyle w:val="a3"/>
        <w:spacing w:before="0" w:beforeAutospacing="0" w:after="0" w:afterAutospacing="0"/>
        <w:rPr>
          <w:sz w:val="20"/>
          <w:szCs w:val="20"/>
        </w:rPr>
      </w:pPr>
      <w:r>
        <w:rPr>
          <w:sz w:val="20"/>
          <w:szCs w:val="20"/>
        </w:rPr>
        <w:t> </w:t>
      </w:r>
    </w:p>
    <w:p w14:paraId="086F2F44" w14:textId="77777777" w:rsidR="00000000" w:rsidRDefault="00527094">
      <w:pPr>
        <w:pStyle w:val="a3"/>
        <w:spacing w:before="0" w:beforeAutospacing="0" w:after="0" w:afterAutospacing="0"/>
        <w:rPr>
          <w:sz w:val="20"/>
          <w:szCs w:val="20"/>
        </w:rPr>
      </w:pPr>
      <w:r>
        <w:rPr>
          <w:sz w:val="20"/>
          <w:szCs w:val="20"/>
        </w:rPr>
        <w:t xml:space="preserve">Pursuant to the requirements of the Securities Exchange Act of 1934, the registrant has duly caused this report to be signed </w:t>
      </w:r>
      <w:r>
        <w:rPr>
          <w:sz w:val="20"/>
          <w:szCs w:val="20"/>
        </w:rPr>
        <w:t>on its behalf by the undersigned thereunto duly authorized.</w:t>
      </w:r>
    </w:p>
    <w:p w14:paraId="2C74FC47" w14:textId="77777777" w:rsidR="00000000" w:rsidRDefault="00527094">
      <w:pPr>
        <w:pStyle w:val="a3"/>
        <w:spacing w:before="0" w:beforeAutospacing="0" w:after="0" w:afterAutospacing="0"/>
        <w:rPr>
          <w:sz w:val="20"/>
          <w:szCs w:val="20"/>
        </w:rPr>
      </w:pPr>
      <w:r>
        <w:rPr>
          <w:sz w:val="20"/>
          <w:szCs w:val="20"/>
        </w:rPr>
        <w:t> </w:t>
      </w:r>
    </w:p>
    <w:p w14:paraId="1EFEE897" w14:textId="77777777" w:rsidR="00000000" w:rsidRDefault="00527094">
      <w:pPr>
        <w:pStyle w:val="a3"/>
        <w:spacing w:before="0" w:beforeAutospacing="0" w:after="0" w:afterAutospacing="0"/>
        <w:rPr>
          <w:sz w:val="20"/>
          <w:szCs w:val="20"/>
        </w:rPr>
      </w:pPr>
      <w:r>
        <w:rPr>
          <w:sz w:val="20"/>
          <w:szCs w:val="20"/>
        </w:rPr>
        <w:br/>
        <w:t> </w:t>
      </w:r>
    </w:p>
    <w:tbl>
      <w:tblPr>
        <w:tblW w:w="5000" w:type="pct"/>
        <w:tblCellSpacing w:w="0" w:type="dxa"/>
        <w:tblCellMar>
          <w:left w:w="0" w:type="dxa"/>
          <w:right w:w="0" w:type="dxa"/>
        </w:tblCellMar>
        <w:tblLook w:val="04A0" w:firstRow="1" w:lastRow="0" w:firstColumn="1" w:lastColumn="0" w:noHBand="0" w:noVBand="1"/>
      </w:tblPr>
      <w:tblGrid>
        <w:gridCol w:w="1687"/>
        <w:gridCol w:w="1204"/>
        <w:gridCol w:w="2043"/>
        <w:gridCol w:w="3372"/>
      </w:tblGrid>
      <w:tr w:rsidR="00000000" w14:paraId="507D963D" w14:textId="77777777">
        <w:trPr>
          <w:tblCellSpacing w:w="0" w:type="dxa"/>
        </w:trPr>
        <w:tc>
          <w:tcPr>
            <w:tcW w:w="1015" w:type="pct"/>
            <w:hideMark/>
          </w:tcPr>
          <w:p w14:paraId="342DB68F"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58C14D49"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0ABED259"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5598583A" w14:textId="77777777" w:rsidR="00000000" w:rsidRDefault="00527094">
            <w:pPr>
              <w:pStyle w:val="a3"/>
              <w:spacing w:before="0" w:beforeAutospacing="0" w:after="0" w:afterAutospacing="0"/>
              <w:rPr>
                <w:sz w:val="20"/>
                <w:szCs w:val="20"/>
              </w:rPr>
            </w:pPr>
            <w:r>
              <w:rPr>
                <w:sz w:val="20"/>
                <w:szCs w:val="20"/>
              </w:rPr>
              <w:t>KIMCO REALTY CORPORATION</w:t>
            </w:r>
          </w:p>
        </w:tc>
      </w:tr>
      <w:tr w:rsidR="00000000" w14:paraId="16651A78" w14:textId="77777777">
        <w:trPr>
          <w:tblCellSpacing w:w="0" w:type="dxa"/>
        </w:trPr>
        <w:tc>
          <w:tcPr>
            <w:tcW w:w="1015" w:type="pct"/>
            <w:hideMark/>
          </w:tcPr>
          <w:p w14:paraId="7CF994F2"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0DD4129C"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1BDAA68B"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2E33DAFE" w14:textId="77777777" w:rsidR="00000000" w:rsidRDefault="00527094">
            <w:pPr>
              <w:pStyle w:val="a3"/>
              <w:spacing w:before="0" w:beforeAutospacing="0" w:after="0" w:afterAutospacing="0"/>
              <w:rPr>
                <w:sz w:val="20"/>
                <w:szCs w:val="20"/>
              </w:rPr>
            </w:pPr>
            <w:r>
              <w:rPr>
                <w:sz w:val="20"/>
                <w:szCs w:val="20"/>
              </w:rPr>
              <w:t>  </w:t>
            </w:r>
          </w:p>
        </w:tc>
      </w:tr>
      <w:tr w:rsidR="00000000" w14:paraId="198887EA" w14:textId="77777777">
        <w:trPr>
          <w:tblCellSpacing w:w="0" w:type="dxa"/>
        </w:trPr>
        <w:tc>
          <w:tcPr>
            <w:tcW w:w="1015" w:type="pct"/>
            <w:hideMark/>
          </w:tcPr>
          <w:p w14:paraId="3FB5190D"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218EEF0D"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03758BB6"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4F7D6B41" w14:textId="77777777" w:rsidR="00000000" w:rsidRDefault="00527094">
            <w:pPr>
              <w:pStyle w:val="a3"/>
              <w:spacing w:before="0" w:beforeAutospacing="0" w:after="0" w:afterAutospacing="0"/>
              <w:rPr>
                <w:sz w:val="20"/>
                <w:szCs w:val="20"/>
              </w:rPr>
            </w:pPr>
            <w:r>
              <w:rPr>
                <w:sz w:val="20"/>
                <w:szCs w:val="20"/>
              </w:rPr>
              <w:t>  </w:t>
            </w:r>
          </w:p>
        </w:tc>
      </w:tr>
      <w:tr w:rsidR="00000000" w14:paraId="1399B399" w14:textId="77777777">
        <w:trPr>
          <w:tblCellSpacing w:w="0" w:type="dxa"/>
        </w:trPr>
        <w:tc>
          <w:tcPr>
            <w:tcW w:w="1015" w:type="pct"/>
            <w:hideMark/>
          </w:tcPr>
          <w:p w14:paraId="25D2D3AE"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240F927A"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04732B1D"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5149B460" w14:textId="77777777" w:rsidR="00000000" w:rsidRDefault="00527094">
            <w:pPr>
              <w:pStyle w:val="a3"/>
              <w:spacing w:before="0" w:beforeAutospacing="0" w:after="0" w:afterAutospacing="0"/>
              <w:rPr>
                <w:sz w:val="20"/>
                <w:szCs w:val="20"/>
              </w:rPr>
            </w:pPr>
            <w:r>
              <w:rPr>
                <w:sz w:val="20"/>
                <w:szCs w:val="20"/>
              </w:rPr>
              <w:t>  </w:t>
            </w:r>
          </w:p>
        </w:tc>
      </w:tr>
      <w:tr w:rsidR="00000000" w14:paraId="4CA7FED8" w14:textId="77777777">
        <w:trPr>
          <w:tblCellSpacing w:w="0" w:type="dxa"/>
        </w:trPr>
        <w:tc>
          <w:tcPr>
            <w:tcW w:w="1015" w:type="pct"/>
            <w:tcBorders>
              <w:bottom w:val="single" w:sz="6" w:space="0" w:color="000000"/>
            </w:tcBorders>
            <w:hideMark/>
          </w:tcPr>
          <w:p w14:paraId="0A8BBD91" w14:textId="77777777" w:rsidR="00000000" w:rsidRDefault="00527094">
            <w:pPr>
              <w:pStyle w:val="a3"/>
              <w:spacing w:before="0" w:beforeAutospacing="0" w:after="0" w:afterAutospacing="0"/>
              <w:rPr>
                <w:sz w:val="20"/>
                <w:szCs w:val="20"/>
              </w:rPr>
            </w:pPr>
            <w:r>
              <w:rPr>
                <w:sz w:val="20"/>
                <w:szCs w:val="20"/>
              </w:rPr>
              <w:t>July 26, 2019</w:t>
            </w:r>
          </w:p>
        </w:tc>
        <w:tc>
          <w:tcPr>
            <w:tcW w:w="725" w:type="pct"/>
            <w:hideMark/>
          </w:tcPr>
          <w:p w14:paraId="2DF41402"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07B04A46" w14:textId="77777777" w:rsidR="00000000" w:rsidRDefault="00527094">
            <w:pPr>
              <w:pStyle w:val="a3"/>
              <w:spacing w:before="0" w:beforeAutospacing="0" w:after="0" w:afterAutospacing="0"/>
              <w:rPr>
                <w:sz w:val="20"/>
                <w:szCs w:val="20"/>
              </w:rPr>
            </w:pPr>
            <w:r>
              <w:rPr>
                <w:sz w:val="20"/>
                <w:szCs w:val="20"/>
              </w:rPr>
              <w:t>  </w:t>
            </w:r>
          </w:p>
        </w:tc>
        <w:tc>
          <w:tcPr>
            <w:tcW w:w="2030" w:type="pct"/>
            <w:tcBorders>
              <w:bottom w:val="single" w:sz="6" w:space="0" w:color="000000"/>
            </w:tcBorders>
            <w:hideMark/>
          </w:tcPr>
          <w:p w14:paraId="111E2617" w14:textId="77777777" w:rsidR="00000000" w:rsidRDefault="00527094">
            <w:pPr>
              <w:pStyle w:val="a3"/>
              <w:spacing w:before="0" w:beforeAutospacing="0" w:after="0" w:afterAutospacing="0"/>
              <w:rPr>
                <w:sz w:val="20"/>
                <w:szCs w:val="20"/>
              </w:rPr>
            </w:pPr>
            <w:r>
              <w:rPr>
                <w:sz w:val="20"/>
                <w:szCs w:val="20"/>
              </w:rPr>
              <w:t>/s/ Conor C. Flynn</w:t>
            </w:r>
          </w:p>
        </w:tc>
      </w:tr>
      <w:tr w:rsidR="00000000" w14:paraId="0E6A6851" w14:textId="77777777">
        <w:trPr>
          <w:tblCellSpacing w:w="0" w:type="dxa"/>
        </w:trPr>
        <w:tc>
          <w:tcPr>
            <w:tcW w:w="1015" w:type="pct"/>
            <w:hideMark/>
          </w:tcPr>
          <w:p w14:paraId="63E8910A" w14:textId="77777777" w:rsidR="00000000" w:rsidRDefault="00527094">
            <w:pPr>
              <w:pStyle w:val="a3"/>
              <w:spacing w:before="0" w:beforeAutospacing="0" w:after="0" w:afterAutospacing="0"/>
              <w:rPr>
                <w:sz w:val="20"/>
                <w:szCs w:val="20"/>
              </w:rPr>
            </w:pPr>
            <w:r>
              <w:rPr>
                <w:sz w:val="20"/>
                <w:szCs w:val="20"/>
              </w:rPr>
              <w:t>(Date)</w:t>
            </w:r>
          </w:p>
        </w:tc>
        <w:tc>
          <w:tcPr>
            <w:tcW w:w="725" w:type="pct"/>
            <w:hideMark/>
          </w:tcPr>
          <w:p w14:paraId="6C110E0A"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65547491"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7408BDE8" w14:textId="77777777" w:rsidR="00000000" w:rsidRDefault="00527094">
            <w:pPr>
              <w:pStyle w:val="a3"/>
              <w:spacing w:before="0" w:beforeAutospacing="0" w:after="0" w:afterAutospacing="0"/>
              <w:rPr>
                <w:sz w:val="20"/>
                <w:szCs w:val="20"/>
              </w:rPr>
            </w:pPr>
            <w:r>
              <w:rPr>
                <w:sz w:val="20"/>
                <w:szCs w:val="20"/>
              </w:rPr>
              <w:t>Conor C. Flynn</w:t>
            </w:r>
          </w:p>
        </w:tc>
      </w:tr>
      <w:tr w:rsidR="00000000" w14:paraId="4E4406FF" w14:textId="77777777">
        <w:trPr>
          <w:tblCellSpacing w:w="0" w:type="dxa"/>
        </w:trPr>
        <w:tc>
          <w:tcPr>
            <w:tcW w:w="1015" w:type="pct"/>
            <w:hideMark/>
          </w:tcPr>
          <w:p w14:paraId="2330A8CB"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1CC84485"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49F974D0"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020328E2" w14:textId="77777777" w:rsidR="00000000" w:rsidRDefault="00527094">
            <w:pPr>
              <w:pStyle w:val="a3"/>
              <w:spacing w:before="0" w:beforeAutospacing="0" w:after="0" w:afterAutospacing="0"/>
              <w:rPr>
                <w:sz w:val="20"/>
                <w:szCs w:val="20"/>
              </w:rPr>
            </w:pPr>
            <w:r>
              <w:rPr>
                <w:sz w:val="20"/>
                <w:szCs w:val="20"/>
              </w:rPr>
              <w:t>Chief Executive Officer</w:t>
            </w:r>
          </w:p>
        </w:tc>
      </w:tr>
      <w:tr w:rsidR="00000000" w14:paraId="1D3BB07A" w14:textId="77777777">
        <w:trPr>
          <w:tblCellSpacing w:w="0" w:type="dxa"/>
        </w:trPr>
        <w:tc>
          <w:tcPr>
            <w:tcW w:w="1015" w:type="pct"/>
            <w:hideMark/>
          </w:tcPr>
          <w:p w14:paraId="22CD3484"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35646832"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67FE2180"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1B581573" w14:textId="77777777" w:rsidR="00000000" w:rsidRDefault="00527094">
            <w:pPr>
              <w:pStyle w:val="a3"/>
              <w:spacing w:before="0" w:beforeAutospacing="0" w:after="0" w:afterAutospacing="0"/>
              <w:rPr>
                <w:sz w:val="20"/>
                <w:szCs w:val="20"/>
              </w:rPr>
            </w:pPr>
            <w:r>
              <w:rPr>
                <w:sz w:val="20"/>
                <w:szCs w:val="20"/>
              </w:rPr>
              <w:t>  </w:t>
            </w:r>
          </w:p>
        </w:tc>
      </w:tr>
      <w:tr w:rsidR="00000000" w14:paraId="54629F06" w14:textId="77777777">
        <w:trPr>
          <w:tblCellSpacing w:w="0" w:type="dxa"/>
        </w:trPr>
        <w:tc>
          <w:tcPr>
            <w:tcW w:w="1015" w:type="pct"/>
            <w:hideMark/>
          </w:tcPr>
          <w:p w14:paraId="15EDE7AE"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62DDA9E4"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6CCB8C0F"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57C8FB6E" w14:textId="77777777" w:rsidR="00000000" w:rsidRDefault="00527094">
            <w:pPr>
              <w:pStyle w:val="a3"/>
              <w:spacing w:before="0" w:beforeAutospacing="0" w:after="0" w:afterAutospacing="0"/>
              <w:rPr>
                <w:sz w:val="20"/>
                <w:szCs w:val="20"/>
              </w:rPr>
            </w:pPr>
            <w:r>
              <w:rPr>
                <w:sz w:val="20"/>
                <w:szCs w:val="20"/>
              </w:rPr>
              <w:t>  </w:t>
            </w:r>
          </w:p>
        </w:tc>
      </w:tr>
      <w:tr w:rsidR="00000000" w14:paraId="223CEC0C" w14:textId="77777777">
        <w:trPr>
          <w:tblCellSpacing w:w="0" w:type="dxa"/>
        </w:trPr>
        <w:tc>
          <w:tcPr>
            <w:tcW w:w="1015" w:type="pct"/>
            <w:tcBorders>
              <w:bottom w:val="single" w:sz="6" w:space="0" w:color="000000"/>
            </w:tcBorders>
            <w:hideMark/>
          </w:tcPr>
          <w:p w14:paraId="667B90E1" w14:textId="77777777" w:rsidR="00000000" w:rsidRDefault="00527094">
            <w:pPr>
              <w:pStyle w:val="a3"/>
              <w:spacing w:before="0" w:beforeAutospacing="0" w:after="0" w:afterAutospacing="0"/>
              <w:rPr>
                <w:sz w:val="20"/>
                <w:szCs w:val="20"/>
              </w:rPr>
            </w:pPr>
            <w:r>
              <w:rPr>
                <w:sz w:val="20"/>
                <w:szCs w:val="20"/>
              </w:rPr>
              <w:t>July 26, 2019</w:t>
            </w:r>
          </w:p>
        </w:tc>
        <w:tc>
          <w:tcPr>
            <w:tcW w:w="725" w:type="pct"/>
            <w:hideMark/>
          </w:tcPr>
          <w:p w14:paraId="2D71F090"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0726A293" w14:textId="77777777" w:rsidR="00000000" w:rsidRDefault="00527094">
            <w:pPr>
              <w:pStyle w:val="a3"/>
              <w:spacing w:before="0" w:beforeAutospacing="0" w:after="0" w:afterAutospacing="0"/>
              <w:rPr>
                <w:sz w:val="20"/>
                <w:szCs w:val="20"/>
              </w:rPr>
            </w:pPr>
            <w:r>
              <w:rPr>
                <w:sz w:val="20"/>
                <w:szCs w:val="20"/>
              </w:rPr>
              <w:t>  </w:t>
            </w:r>
          </w:p>
        </w:tc>
        <w:tc>
          <w:tcPr>
            <w:tcW w:w="2030" w:type="pct"/>
            <w:tcBorders>
              <w:bottom w:val="single" w:sz="6" w:space="0" w:color="000000"/>
            </w:tcBorders>
            <w:hideMark/>
          </w:tcPr>
          <w:p w14:paraId="7037A835" w14:textId="77777777" w:rsidR="00000000" w:rsidRDefault="00527094">
            <w:pPr>
              <w:pStyle w:val="a3"/>
              <w:spacing w:before="0" w:beforeAutospacing="0" w:after="0" w:afterAutospacing="0"/>
              <w:rPr>
                <w:sz w:val="20"/>
                <w:szCs w:val="20"/>
              </w:rPr>
            </w:pPr>
            <w:r>
              <w:rPr>
                <w:sz w:val="20"/>
                <w:szCs w:val="20"/>
              </w:rPr>
              <w:t>/s/ Glenn G. Cohen</w:t>
            </w:r>
          </w:p>
        </w:tc>
      </w:tr>
      <w:tr w:rsidR="00000000" w14:paraId="7A060A11" w14:textId="77777777">
        <w:trPr>
          <w:tblCellSpacing w:w="0" w:type="dxa"/>
        </w:trPr>
        <w:tc>
          <w:tcPr>
            <w:tcW w:w="1015" w:type="pct"/>
            <w:hideMark/>
          </w:tcPr>
          <w:p w14:paraId="16384654" w14:textId="77777777" w:rsidR="00000000" w:rsidRDefault="00527094">
            <w:pPr>
              <w:pStyle w:val="a3"/>
              <w:spacing w:before="0" w:beforeAutospacing="0" w:after="0" w:afterAutospacing="0"/>
              <w:rPr>
                <w:sz w:val="20"/>
                <w:szCs w:val="20"/>
              </w:rPr>
            </w:pPr>
            <w:r>
              <w:rPr>
                <w:sz w:val="20"/>
                <w:szCs w:val="20"/>
              </w:rPr>
              <w:t>(Date)</w:t>
            </w:r>
          </w:p>
        </w:tc>
        <w:tc>
          <w:tcPr>
            <w:tcW w:w="725" w:type="pct"/>
            <w:hideMark/>
          </w:tcPr>
          <w:p w14:paraId="07EEC050"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6D546E96"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5B23732A" w14:textId="77777777" w:rsidR="00000000" w:rsidRDefault="00527094">
            <w:pPr>
              <w:pStyle w:val="a3"/>
              <w:spacing w:before="0" w:beforeAutospacing="0" w:after="0" w:afterAutospacing="0"/>
              <w:rPr>
                <w:sz w:val="20"/>
                <w:szCs w:val="20"/>
              </w:rPr>
            </w:pPr>
            <w:r>
              <w:rPr>
                <w:sz w:val="20"/>
                <w:szCs w:val="20"/>
              </w:rPr>
              <w:t>Glenn G. Cohen</w:t>
            </w:r>
          </w:p>
        </w:tc>
      </w:tr>
      <w:tr w:rsidR="00000000" w14:paraId="269ECEE0" w14:textId="77777777">
        <w:trPr>
          <w:tblCellSpacing w:w="0" w:type="dxa"/>
        </w:trPr>
        <w:tc>
          <w:tcPr>
            <w:tcW w:w="1015" w:type="pct"/>
            <w:hideMark/>
          </w:tcPr>
          <w:p w14:paraId="54BD1906" w14:textId="77777777" w:rsidR="00000000" w:rsidRDefault="00527094">
            <w:pPr>
              <w:pStyle w:val="a3"/>
              <w:spacing w:before="0" w:beforeAutospacing="0" w:after="0" w:afterAutospacing="0"/>
              <w:rPr>
                <w:sz w:val="20"/>
                <w:szCs w:val="20"/>
              </w:rPr>
            </w:pPr>
            <w:r>
              <w:rPr>
                <w:sz w:val="20"/>
                <w:szCs w:val="20"/>
              </w:rPr>
              <w:t>  </w:t>
            </w:r>
          </w:p>
        </w:tc>
        <w:tc>
          <w:tcPr>
            <w:tcW w:w="725" w:type="pct"/>
            <w:hideMark/>
          </w:tcPr>
          <w:p w14:paraId="7575D5EA" w14:textId="77777777" w:rsidR="00000000" w:rsidRDefault="00527094">
            <w:pPr>
              <w:pStyle w:val="a3"/>
              <w:spacing w:before="0" w:beforeAutospacing="0" w:after="0" w:afterAutospacing="0"/>
              <w:rPr>
                <w:sz w:val="20"/>
                <w:szCs w:val="20"/>
              </w:rPr>
            </w:pPr>
            <w:r>
              <w:rPr>
                <w:sz w:val="20"/>
                <w:szCs w:val="20"/>
              </w:rPr>
              <w:t>  </w:t>
            </w:r>
          </w:p>
        </w:tc>
        <w:tc>
          <w:tcPr>
            <w:tcW w:w="1230" w:type="pct"/>
            <w:hideMark/>
          </w:tcPr>
          <w:p w14:paraId="449C70F0" w14:textId="77777777" w:rsidR="00000000" w:rsidRDefault="00527094">
            <w:pPr>
              <w:pStyle w:val="a3"/>
              <w:spacing w:before="0" w:beforeAutospacing="0" w:after="0" w:afterAutospacing="0"/>
              <w:rPr>
                <w:sz w:val="20"/>
                <w:szCs w:val="20"/>
              </w:rPr>
            </w:pPr>
            <w:r>
              <w:rPr>
                <w:sz w:val="20"/>
                <w:szCs w:val="20"/>
              </w:rPr>
              <w:t>  </w:t>
            </w:r>
          </w:p>
        </w:tc>
        <w:tc>
          <w:tcPr>
            <w:tcW w:w="2030" w:type="pct"/>
            <w:hideMark/>
          </w:tcPr>
          <w:p w14:paraId="40A575A3" w14:textId="77777777" w:rsidR="00000000" w:rsidRDefault="00527094">
            <w:pPr>
              <w:pStyle w:val="a3"/>
              <w:spacing w:before="0" w:beforeAutospacing="0" w:after="0" w:afterAutospacing="0"/>
              <w:rPr>
                <w:sz w:val="20"/>
                <w:szCs w:val="20"/>
              </w:rPr>
            </w:pPr>
            <w:r>
              <w:rPr>
                <w:sz w:val="20"/>
                <w:szCs w:val="20"/>
              </w:rPr>
              <w:t>Chief Financial Officer</w:t>
            </w:r>
          </w:p>
        </w:tc>
      </w:tr>
    </w:tbl>
    <w:p w14:paraId="357326FD" w14:textId="77777777" w:rsidR="00000000" w:rsidRDefault="00527094">
      <w:pPr>
        <w:pStyle w:val="a3"/>
        <w:spacing w:before="0" w:beforeAutospacing="0" w:after="0" w:afterAutospacing="0"/>
        <w:rPr>
          <w:sz w:val="20"/>
          <w:szCs w:val="20"/>
        </w:rPr>
      </w:pPr>
      <w:r>
        <w:rPr>
          <w:sz w:val="20"/>
          <w:szCs w:val="20"/>
        </w:rPr>
        <w:t> </w:t>
      </w:r>
    </w:p>
    <w:p w14:paraId="1DAB99EB" w14:textId="77777777" w:rsidR="00527094" w:rsidRDefault="00527094">
      <w:pPr>
        <w:pStyle w:val="a3"/>
        <w:spacing w:before="0" w:beforeAutospacing="0" w:after="0" w:afterAutospacing="0"/>
        <w:jc w:val="center"/>
        <w:rPr>
          <w:sz w:val="20"/>
          <w:szCs w:val="20"/>
        </w:rPr>
      </w:pPr>
      <w:r>
        <w:rPr>
          <w:sz w:val="20"/>
          <w:szCs w:val="20"/>
        </w:rPr>
        <w:t>37</w:t>
      </w:r>
    </w:p>
    <w:sectPr w:rsidR="0052709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7094"/>
    <w:rsid w:val="00527094"/>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xbrl.sec.gov/invest/2013-01-31"/>
  <w:attachedSchema w:val="http://www.xbrl.org/2013/inlineXBRL"/>
  <w:attachedSchema w:val="http://fasb.org/us-roles/2017-01-31"/>
  <w:attachedSchema w:val="http://xbrl.sec.gov/stpr/2011-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190630"/>
  <w:attachedSchema w:val="http://fasb.org/us-gaap/2019-01-31"/>
  <w:attachedSchema w:val="http://xbrl.sec.gov/country/2017-01-31"/>
  <w:attachedSchema w:val="http://xbrl.sec.gov/rr/2018-01-31"/>
  <w:attachedSchema w:val="http://xbrl.sec.gov/sic/2011-01-31"/>
  <w:attachedSchema w:val="http://xbrl.sec.gov/currency/2017-01-31"/>
  <w:attachedSchema w:val="http://xbrl.sec.gov/exch/2018-01-31"/>
  <w:attachedSchema w:val="http://fasb.org/srt/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87F8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553">
      <w:marLeft w:val="0"/>
      <w:marRight w:val="0"/>
      <w:marTop w:val="0"/>
      <w:marBottom w:val="0"/>
      <w:divBdr>
        <w:top w:val="none" w:sz="0" w:space="0" w:color="auto"/>
        <w:left w:val="none" w:sz="0" w:space="0" w:color="auto"/>
        <w:bottom w:val="none" w:sz="0" w:space="0" w:color="auto"/>
        <w:right w:val="none" w:sz="0" w:space="0" w:color="auto"/>
      </w:divBdr>
    </w:div>
    <w:div w:id="44648997">
      <w:marLeft w:val="0"/>
      <w:marRight w:val="0"/>
      <w:marTop w:val="0"/>
      <w:marBottom w:val="0"/>
      <w:divBdr>
        <w:top w:val="none" w:sz="0" w:space="0" w:color="auto"/>
        <w:left w:val="none" w:sz="0" w:space="0" w:color="auto"/>
        <w:bottom w:val="none" w:sz="0" w:space="0" w:color="auto"/>
        <w:right w:val="none" w:sz="0" w:space="0" w:color="auto"/>
      </w:divBdr>
    </w:div>
    <w:div w:id="47384075">
      <w:marLeft w:val="0"/>
      <w:marRight w:val="0"/>
      <w:marTop w:val="0"/>
      <w:marBottom w:val="0"/>
      <w:divBdr>
        <w:top w:val="none" w:sz="0" w:space="0" w:color="auto"/>
        <w:left w:val="none" w:sz="0" w:space="0" w:color="auto"/>
        <w:bottom w:val="none" w:sz="0" w:space="0" w:color="auto"/>
        <w:right w:val="none" w:sz="0" w:space="0" w:color="auto"/>
      </w:divBdr>
    </w:div>
    <w:div w:id="100608121">
      <w:marLeft w:val="0"/>
      <w:marRight w:val="0"/>
      <w:marTop w:val="0"/>
      <w:marBottom w:val="0"/>
      <w:divBdr>
        <w:top w:val="none" w:sz="0" w:space="0" w:color="auto"/>
        <w:left w:val="none" w:sz="0" w:space="0" w:color="auto"/>
        <w:bottom w:val="none" w:sz="0" w:space="0" w:color="auto"/>
        <w:right w:val="none" w:sz="0" w:space="0" w:color="auto"/>
      </w:divBdr>
    </w:div>
    <w:div w:id="115100109">
      <w:marLeft w:val="0"/>
      <w:marRight w:val="0"/>
      <w:marTop w:val="0"/>
      <w:marBottom w:val="0"/>
      <w:divBdr>
        <w:top w:val="none" w:sz="0" w:space="0" w:color="auto"/>
        <w:left w:val="none" w:sz="0" w:space="0" w:color="auto"/>
        <w:bottom w:val="none" w:sz="0" w:space="0" w:color="auto"/>
        <w:right w:val="none" w:sz="0" w:space="0" w:color="auto"/>
      </w:divBdr>
    </w:div>
    <w:div w:id="248856616">
      <w:marLeft w:val="0"/>
      <w:marRight w:val="0"/>
      <w:marTop w:val="0"/>
      <w:marBottom w:val="0"/>
      <w:divBdr>
        <w:top w:val="none" w:sz="0" w:space="0" w:color="auto"/>
        <w:left w:val="none" w:sz="0" w:space="0" w:color="auto"/>
        <w:bottom w:val="none" w:sz="0" w:space="0" w:color="auto"/>
        <w:right w:val="none" w:sz="0" w:space="0" w:color="auto"/>
      </w:divBdr>
    </w:div>
    <w:div w:id="271281829">
      <w:marLeft w:val="0"/>
      <w:marRight w:val="0"/>
      <w:marTop w:val="0"/>
      <w:marBottom w:val="0"/>
      <w:divBdr>
        <w:top w:val="none" w:sz="0" w:space="0" w:color="auto"/>
        <w:left w:val="none" w:sz="0" w:space="0" w:color="auto"/>
        <w:bottom w:val="none" w:sz="0" w:space="0" w:color="auto"/>
        <w:right w:val="none" w:sz="0" w:space="0" w:color="auto"/>
      </w:divBdr>
    </w:div>
    <w:div w:id="422924089">
      <w:marLeft w:val="0"/>
      <w:marRight w:val="0"/>
      <w:marTop w:val="0"/>
      <w:marBottom w:val="0"/>
      <w:divBdr>
        <w:top w:val="none" w:sz="0" w:space="0" w:color="auto"/>
        <w:left w:val="none" w:sz="0" w:space="0" w:color="auto"/>
        <w:bottom w:val="none" w:sz="0" w:space="0" w:color="auto"/>
        <w:right w:val="none" w:sz="0" w:space="0" w:color="auto"/>
      </w:divBdr>
    </w:div>
    <w:div w:id="518156638">
      <w:marLeft w:val="0"/>
      <w:marRight w:val="0"/>
      <w:marTop w:val="0"/>
      <w:marBottom w:val="0"/>
      <w:divBdr>
        <w:top w:val="none" w:sz="0" w:space="0" w:color="auto"/>
        <w:left w:val="none" w:sz="0" w:space="0" w:color="auto"/>
        <w:bottom w:val="none" w:sz="0" w:space="0" w:color="auto"/>
        <w:right w:val="none" w:sz="0" w:space="0" w:color="auto"/>
      </w:divBdr>
    </w:div>
    <w:div w:id="527648288">
      <w:marLeft w:val="0"/>
      <w:marRight w:val="0"/>
      <w:marTop w:val="0"/>
      <w:marBottom w:val="0"/>
      <w:divBdr>
        <w:top w:val="none" w:sz="0" w:space="0" w:color="auto"/>
        <w:left w:val="none" w:sz="0" w:space="0" w:color="auto"/>
        <w:bottom w:val="none" w:sz="0" w:space="0" w:color="auto"/>
        <w:right w:val="none" w:sz="0" w:space="0" w:color="auto"/>
      </w:divBdr>
    </w:div>
    <w:div w:id="541097319">
      <w:marLeft w:val="0"/>
      <w:marRight w:val="0"/>
      <w:marTop w:val="0"/>
      <w:marBottom w:val="0"/>
      <w:divBdr>
        <w:top w:val="none" w:sz="0" w:space="0" w:color="auto"/>
        <w:left w:val="none" w:sz="0" w:space="0" w:color="auto"/>
        <w:bottom w:val="none" w:sz="0" w:space="0" w:color="auto"/>
        <w:right w:val="none" w:sz="0" w:space="0" w:color="auto"/>
      </w:divBdr>
    </w:div>
    <w:div w:id="550390147">
      <w:marLeft w:val="0"/>
      <w:marRight w:val="0"/>
      <w:marTop w:val="0"/>
      <w:marBottom w:val="0"/>
      <w:divBdr>
        <w:top w:val="none" w:sz="0" w:space="0" w:color="auto"/>
        <w:left w:val="none" w:sz="0" w:space="0" w:color="auto"/>
        <w:bottom w:val="none" w:sz="0" w:space="0" w:color="auto"/>
        <w:right w:val="none" w:sz="0" w:space="0" w:color="auto"/>
      </w:divBdr>
    </w:div>
    <w:div w:id="574318400">
      <w:marLeft w:val="0"/>
      <w:marRight w:val="0"/>
      <w:marTop w:val="0"/>
      <w:marBottom w:val="0"/>
      <w:divBdr>
        <w:top w:val="none" w:sz="0" w:space="0" w:color="auto"/>
        <w:left w:val="none" w:sz="0" w:space="0" w:color="auto"/>
        <w:bottom w:val="none" w:sz="0" w:space="0" w:color="auto"/>
        <w:right w:val="none" w:sz="0" w:space="0" w:color="auto"/>
      </w:divBdr>
    </w:div>
    <w:div w:id="586231719">
      <w:marLeft w:val="0"/>
      <w:marRight w:val="0"/>
      <w:marTop w:val="0"/>
      <w:marBottom w:val="0"/>
      <w:divBdr>
        <w:top w:val="none" w:sz="0" w:space="0" w:color="auto"/>
        <w:left w:val="none" w:sz="0" w:space="0" w:color="auto"/>
        <w:bottom w:val="none" w:sz="0" w:space="0" w:color="auto"/>
        <w:right w:val="none" w:sz="0" w:space="0" w:color="auto"/>
      </w:divBdr>
    </w:div>
    <w:div w:id="611401368">
      <w:marLeft w:val="0"/>
      <w:marRight w:val="0"/>
      <w:marTop w:val="0"/>
      <w:marBottom w:val="0"/>
      <w:divBdr>
        <w:top w:val="none" w:sz="0" w:space="0" w:color="auto"/>
        <w:left w:val="none" w:sz="0" w:space="0" w:color="auto"/>
        <w:bottom w:val="none" w:sz="0" w:space="0" w:color="auto"/>
        <w:right w:val="none" w:sz="0" w:space="0" w:color="auto"/>
      </w:divBdr>
    </w:div>
    <w:div w:id="618292930">
      <w:marLeft w:val="0"/>
      <w:marRight w:val="0"/>
      <w:marTop w:val="0"/>
      <w:marBottom w:val="0"/>
      <w:divBdr>
        <w:top w:val="none" w:sz="0" w:space="0" w:color="auto"/>
        <w:left w:val="none" w:sz="0" w:space="0" w:color="auto"/>
        <w:bottom w:val="none" w:sz="0" w:space="0" w:color="auto"/>
        <w:right w:val="none" w:sz="0" w:space="0" w:color="auto"/>
      </w:divBdr>
    </w:div>
    <w:div w:id="640036477">
      <w:marLeft w:val="0"/>
      <w:marRight w:val="0"/>
      <w:marTop w:val="0"/>
      <w:marBottom w:val="0"/>
      <w:divBdr>
        <w:top w:val="none" w:sz="0" w:space="0" w:color="auto"/>
        <w:left w:val="none" w:sz="0" w:space="0" w:color="auto"/>
        <w:bottom w:val="none" w:sz="0" w:space="0" w:color="auto"/>
        <w:right w:val="none" w:sz="0" w:space="0" w:color="auto"/>
      </w:divBdr>
    </w:div>
    <w:div w:id="735518875">
      <w:marLeft w:val="0"/>
      <w:marRight w:val="0"/>
      <w:marTop w:val="0"/>
      <w:marBottom w:val="0"/>
      <w:divBdr>
        <w:top w:val="none" w:sz="0" w:space="0" w:color="auto"/>
        <w:left w:val="none" w:sz="0" w:space="0" w:color="auto"/>
        <w:bottom w:val="none" w:sz="0" w:space="0" w:color="auto"/>
        <w:right w:val="none" w:sz="0" w:space="0" w:color="auto"/>
      </w:divBdr>
    </w:div>
    <w:div w:id="799109023">
      <w:marLeft w:val="0"/>
      <w:marRight w:val="0"/>
      <w:marTop w:val="0"/>
      <w:marBottom w:val="0"/>
      <w:divBdr>
        <w:top w:val="none" w:sz="0" w:space="0" w:color="auto"/>
        <w:left w:val="none" w:sz="0" w:space="0" w:color="auto"/>
        <w:bottom w:val="none" w:sz="0" w:space="0" w:color="auto"/>
        <w:right w:val="none" w:sz="0" w:space="0" w:color="auto"/>
      </w:divBdr>
    </w:div>
    <w:div w:id="868838182">
      <w:marLeft w:val="0"/>
      <w:marRight w:val="0"/>
      <w:marTop w:val="0"/>
      <w:marBottom w:val="0"/>
      <w:divBdr>
        <w:top w:val="none" w:sz="0" w:space="0" w:color="auto"/>
        <w:left w:val="none" w:sz="0" w:space="0" w:color="auto"/>
        <w:bottom w:val="none" w:sz="0" w:space="0" w:color="auto"/>
        <w:right w:val="none" w:sz="0" w:space="0" w:color="auto"/>
      </w:divBdr>
    </w:div>
    <w:div w:id="885481794">
      <w:marLeft w:val="0"/>
      <w:marRight w:val="0"/>
      <w:marTop w:val="0"/>
      <w:marBottom w:val="0"/>
      <w:divBdr>
        <w:top w:val="none" w:sz="0" w:space="0" w:color="auto"/>
        <w:left w:val="none" w:sz="0" w:space="0" w:color="auto"/>
        <w:bottom w:val="none" w:sz="0" w:space="0" w:color="auto"/>
        <w:right w:val="none" w:sz="0" w:space="0" w:color="auto"/>
      </w:divBdr>
    </w:div>
    <w:div w:id="895160730">
      <w:marLeft w:val="0"/>
      <w:marRight w:val="0"/>
      <w:marTop w:val="0"/>
      <w:marBottom w:val="0"/>
      <w:divBdr>
        <w:top w:val="none" w:sz="0" w:space="0" w:color="auto"/>
        <w:left w:val="none" w:sz="0" w:space="0" w:color="auto"/>
        <w:bottom w:val="none" w:sz="0" w:space="0" w:color="auto"/>
        <w:right w:val="none" w:sz="0" w:space="0" w:color="auto"/>
      </w:divBdr>
    </w:div>
    <w:div w:id="952633332">
      <w:marLeft w:val="0"/>
      <w:marRight w:val="0"/>
      <w:marTop w:val="0"/>
      <w:marBottom w:val="0"/>
      <w:divBdr>
        <w:top w:val="none" w:sz="0" w:space="0" w:color="auto"/>
        <w:left w:val="none" w:sz="0" w:space="0" w:color="auto"/>
        <w:bottom w:val="none" w:sz="0" w:space="0" w:color="auto"/>
        <w:right w:val="none" w:sz="0" w:space="0" w:color="auto"/>
      </w:divBdr>
    </w:div>
    <w:div w:id="1011758594">
      <w:marLeft w:val="0"/>
      <w:marRight w:val="0"/>
      <w:marTop w:val="0"/>
      <w:marBottom w:val="0"/>
      <w:divBdr>
        <w:top w:val="none" w:sz="0" w:space="0" w:color="auto"/>
        <w:left w:val="none" w:sz="0" w:space="0" w:color="auto"/>
        <w:bottom w:val="none" w:sz="0" w:space="0" w:color="auto"/>
        <w:right w:val="none" w:sz="0" w:space="0" w:color="auto"/>
      </w:divBdr>
    </w:div>
    <w:div w:id="1088112578">
      <w:marLeft w:val="0"/>
      <w:marRight w:val="0"/>
      <w:marTop w:val="0"/>
      <w:marBottom w:val="0"/>
      <w:divBdr>
        <w:top w:val="none" w:sz="0" w:space="0" w:color="auto"/>
        <w:left w:val="none" w:sz="0" w:space="0" w:color="auto"/>
        <w:bottom w:val="none" w:sz="0" w:space="0" w:color="auto"/>
        <w:right w:val="none" w:sz="0" w:space="0" w:color="auto"/>
      </w:divBdr>
    </w:div>
    <w:div w:id="1094059578">
      <w:marLeft w:val="0"/>
      <w:marRight w:val="0"/>
      <w:marTop w:val="0"/>
      <w:marBottom w:val="0"/>
      <w:divBdr>
        <w:top w:val="none" w:sz="0" w:space="0" w:color="auto"/>
        <w:left w:val="none" w:sz="0" w:space="0" w:color="auto"/>
        <w:bottom w:val="none" w:sz="0" w:space="0" w:color="auto"/>
        <w:right w:val="none" w:sz="0" w:space="0" w:color="auto"/>
      </w:divBdr>
    </w:div>
    <w:div w:id="1185943591">
      <w:marLeft w:val="0"/>
      <w:marRight w:val="0"/>
      <w:marTop w:val="0"/>
      <w:marBottom w:val="0"/>
      <w:divBdr>
        <w:top w:val="none" w:sz="0" w:space="0" w:color="auto"/>
        <w:left w:val="none" w:sz="0" w:space="0" w:color="auto"/>
        <w:bottom w:val="none" w:sz="0" w:space="0" w:color="auto"/>
        <w:right w:val="none" w:sz="0" w:space="0" w:color="auto"/>
      </w:divBdr>
    </w:div>
    <w:div w:id="1227841918">
      <w:marLeft w:val="0"/>
      <w:marRight w:val="0"/>
      <w:marTop w:val="0"/>
      <w:marBottom w:val="0"/>
      <w:divBdr>
        <w:top w:val="none" w:sz="0" w:space="0" w:color="auto"/>
        <w:left w:val="none" w:sz="0" w:space="0" w:color="auto"/>
        <w:bottom w:val="none" w:sz="0" w:space="0" w:color="auto"/>
        <w:right w:val="none" w:sz="0" w:space="0" w:color="auto"/>
      </w:divBdr>
    </w:div>
    <w:div w:id="1268537590">
      <w:marLeft w:val="0"/>
      <w:marRight w:val="0"/>
      <w:marTop w:val="0"/>
      <w:marBottom w:val="0"/>
      <w:divBdr>
        <w:top w:val="none" w:sz="0" w:space="0" w:color="auto"/>
        <w:left w:val="none" w:sz="0" w:space="0" w:color="auto"/>
        <w:bottom w:val="none" w:sz="0" w:space="0" w:color="auto"/>
        <w:right w:val="none" w:sz="0" w:space="0" w:color="auto"/>
      </w:divBdr>
    </w:div>
    <w:div w:id="1301761653">
      <w:marLeft w:val="0"/>
      <w:marRight w:val="0"/>
      <w:marTop w:val="0"/>
      <w:marBottom w:val="0"/>
      <w:divBdr>
        <w:top w:val="none" w:sz="0" w:space="0" w:color="auto"/>
        <w:left w:val="none" w:sz="0" w:space="0" w:color="auto"/>
        <w:bottom w:val="none" w:sz="0" w:space="0" w:color="auto"/>
        <w:right w:val="none" w:sz="0" w:space="0" w:color="auto"/>
      </w:divBdr>
    </w:div>
    <w:div w:id="1317998590">
      <w:marLeft w:val="0"/>
      <w:marRight w:val="0"/>
      <w:marTop w:val="0"/>
      <w:marBottom w:val="0"/>
      <w:divBdr>
        <w:top w:val="none" w:sz="0" w:space="0" w:color="auto"/>
        <w:left w:val="none" w:sz="0" w:space="0" w:color="auto"/>
        <w:bottom w:val="none" w:sz="0" w:space="0" w:color="auto"/>
        <w:right w:val="none" w:sz="0" w:space="0" w:color="auto"/>
      </w:divBdr>
    </w:div>
    <w:div w:id="1329282539">
      <w:marLeft w:val="0"/>
      <w:marRight w:val="0"/>
      <w:marTop w:val="0"/>
      <w:marBottom w:val="0"/>
      <w:divBdr>
        <w:top w:val="none" w:sz="0" w:space="0" w:color="auto"/>
        <w:left w:val="none" w:sz="0" w:space="0" w:color="auto"/>
        <w:bottom w:val="none" w:sz="0" w:space="0" w:color="auto"/>
        <w:right w:val="none" w:sz="0" w:space="0" w:color="auto"/>
      </w:divBdr>
    </w:div>
    <w:div w:id="1330058724">
      <w:marLeft w:val="0"/>
      <w:marRight w:val="0"/>
      <w:marTop w:val="0"/>
      <w:marBottom w:val="0"/>
      <w:divBdr>
        <w:top w:val="none" w:sz="0" w:space="0" w:color="auto"/>
        <w:left w:val="none" w:sz="0" w:space="0" w:color="auto"/>
        <w:bottom w:val="none" w:sz="0" w:space="0" w:color="auto"/>
        <w:right w:val="none" w:sz="0" w:space="0" w:color="auto"/>
      </w:divBdr>
    </w:div>
    <w:div w:id="1343899744">
      <w:marLeft w:val="0"/>
      <w:marRight w:val="0"/>
      <w:marTop w:val="0"/>
      <w:marBottom w:val="0"/>
      <w:divBdr>
        <w:top w:val="none" w:sz="0" w:space="0" w:color="auto"/>
        <w:left w:val="none" w:sz="0" w:space="0" w:color="auto"/>
        <w:bottom w:val="none" w:sz="0" w:space="0" w:color="auto"/>
        <w:right w:val="none" w:sz="0" w:space="0" w:color="auto"/>
      </w:divBdr>
    </w:div>
    <w:div w:id="1346249183">
      <w:marLeft w:val="0"/>
      <w:marRight w:val="0"/>
      <w:marTop w:val="0"/>
      <w:marBottom w:val="0"/>
      <w:divBdr>
        <w:top w:val="none" w:sz="0" w:space="0" w:color="auto"/>
        <w:left w:val="none" w:sz="0" w:space="0" w:color="auto"/>
        <w:bottom w:val="none" w:sz="0" w:space="0" w:color="auto"/>
        <w:right w:val="none" w:sz="0" w:space="0" w:color="auto"/>
      </w:divBdr>
    </w:div>
    <w:div w:id="1387026813">
      <w:marLeft w:val="0"/>
      <w:marRight w:val="0"/>
      <w:marTop w:val="0"/>
      <w:marBottom w:val="0"/>
      <w:divBdr>
        <w:top w:val="none" w:sz="0" w:space="0" w:color="auto"/>
        <w:left w:val="none" w:sz="0" w:space="0" w:color="auto"/>
        <w:bottom w:val="none" w:sz="0" w:space="0" w:color="auto"/>
        <w:right w:val="none" w:sz="0" w:space="0" w:color="auto"/>
      </w:divBdr>
    </w:div>
    <w:div w:id="1409227629">
      <w:marLeft w:val="0"/>
      <w:marRight w:val="0"/>
      <w:marTop w:val="0"/>
      <w:marBottom w:val="0"/>
      <w:divBdr>
        <w:top w:val="none" w:sz="0" w:space="0" w:color="auto"/>
        <w:left w:val="none" w:sz="0" w:space="0" w:color="auto"/>
        <w:bottom w:val="none" w:sz="0" w:space="0" w:color="auto"/>
        <w:right w:val="none" w:sz="0" w:space="0" w:color="auto"/>
      </w:divBdr>
    </w:div>
    <w:div w:id="1411392417">
      <w:marLeft w:val="0"/>
      <w:marRight w:val="0"/>
      <w:marTop w:val="0"/>
      <w:marBottom w:val="0"/>
      <w:divBdr>
        <w:top w:val="none" w:sz="0" w:space="0" w:color="auto"/>
        <w:left w:val="none" w:sz="0" w:space="0" w:color="auto"/>
        <w:bottom w:val="none" w:sz="0" w:space="0" w:color="auto"/>
        <w:right w:val="none" w:sz="0" w:space="0" w:color="auto"/>
      </w:divBdr>
    </w:div>
    <w:div w:id="1425613027">
      <w:marLeft w:val="0"/>
      <w:marRight w:val="0"/>
      <w:marTop w:val="0"/>
      <w:marBottom w:val="0"/>
      <w:divBdr>
        <w:top w:val="none" w:sz="0" w:space="0" w:color="auto"/>
        <w:left w:val="none" w:sz="0" w:space="0" w:color="auto"/>
        <w:bottom w:val="none" w:sz="0" w:space="0" w:color="auto"/>
        <w:right w:val="none" w:sz="0" w:space="0" w:color="auto"/>
      </w:divBdr>
    </w:div>
    <w:div w:id="1464688585">
      <w:marLeft w:val="0"/>
      <w:marRight w:val="0"/>
      <w:marTop w:val="0"/>
      <w:marBottom w:val="0"/>
      <w:divBdr>
        <w:top w:val="none" w:sz="0" w:space="0" w:color="auto"/>
        <w:left w:val="none" w:sz="0" w:space="0" w:color="auto"/>
        <w:bottom w:val="none" w:sz="0" w:space="0" w:color="auto"/>
        <w:right w:val="none" w:sz="0" w:space="0" w:color="auto"/>
      </w:divBdr>
    </w:div>
    <w:div w:id="1502234384">
      <w:marLeft w:val="0"/>
      <w:marRight w:val="0"/>
      <w:marTop w:val="0"/>
      <w:marBottom w:val="0"/>
      <w:divBdr>
        <w:top w:val="none" w:sz="0" w:space="0" w:color="auto"/>
        <w:left w:val="none" w:sz="0" w:space="0" w:color="auto"/>
        <w:bottom w:val="none" w:sz="0" w:space="0" w:color="auto"/>
        <w:right w:val="none" w:sz="0" w:space="0" w:color="auto"/>
      </w:divBdr>
    </w:div>
    <w:div w:id="1527524603">
      <w:marLeft w:val="0"/>
      <w:marRight w:val="0"/>
      <w:marTop w:val="0"/>
      <w:marBottom w:val="0"/>
      <w:divBdr>
        <w:top w:val="none" w:sz="0" w:space="0" w:color="auto"/>
        <w:left w:val="none" w:sz="0" w:space="0" w:color="auto"/>
        <w:bottom w:val="none" w:sz="0" w:space="0" w:color="auto"/>
        <w:right w:val="none" w:sz="0" w:space="0" w:color="auto"/>
      </w:divBdr>
    </w:div>
    <w:div w:id="1561134360">
      <w:marLeft w:val="0"/>
      <w:marRight w:val="0"/>
      <w:marTop w:val="0"/>
      <w:marBottom w:val="0"/>
      <w:divBdr>
        <w:top w:val="none" w:sz="0" w:space="0" w:color="auto"/>
        <w:left w:val="none" w:sz="0" w:space="0" w:color="auto"/>
        <w:bottom w:val="none" w:sz="0" w:space="0" w:color="auto"/>
        <w:right w:val="none" w:sz="0" w:space="0" w:color="auto"/>
      </w:divBdr>
    </w:div>
    <w:div w:id="1566992452">
      <w:marLeft w:val="0"/>
      <w:marRight w:val="0"/>
      <w:marTop w:val="0"/>
      <w:marBottom w:val="0"/>
      <w:divBdr>
        <w:top w:val="none" w:sz="0" w:space="0" w:color="auto"/>
        <w:left w:val="none" w:sz="0" w:space="0" w:color="auto"/>
        <w:bottom w:val="none" w:sz="0" w:space="0" w:color="auto"/>
        <w:right w:val="none" w:sz="0" w:space="0" w:color="auto"/>
      </w:divBdr>
    </w:div>
    <w:div w:id="1570771768">
      <w:marLeft w:val="0"/>
      <w:marRight w:val="0"/>
      <w:marTop w:val="0"/>
      <w:marBottom w:val="0"/>
      <w:divBdr>
        <w:top w:val="none" w:sz="0" w:space="0" w:color="auto"/>
        <w:left w:val="none" w:sz="0" w:space="0" w:color="auto"/>
        <w:bottom w:val="none" w:sz="0" w:space="0" w:color="auto"/>
        <w:right w:val="none" w:sz="0" w:space="0" w:color="auto"/>
      </w:divBdr>
    </w:div>
    <w:div w:id="1577587120">
      <w:marLeft w:val="0"/>
      <w:marRight w:val="0"/>
      <w:marTop w:val="0"/>
      <w:marBottom w:val="0"/>
      <w:divBdr>
        <w:top w:val="none" w:sz="0" w:space="0" w:color="auto"/>
        <w:left w:val="none" w:sz="0" w:space="0" w:color="auto"/>
        <w:bottom w:val="none" w:sz="0" w:space="0" w:color="auto"/>
        <w:right w:val="none" w:sz="0" w:space="0" w:color="auto"/>
      </w:divBdr>
    </w:div>
    <w:div w:id="1619751358">
      <w:marLeft w:val="0"/>
      <w:marRight w:val="0"/>
      <w:marTop w:val="0"/>
      <w:marBottom w:val="0"/>
      <w:divBdr>
        <w:top w:val="none" w:sz="0" w:space="0" w:color="auto"/>
        <w:left w:val="none" w:sz="0" w:space="0" w:color="auto"/>
        <w:bottom w:val="none" w:sz="0" w:space="0" w:color="auto"/>
        <w:right w:val="none" w:sz="0" w:space="0" w:color="auto"/>
      </w:divBdr>
    </w:div>
    <w:div w:id="1652251267">
      <w:marLeft w:val="0"/>
      <w:marRight w:val="0"/>
      <w:marTop w:val="0"/>
      <w:marBottom w:val="0"/>
      <w:divBdr>
        <w:top w:val="none" w:sz="0" w:space="0" w:color="auto"/>
        <w:left w:val="none" w:sz="0" w:space="0" w:color="auto"/>
        <w:bottom w:val="none" w:sz="0" w:space="0" w:color="auto"/>
        <w:right w:val="none" w:sz="0" w:space="0" w:color="auto"/>
      </w:divBdr>
    </w:div>
    <w:div w:id="1690330019">
      <w:marLeft w:val="0"/>
      <w:marRight w:val="0"/>
      <w:marTop w:val="0"/>
      <w:marBottom w:val="0"/>
      <w:divBdr>
        <w:top w:val="none" w:sz="0" w:space="0" w:color="auto"/>
        <w:left w:val="none" w:sz="0" w:space="0" w:color="auto"/>
        <w:bottom w:val="none" w:sz="0" w:space="0" w:color="auto"/>
        <w:right w:val="none" w:sz="0" w:space="0" w:color="auto"/>
      </w:divBdr>
    </w:div>
    <w:div w:id="1762407321">
      <w:marLeft w:val="0"/>
      <w:marRight w:val="0"/>
      <w:marTop w:val="0"/>
      <w:marBottom w:val="0"/>
      <w:divBdr>
        <w:top w:val="none" w:sz="0" w:space="0" w:color="auto"/>
        <w:left w:val="none" w:sz="0" w:space="0" w:color="auto"/>
        <w:bottom w:val="none" w:sz="0" w:space="0" w:color="auto"/>
        <w:right w:val="none" w:sz="0" w:space="0" w:color="auto"/>
      </w:divBdr>
    </w:div>
    <w:div w:id="1781996993">
      <w:marLeft w:val="0"/>
      <w:marRight w:val="0"/>
      <w:marTop w:val="0"/>
      <w:marBottom w:val="0"/>
      <w:divBdr>
        <w:top w:val="none" w:sz="0" w:space="0" w:color="auto"/>
        <w:left w:val="none" w:sz="0" w:space="0" w:color="auto"/>
        <w:bottom w:val="none" w:sz="0" w:space="0" w:color="auto"/>
        <w:right w:val="none" w:sz="0" w:space="0" w:color="auto"/>
      </w:divBdr>
    </w:div>
    <w:div w:id="1878733464">
      <w:marLeft w:val="0"/>
      <w:marRight w:val="0"/>
      <w:marTop w:val="0"/>
      <w:marBottom w:val="0"/>
      <w:divBdr>
        <w:top w:val="none" w:sz="0" w:space="0" w:color="auto"/>
        <w:left w:val="none" w:sz="0" w:space="0" w:color="auto"/>
        <w:bottom w:val="none" w:sz="0" w:space="0" w:color="auto"/>
        <w:right w:val="none" w:sz="0" w:space="0" w:color="auto"/>
      </w:divBdr>
    </w:div>
    <w:div w:id="2038508151">
      <w:marLeft w:val="0"/>
      <w:marRight w:val="0"/>
      <w:marTop w:val="0"/>
      <w:marBottom w:val="0"/>
      <w:divBdr>
        <w:top w:val="none" w:sz="0" w:space="0" w:color="auto"/>
        <w:left w:val="none" w:sz="0" w:space="0" w:color="auto"/>
        <w:bottom w:val="none" w:sz="0" w:space="0" w:color="auto"/>
        <w:right w:val="none" w:sz="0" w:space="0" w:color="auto"/>
      </w:divBdr>
    </w:div>
    <w:div w:id="2093819793">
      <w:marLeft w:val="0"/>
      <w:marRight w:val="0"/>
      <w:marTop w:val="0"/>
      <w:marBottom w:val="0"/>
      <w:divBdr>
        <w:top w:val="none" w:sz="0" w:space="0" w:color="auto"/>
        <w:left w:val="none" w:sz="0" w:space="0" w:color="auto"/>
        <w:bottom w:val="none" w:sz="0" w:space="0" w:color="auto"/>
        <w:right w:val="none" w:sz="0" w:space="0" w:color="auto"/>
      </w:divBdr>
    </w:div>
    <w:div w:id="212017740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150226.htm" TargetMode="External"/><Relationship Id="rId5" Type="http://schemas.openxmlformats.org/officeDocument/2006/relationships/hyperlink" Target="ex_150225.htm" TargetMode="External"/><Relationship Id="rId4" Type="http://schemas.openxmlformats.org/officeDocument/2006/relationships/hyperlink" Target="ex_15022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25374</Words>
  <Characters>144636</Characters>
  <Application>Microsoft Office Word</Application>
  <DocSecurity>0</DocSecurity>
  <Lines>1205</Lines>
  <Paragraphs>339</Paragraphs>
  <ScaleCrop>false</ScaleCrop>
  <Company/>
  <LinksUpToDate>false</LinksUpToDate>
  <CharactersWithSpaces>169671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kim20190630_10q.htm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