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F676C">
      <w:pPr>
        <w:divId w:val="784496822"/>
        <w:rPr>
          <w:rFonts w:eastAsia="Times New Roman"/>
          <w:vanish/>
          <w:sz w:val="20"/>
          <w:szCs w:val="20"/>
        </w:rPr>
      </w:pPr>
      <w:r>
        <w:rPr>
          <w:rFonts w:eastAsia="Times New Roman"/>
          <w:vanish/>
          <w:sz w:val="20"/>
          <w:szCs w:val="20"/>
        </w:rPr>
        <w:t>0000879101KIMCO REALTY CORPfalse--12-31Q32019Fair value measurement as of date of deconsolidation.</w:t>
      </w:r>
      <w:r>
        <w:rPr>
          <w:rFonts w:eastAsia="Times New Roman"/>
          <w:vanish/>
          <w:sz w:val="20"/>
          <w:szCs w:val="20"/>
        </w:rPr>
        <w:t>The Company utilized an aggregate $31.0 million associated with Internal Revenue Code 1031 sales proceeds.The effect of the assumed conversion of certain convertible units had an anti-dilutive effect upon the calculation of Net income available to the Comp</w:t>
      </w:r>
      <w:r>
        <w:rPr>
          <w:rFonts w:eastAsia="Times New Roman"/>
          <w:vanish/>
          <w:sz w:val="20"/>
          <w:szCs w:val="20"/>
        </w:rPr>
        <w:t>any's common shareholders per share. Accordingly, the impact of such conversions has not been included in the determination of diluted earnings per share calculations. Additionally, there were 0.5 million and 2.3 million stock options that were not dilutiv</w:t>
      </w:r>
      <w:r>
        <w:rPr>
          <w:rFonts w:eastAsia="Times New Roman"/>
          <w:vanish/>
          <w:sz w:val="20"/>
          <w:szCs w:val="20"/>
        </w:rPr>
        <w:t xml:space="preserve">e as of September 30, 2019 and 2018, respectively.Representing 101 property interests and 21.6 million square feet of GLA, as of September 30, 2019, and 109 property interests and 23.2 million square feet of GLA, as of December 31, 2018.Includes extension </w:t>
      </w:r>
      <w:r>
        <w:rPr>
          <w:rFonts w:eastAsia="Times New Roman"/>
          <w:vanish/>
          <w:sz w:val="20"/>
          <w:szCs w:val="20"/>
        </w:rPr>
        <w:t>optionsThe Company determined that the valuation of its Senior Unsecured Notes were classified within Level 2 of the fair value hierarchy and its unsecured revolving credit facility was classified within Level 3 of the fair value hierarchy. The estimated f</w:t>
      </w:r>
      <w:r>
        <w:rPr>
          <w:rFonts w:eastAsia="Times New Roman"/>
          <w:vanish/>
          <w:sz w:val="20"/>
          <w:szCs w:val="20"/>
        </w:rPr>
        <w:t>air value amounts classified as Level 2, as of September 30, 2019 and December 31, 2018, were $4.8 billion and $4.0 billion, respectively. The estimated fair value amounts classified as Level 3, as of September 30, 2019 and December 31, 2018, were $199.8 m</w:t>
      </w:r>
      <w:r>
        <w:rPr>
          <w:rFonts w:eastAsia="Times New Roman"/>
          <w:vanish/>
          <w:sz w:val="20"/>
          <w:szCs w:val="20"/>
        </w:rPr>
        <w:t>illion and $97.6 million, respectively.Gross leasable area ("GLA")The Company manages these joint venture investments and, where applicable, earns property management fees, construction management fees, property acquisition and disposition fees, leasing ma</w:t>
      </w:r>
      <w:r>
        <w:rPr>
          <w:rFonts w:eastAsia="Times New Roman"/>
          <w:vanish/>
          <w:sz w:val="20"/>
          <w:szCs w:val="20"/>
        </w:rPr>
        <w:t xml:space="preserve">nagement fees and asset management fees.Redemption charges resulting from the difference between the redemption amount and the carrying amount of the respective preferred stock class on the Company's Condensed Consolidated Balance Sheets are accounted for </w:t>
      </w:r>
      <w:r>
        <w:rPr>
          <w:rFonts w:eastAsia="Times New Roman"/>
          <w:vanish/>
          <w:sz w:val="20"/>
          <w:szCs w:val="20"/>
        </w:rPr>
        <w:t>in accordance with the FASB's guidance on Distinguishing Liabilities from Equity. These charges were subtracted from net income attributable to the Company to arrive at net income available to the Company's common shareholders and used in the calculation o</w:t>
      </w:r>
      <w:r>
        <w:rPr>
          <w:rFonts w:eastAsia="Times New Roman"/>
          <w:vanish/>
          <w:sz w:val="20"/>
          <w:szCs w:val="20"/>
        </w:rPr>
        <w:t>f earnings per share.During the nine months ended September 30, 2018, a joint venture investment distributed cash proceeds resulting from the refinancing of an existing loan of which the Company's share was $3.6 million. The distribution was in excess of t</w:t>
      </w:r>
      <w:r>
        <w:rPr>
          <w:rFonts w:eastAsia="Times New Roman"/>
          <w:vanish/>
          <w:sz w:val="20"/>
          <w:szCs w:val="20"/>
        </w:rPr>
        <w:t>he Company's carrying basis in this joint venture investment and as such was recognized as income.The Company determined that its valuation of its mortgages and construction loan were classified within Level 3 of the fair value hierarchy.Includes capitaliz</w:t>
      </w:r>
      <w:r>
        <w:rPr>
          <w:rFonts w:eastAsia="Times New Roman"/>
          <w:vanish/>
          <w:sz w:val="20"/>
          <w:szCs w:val="20"/>
        </w:rPr>
        <w:t>ed costs of interest, real estate taxes, insurance, legal costs and payroll of $27.4 million and $24.9 million, as of September 30, 2019 and December 31, 2018, respectively.During the nine months ended September 30, 2018, the Company recorded an adjustment</w:t>
      </w:r>
      <w:r>
        <w:rPr>
          <w:rFonts w:eastAsia="Times New Roman"/>
          <w:vanish/>
          <w:sz w:val="20"/>
          <w:szCs w:val="20"/>
        </w:rPr>
        <w:t xml:space="preserve"> of $3.9 million to the estimated redemption fair market value of a noncontrolling interest in accordance with the provisions of the respective joint venture agreement and ASC 480 - Accounting for Redeemable Equity Instruments.Includes non-recourse liabili</w:t>
      </w:r>
      <w:r>
        <w:rPr>
          <w:rFonts w:eastAsia="Times New Roman"/>
          <w:vanish/>
          <w:sz w:val="20"/>
          <w:szCs w:val="20"/>
        </w:rPr>
        <w:t>ties of consolidated VIEs at September 30, 2019 and December 31, 2018 of $145,075 and $143,186, respectively. See Footnote 11 of the Notes to Condensed Consolidated Financial Statements.During the nine months ended September 30, 2019, the Company reclassif</w:t>
      </w:r>
      <w:r>
        <w:rPr>
          <w:rFonts w:eastAsia="Times New Roman"/>
          <w:vanish/>
          <w:sz w:val="20"/>
          <w:szCs w:val="20"/>
        </w:rPr>
        <w:t>ied this project to Real estate, net of accumulated depreciation and amortization on the Company's Condensed Consolidated Balance Sheets, as it is now the Company's intention to discontinue development of this project and to market it for sale as is. The a</w:t>
      </w:r>
      <w:r>
        <w:rPr>
          <w:rFonts w:eastAsia="Times New Roman"/>
          <w:vanish/>
          <w:sz w:val="20"/>
          <w:szCs w:val="20"/>
        </w:rPr>
        <w:t>s is value, estimated fair value, was below the carrying value and as such, the Company recorded an impairment charge of $11.5 million during the nine months ended September 30, 2019.Includes restricted assets of consolidated variable interest entities ("V</w:t>
      </w:r>
      <w:r>
        <w:rPr>
          <w:rFonts w:eastAsia="Times New Roman"/>
          <w:vanish/>
          <w:sz w:val="20"/>
          <w:szCs w:val="20"/>
        </w:rPr>
        <w:t>IEs") at September 30, 2019 and December 31, 2018 of $229,716 and $239,012, respectively. See Footnote 11 of the Notes to Condensed Consolidated Financial Statements.2,474,2432,385,287229,716239,012149,529143,1861.001.007,054,0007,054,00028,58042,58028,580</w:t>
      </w:r>
      <w:r>
        <w:rPr>
          <w:rFonts w:eastAsia="Times New Roman"/>
          <w:vanish/>
          <w:sz w:val="20"/>
          <w:szCs w:val="20"/>
        </w:rPr>
        <w:t>42,580714,5001,064,5006,010,2405996,2400.010.01750,000,000750,000,000422,230,015421,388,879422,230,015421,388,87910,87413,3191,53113,30800008791012019-01-012019-09-300000879101kim:CommonStock1Member2019-01-012019-09-300000879101kim:ClassJCumulativeRedeemab</w:t>
      </w:r>
      <w:r>
        <w:rPr>
          <w:rFonts w:eastAsia="Times New Roman"/>
          <w:vanish/>
          <w:sz w:val="20"/>
          <w:szCs w:val="20"/>
        </w:rPr>
        <w:t>lePreferredStockMember2019-01-012019-09-300000879101kim:ClassLCumulativeRedeemablePreferredStockMember2019-01-012019-09-300000879101kim:ClassMCumulativeRedeemablePreferredStockMember2019-01-012019-09-30xbrli:shares00008791012019-10-14thunderdome:itemiso421</w:t>
      </w:r>
      <w:r>
        <w:rPr>
          <w:rFonts w:eastAsia="Times New Roman"/>
          <w:vanish/>
          <w:sz w:val="20"/>
          <w:szCs w:val="20"/>
        </w:rPr>
        <w:t>7:USD00008791012019-09-3000008791012018-12-310000879101kim:RealEstateUnderDevelopmentMember2019-09-300000879101kim:RealEstateUnderDevelopmentMember2018-12-310000879101kim:InvestmentsInAndAdvancesToRealEstateJointVenturesMember2019-09-300000879101kim:Invest</w:t>
      </w:r>
      <w:r>
        <w:rPr>
          <w:rFonts w:eastAsia="Times New Roman"/>
          <w:vanish/>
          <w:sz w:val="20"/>
          <w:szCs w:val="20"/>
        </w:rPr>
        <w:t>mentsInAndAdvancesToRealEstateJointVenturesMember2018-12-310000879101kim:OtherRealEstateInvestmentsMember2019-09-300000879101kim:OtherRealEstateInvestmentsMember2018-12-3100008791012019-07-012019-09-3000008791012018-07-012018-09-3000008791012018-01-012018-</w:t>
      </w:r>
      <w:r>
        <w:rPr>
          <w:rFonts w:eastAsia="Times New Roman"/>
          <w:vanish/>
          <w:sz w:val="20"/>
          <w:szCs w:val="20"/>
        </w:rPr>
        <w:t>09-300000879101kim:JointVenturesMember2019-07-012019-09-300000879101kim:JointVenturesMember2018-07-012018-09-300000879101kim:JointVenturesMember2019-01-012019-09-300000879101kim:JointVenturesMember2018-01-012018-09-300000879101kim:OtherRealEstateInvestment</w:t>
      </w:r>
      <w:r>
        <w:rPr>
          <w:rFonts w:eastAsia="Times New Roman"/>
          <w:vanish/>
          <w:sz w:val="20"/>
          <w:szCs w:val="20"/>
        </w:rPr>
        <w:t>sMember2019-07-012019-09-300000879101kim:OtherRealEstateInvestmentsMember2018-07-012018-09-300000879101kim:OtherRealEstateInvestmentsMember2019-01-012019-09-300000879101kim:OtherRealEstateInvestmentsMember2018-01-012018-09-30iso4217:USDxbrli:shares00008791</w:t>
      </w:r>
      <w:r>
        <w:rPr>
          <w:rFonts w:eastAsia="Times New Roman"/>
          <w:vanish/>
          <w:sz w:val="20"/>
          <w:szCs w:val="20"/>
        </w:rPr>
        <w:t>01us-gaap:RetainedEarningsMember2018-06-300000879101us-gaap:AccumulatedOtherComprehensiveIncomeMember2018-06-300000879101us-gaap:PreferredStockMember2018-06-300000879101us-gaap:CommonStockMember2018-06-300000879101us-gaap:AdditionalPaidInCapitalMember2018-</w:t>
      </w:r>
      <w:r>
        <w:rPr>
          <w:rFonts w:eastAsia="Times New Roman"/>
          <w:vanish/>
          <w:sz w:val="20"/>
          <w:szCs w:val="20"/>
        </w:rPr>
        <w:t>06-300000879101us-gaap:ParentMember2018-06-300000879101us-gaap:NoncontrollingInterestMember2018-06-3000008791012018-06-300000879101us-gaap:RetainedEarningsMember2018-07-012018-09-300000879101us-gaap:AccumulatedOtherComprehensiveIncomeMember2018-07-012018-0</w:t>
      </w:r>
      <w:r>
        <w:rPr>
          <w:rFonts w:eastAsia="Times New Roman"/>
          <w:vanish/>
          <w:sz w:val="20"/>
          <w:szCs w:val="20"/>
        </w:rPr>
        <w:t>9-300000879101us-gaap:PreferredStockMember2018-07-012018-09-300000879101us-gaap:CommonStockMember2018-07-012018-09-300000879101us-gaap:AdditionalPaidInCapitalMember2018-07-012018-09-300000879101us-gaap:ParentMember2018-07-012018-09-300000879101us-gaap:Nonc</w:t>
      </w:r>
      <w:r>
        <w:rPr>
          <w:rFonts w:eastAsia="Times New Roman"/>
          <w:vanish/>
          <w:sz w:val="20"/>
          <w:szCs w:val="20"/>
        </w:rPr>
        <w:t>ontrollingInterestMember2018-07-012018-09-300000879101us-gaap:RetainedEarningsMember2018-09-300000879101us-gaap:AccumulatedOtherComprehensiveIncomeMember2018-09-300000879101us-gaap:PreferredStockMember2018-09-300000879101us-gaap:CommonStockMember2018-09-30</w:t>
      </w:r>
      <w:r>
        <w:rPr>
          <w:rFonts w:eastAsia="Times New Roman"/>
          <w:vanish/>
          <w:sz w:val="20"/>
          <w:szCs w:val="20"/>
        </w:rPr>
        <w:t>0000879101us-gaap:AdditionalPaidInCapitalMember2018-09-300000879101us-gaap:ParentMember2018-09-300000879101us-gaap:NoncontrollingInterestMember2018-09-3000008791012018-09-300000879101us-gaap:RetainedEarningsMember2019-06-300000879101us-gaap:AccumulatedOthe</w:t>
      </w:r>
      <w:r>
        <w:rPr>
          <w:rFonts w:eastAsia="Times New Roman"/>
          <w:vanish/>
          <w:sz w:val="20"/>
          <w:szCs w:val="20"/>
        </w:rPr>
        <w:t>rComprehensiveIncomeMember2019-06-300000879101us-gaap:PreferredStockMember2019-06-300000879101us-gaap:CommonStockMember2019-06-300000879101us-gaap:AdditionalPaidInCapitalMember2019-06-300000879101us-gaap:ParentMember2019-06-300000879101us-gaap:Noncontrolli</w:t>
      </w:r>
      <w:r>
        <w:rPr>
          <w:rFonts w:eastAsia="Times New Roman"/>
          <w:vanish/>
          <w:sz w:val="20"/>
          <w:szCs w:val="20"/>
        </w:rPr>
        <w:t>ngInterestMember2019-06-3000008791012019-06-300000879101us-gaap:RetainedEarningsMember2019-07-012019-09-300000879101us-gaap:AccumulatedOtherComprehensiveIncomeMember2019-07-012019-09-300000879101us-gaap:PreferredStockMember2019-07-012019-09-300000879101us-</w:t>
      </w:r>
      <w:r>
        <w:rPr>
          <w:rFonts w:eastAsia="Times New Roman"/>
          <w:vanish/>
          <w:sz w:val="20"/>
          <w:szCs w:val="20"/>
        </w:rPr>
        <w:t>gaap:CommonStockMember2019-07-012019-09-300000879101us-gaap:AdditionalPaidInCapitalMember2019-07-012019-09-300000879101us-gaap:ParentMember2019-07-012019-09-300000879101us-gaap:NoncontrollingInterestMember2019-07-012019-09-300000879101us-gaap:RetainedEarni</w:t>
      </w:r>
      <w:r>
        <w:rPr>
          <w:rFonts w:eastAsia="Times New Roman"/>
          <w:vanish/>
          <w:sz w:val="20"/>
          <w:szCs w:val="20"/>
        </w:rPr>
        <w:t>ngsMember2019-09-300000879101us-gaap:AccumulatedOtherComprehensiveIncomeMember2019-09-300000879101us-gaap:PreferredStockMember2019-09-300000879101us-gaap:CommonStockMember2019-09-300000879101us-gaap:AdditionalPaidInCapitalMember2019-09-300000879101us-gaap:</w:t>
      </w:r>
      <w:r>
        <w:rPr>
          <w:rFonts w:eastAsia="Times New Roman"/>
          <w:vanish/>
          <w:sz w:val="20"/>
          <w:szCs w:val="20"/>
        </w:rPr>
        <w:t>ParentMember2019-09-300000879101us-gaap:NoncontrollingInterestMember2019-09-300000879101us-gaap:RetainedEarningsMember2017-12-310000879101us-gaap:AccumulatedOtherComprehensiveIncomeMember2017-12-310000879101us-gaap:PreferredStockMember2017-12-310000879101u</w:t>
      </w:r>
      <w:r>
        <w:rPr>
          <w:rFonts w:eastAsia="Times New Roman"/>
          <w:vanish/>
          <w:sz w:val="20"/>
          <w:szCs w:val="20"/>
        </w:rPr>
        <w:t>s-gaap:CommonStockMember2017-12-310000879101us-gaap:AdditionalPaidInCapitalMember2017-12-310000879101us-gaap:ParentMember2017-12-310000879101us-gaap:NoncontrollingInterestMember2017-12-3100008791012017-12-310000879101us-gaap:RetainedEarningsMember2018-01-0</w:t>
      </w:r>
      <w:r>
        <w:rPr>
          <w:rFonts w:eastAsia="Times New Roman"/>
          <w:vanish/>
          <w:sz w:val="20"/>
          <w:szCs w:val="20"/>
        </w:rPr>
        <w:t>12018-09-300000879101us-gaap:AccumulatedOtherComprehensiveIncomeMember2018-01-012018-09-300000879101us-gaap:PreferredStockMember2018-01-012018-09-300000879101us-gaap:CommonStockMember2018-01-012018-09-300000879101us-gaap:AdditionalPaidInCapitalMember2018-0</w:t>
      </w:r>
      <w:r>
        <w:rPr>
          <w:rFonts w:eastAsia="Times New Roman"/>
          <w:vanish/>
          <w:sz w:val="20"/>
          <w:szCs w:val="20"/>
        </w:rPr>
        <w:t>1-012018-09-300000879101us-gaap:ParentMember2018-01-012018-09-300000879101us-gaap:NoncontrollingInterestMember2018-01-012018-09-300000879101us-gaap:RetainedEarningsMember2018-12-310000879101us-gaap:AccumulatedOtherComprehensiveIncomeMember2018-12-310000879</w:t>
      </w:r>
      <w:r>
        <w:rPr>
          <w:rFonts w:eastAsia="Times New Roman"/>
          <w:vanish/>
          <w:sz w:val="20"/>
          <w:szCs w:val="20"/>
        </w:rPr>
        <w:t>101us-gaap:PreferredStockMember2018-12-310000879101us-gaap:CommonStockMember2018-12-310000879101us-gaap:AdditionalPaidInCapitalMember2018-12-310000879101us-gaap:ParentMember2018-12-310000879101us-gaap:NoncontrollingInterestMember2018-12-310000879101us-gaap</w:t>
      </w:r>
      <w:r>
        <w:rPr>
          <w:rFonts w:eastAsia="Times New Roman"/>
          <w:vanish/>
          <w:sz w:val="20"/>
          <w:szCs w:val="20"/>
        </w:rPr>
        <w:t>:RetainedEarningsMember2019-01-012019-09-300000879101us-gaap:AccumulatedOtherComprehensiveIncomeMember2019-01-012019-09-300000879101us-gaap:PreferredStockMember2019-01-012019-09-300000879101us-gaap:CommonStockMember2019-01-012019-09-300000879101us-gaap:Add</w:t>
      </w:r>
      <w:r>
        <w:rPr>
          <w:rFonts w:eastAsia="Times New Roman"/>
          <w:vanish/>
          <w:sz w:val="20"/>
          <w:szCs w:val="20"/>
        </w:rPr>
        <w:t>itionalPaidInCapitalMember2019-01-012019-09-300000879101us-gaap:ParentMember2019-01-012019-09-300000879101us-gaap:NoncontrollingInterestMember2019-01-012019-09-300000879101us-gaap:AccountingStandardsUpdate201602Member2019-09-300000879101kim:Reclassificatio</w:t>
      </w:r>
      <w:r>
        <w:rPr>
          <w:rFonts w:eastAsia="Times New Roman"/>
          <w:vanish/>
          <w:sz w:val="20"/>
          <w:szCs w:val="20"/>
        </w:rPr>
        <w:t>nOfReimbursementIncomeFromRevenuesFromRentalPropertiesMember2018-07-012018-09-300000879101kim:ReclassificationOfReimbursementIncomeFromRevenuesFromRentalPropertiesMember2018-01-012018-09-300000879101kim:OtherRentalPropertyMember2018-07-012018-09-3000008791</w:t>
      </w:r>
      <w:r>
        <w:rPr>
          <w:rFonts w:eastAsia="Times New Roman"/>
          <w:vanish/>
          <w:sz w:val="20"/>
          <w:szCs w:val="20"/>
        </w:rPr>
        <w:t>01kim:OtherRentalPropertyMember2018-01-012018-09-300000879101kim:BellCaminoOutparcelMember2019-01-012019-09-30utr:sqft0000879101kim:BellCaminoOutparcelMember2019-09-300000879101kim:GatewayAtDonnerPassOutparcelMember2019-01-012019-09-300000879101kim:Gateway</w:t>
      </w:r>
      <w:r>
        <w:rPr>
          <w:rFonts w:eastAsia="Times New Roman"/>
          <w:vanish/>
          <w:sz w:val="20"/>
          <w:szCs w:val="20"/>
        </w:rPr>
        <w:t>AtDonnerPassOutparcelMember2019-09-300000879101kim:RanchoPenasquitosOutparcelMember2019-01-012019-09-300000879101kim:RanchoPenasquitosOutparcelMember2019-09-300000879101us-gaap:LandMember2019-09-300000879101us-gaap:BuildingMember2019-09-30utr:Y0000879101us</w:t>
      </w:r>
      <w:r>
        <w:rPr>
          <w:rFonts w:eastAsia="Times New Roman"/>
          <w:vanish/>
          <w:sz w:val="20"/>
          <w:szCs w:val="20"/>
        </w:rPr>
        <w:t>-gaap:BuildingMember2019-01-012019-09-300000879101us-gaap:BuildingImprovementsMember2019-09-300000879101us-gaap:BuildingImprovementsMember2019-01-012019-09-300000879101kim:TenantImprovementsMember2019-09-300000879101kim:TenantImprovementsMember2019-01-0120</w:t>
      </w:r>
      <w:r>
        <w:rPr>
          <w:rFonts w:eastAsia="Times New Roman"/>
          <w:vanish/>
          <w:sz w:val="20"/>
          <w:szCs w:val="20"/>
        </w:rPr>
        <w:t>19-09-300000879101us-gaap:LeasesAcquiredInPlaceMember2019-09-300000879101us-gaap:LeasesAcquiredInPlaceMember2019-01-012019-09-300000879101kim:DispositionActivityRelatingToConsolidatedOperatingPropertiesAndParcelsMember2019-09-300000879101kim:DispositionAct</w:t>
      </w:r>
      <w:r>
        <w:rPr>
          <w:rFonts w:eastAsia="Times New Roman"/>
          <w:vanish/>
          <w:sz w:val="20"/>
          <w:szCs w:val="20"/>
        </w:rPr>
        <w:t>ivityRelatingToConsolidatedOperatingPropertiesAndParcelsMember2018-09-30xbrli:pure0000879101kim:DispositionActivityRelatingToConsolidatedOperatingPropertiesAndParcelsMember2019-01-012019-09-300000879101kim:DispositionActivityRelatingToConsolidatedOperating</w:t>
      </w:r>
      <w:r>
        <w:rPr>
          <w:rFonts w:eastAsia="Times New Roman"/>
          <w:vanish/>
          <w:sz w:val="20"/>
          <w:szCs w:val="20"/>
        </w:rPr>
        <w:t>PropertiesAndParcelsMember2018-01-012018-09-300000879101us-gaap:DisposalGroupHeldforsaleNotDiscontinuedOperationsMember2019-01-012019-09-300000879101kim:DisposalGroupExpectedToMarketForSaleNotDiscontinuedOperationsMember2019-01-012019-09-300000879101kim:Da</w:t>
      </w:r>
      <w:r>
        <w:rPr>
          <w:rFonts w:eastAsia="Times New Roman"/>
          <w:vanish/>
          <w:sz w:val="20"/>
          <w:szCs w:val="20"/>
        </w:rPr>
        <w:t>niaPointePhaseIIIIIAndIVMember2019-09-300000879101kim:DaniaPointePhaseIIIIIAndIVMember2018-12-310000879101kim:MillStationMember2019-09-300000879101kim:MillStationMember2018-12-310000879101kim:PromenadeAtChristianaMember2019-09-300000879101kim:PromenadeAtCh</w:t>
      </w:r>
      <w:r>
        <w:rPr>
          <w:rFonts w:eastAsia="Times New Roman"/>
          <w:vanish/>
          <w:sz w:val="20"/>
          <w:szCs w:val="20"/>
        </w:rPr>
        <w:t>ristianaMember2018-12-310000879101kim:PromenadeAtChristianaMember2019-01-012019-09-300000879101kim:KimPruandKimPruIIMember2019-09-300000879101kim:KimPruandKimPruIIMember2018-12-310000879101kim:KimcoIncomeFundMember2019-09-300000879101kim:KimcoIncomeFundMem</w:t>
      </w:r>
      <w:r>
        <w:rPr>
          <w:rFonts w:eastAsia="Times New Roman"/>
          <w:vanish/>
          <w:sz w:val="20"/>
          <w:szCs w:val="20"/>
        </w:rPr>
        <w:t>ber2018-12-310000879101kim:CPPMember2019-09-300000879101kim:CPPMember2018-12-310000879101kim:OtherJointVentureProgramsMember2019-09-300000879101kim:OtherJointVentureProgramsMember2018-12-310000879101kim:AllEquityMethodInvestmentsMember2019-09-300000879101k</w:t>
      </w:r>
      <w:r>
        <w:rPr>
          <w:rFonts w:eastAsia="Times New Roman"/>
          <w:vanish/>
          <w:sz w:val="20"/>
          <w:szCs w:val="20"/>
        </w:rPr>
        <w:t>im:AllEquityMethodInvestmentsMember2018-12-310000879101kim:OperatingPropertiesMemberkim:RealEstateJointVenturesMember2019-01-012019-09-300000879101kim:PrudentialInvestmentProgramMember2019-07-012019-09-300000879101kim:PrudentialInvestmentProgramMember2018-</w:t>
      </w:r>
      <w:r>
        <w:rPr>
          <w:rFonts w:eastAsia="Times New Roman"/>
          <w:vanish/>
          <w:sz w:val="20"/>
          <w:szCs w:val="20"/>
        </w:rPr>
        <w:t>07-012018-09-300000879101kim:PrudentialInvestmentProgramMember2019-01-012019-09-300000879101kim:PrudentialInvestmentProgramMember2018-01-012018-09-300000879101kim:KIRMember2019-07-012019-09-300000879101kim:KIRMember2018-07-012018-09-300000879101kim:KIRMemb</w:t>
      </w:r>
      <w:r>
        <w:rPr>
          <w:rFonts w:eastAsia="Times New Roman"/>
          <w:vanish/>
          <w:sz w:val="20"/>
          <w:szCs w:val="20"/>
        </w:rPr>
        <w:t>er2019-01-012019-09-300000879101kim:KIRMember2018-01-012018-09-300000879101kim:CPPMember2019-07-012019-09-300000879101kim:CPPMember2018-07-012018-09-300000879101kim:CPPMember2019-01-012019-09-300000879101kim:CPPMember2018-01-012018-09-300000879101kim:Other</w:t>
      </w:r>
      <w:r>
        <w:rPr>
          <w:rFonts w:eastAsia="Times New Roman"/>
          <w:vanish/>
          <w:sz w:val="20"/>
          <w:szCs w:val="20"/>
        </w:rPr>
        <w:t>JointVentureProgramsMember2019-07-012019-09-300000879101kim:OtherJointVentureProgramsMember2018-07-012018-09-300000879101kim:OtherJointVentureProgramsMember2019-01-012019-09-300000879101kim:OtherJointVentureProgramsMember2018-01-012018-09-300000879101kim:O</w:t>
      </w:r>
      <w:r>
        <w:rPr>
          <w:rFonts w:eastAsia="Times New Roman"/>
          <w:vanish/>
          <w:sz w:val="20"/>
          <w:szCs w:val="20"/>
        </w:rPr>
        <w:t>peratingPropertiesMemberkim:RealEstateJointVenturesMember2018-01-012018-09-300000879101kim:OperatingPropertiesMemberkim:RealEstateJointVenturesMember2019-09-300000879101kim:OperatingPropertiesMemberkim:RealEstateJointVenturesMember2018-09-300000879101kim:P</w:t>
      </w:r>
      <w:r>
        <w:rPr>
          <w:rFonts w:eastAsia="Times New Roman"/>
          <w:vanish/>
          <w:sz w:val="20"/>
          <w:szCs w:val="20"/>
        </w:rPr>
        <w:t>rudentialInvestmentProgramMember2019-09-30utr:M0000879101kim:PrudentialInvestmentProgramMember2018-12-310000879101kim:PrudentialInvestmentProgramMember2018-01-012018-12-310000879101kim:KIRMember2019-09-300000879101kim:KIRMember2018-12-310000879101kim:KIRMe</w:t>
      </w:r>
      <w:r>
        <w:rPr>
          <w:rFonts w:eastAsia="Times New Roman"/>
          <w:vanish/>
          <w:sz w:val="20"/>
          <w:szCs w:val="20"/>
        </w:rPr>
        <w:t>mber2018-01-012018-12-310000879101kim:CPPMember2018-01-012018-12-310000879101kim:OtherJointVentureProgramsMember2018-01-012018-12-310000879101kim:PreferredEquityInvestmentsMemberkim:LeasedPropertiesMember2019-09-300000879101kim:PreferredEquityInvestmentsMe</w:t>
      </w:r>
      <w:r>
        <w:rPr>
          <w:rFonts w:eastAsia="Times New Roman"/>
          <w:vanish/>
          <w:sz w:val="20"/>
          <w:szCs w:val="20"/>
        </w:rPr>
        <w:t>mber2019-09-300000879101kim:PreferredEquityInvestmentsMember2019-01-012019-09-300000879101kim:PreferredEquityInvestmentsMember2018-01-012018-09-300000879101us-gaap:AccountingStandardsUpdate201602Member2019-01-010000879101srt:MinimumMember2019-01-012019-09-</w:t>
      </w:r>
      <w:r>
        <w:rPr>
          <w:rFonts w:eastAsia="Times New Roman"/>
          <w:vanish/>
          <w:sz w:val="20"/>
          <w:szCs w:val="20"/>
        </w:rPr>
        <w:t>300000879101srt:MaximumMember2019-01-012019-09-300000879101srt:MaximumMember2019-09-300000879101kim:MortgageReceivablePaidMay19Member2019-01-012019-09-300000879101kim:MortgageReceivablePaidJune19Member2019-01-012019-09-300000879101kim:SecondMortgageReceiva</w:t>
      </w:r>
      <w:r>
        <w:rPr>
          <w:rFonts w:eastAsia="Times New Roman"/>
          <w:vanish/>
          <w:sz w:val="20"/>
          <w:szCs w:val="20"/>
        </w:rPr>
        <w:t>blePaidJune19Member2019-01-012019-09-300000879101kim:OneConsolidatedPropertyClassifiedAsHeldForSaleMember2019-01-012019-09-300000879101kim:MortgageDebtEncumberedOperatingPropertyMember2019-01-012019-09-300000879101kim:SeniorUnsecuredNotes1Member2019-09-300</w:t>
      </w:r>
      <w:r>
        <w:rPr>
          <w:rFonts w:eastAsia="Times New Roman"/>
          <w:vanish/>
          <w:sz w:val="20"/>
          <w:szCs w:val="20"/>
        </w:rPr>
        <w:t>000879101us-gaap:RevolvingCreditFacilityMember2019-09-300000879101us-gaap:LetterOfCreditMember2019-09-300000879101kim:MortgageDebtEncumberedOperatingPropertyMember2019-01-012019-09-300000879101kim:ConstructionLoanMember2019-09-300000879101kim:LandParcelAdj</w:t>
      </w:r>
      <w:r>
        <w:rPr>
          <w:rFonts w:eastAsia="Times New Roman"/>
          <w:vanish/>
          <w:sz w:val="20"/>
          <w:szCs w:val="20"/>
        </w:rPr>
        <w:t>acentToShoppingCenterLocatedInArdmorePaMember2018-09-300000879101kim:NonrecouseMortgageDebtRelatedToPropertyDeconsolidatedMember2018-01-012018-09-300000879101kim:SoldPortionOfInvestmentInConsolidatedOperatingPropertyMember2018-01-012018-09-300000879101us-g</w:t>
      </w:r>
      <w:r>
        <w:rPr>
          <w:rFonts w:eastAsia="Times New Roman"/>
          <w:vanish/>
          <w:sz w:val="20"/>
          <w:szCs w:val="20"/>
        </w:rPr>
        <w:t>aap:AccountingStandardsUpdate201705Memberkim:GainOnSaleOfOperatingPropertiesChangeInControlsOfInterestsMember2018-01-012018-09-300000879101kim:RealEstateUnderDevelopmentMember2019-09-300000879101kim:RealEstateUnderDevelopmentMember2018-12-310000879101kim:C</w:t>
      </w:r>
      <w:r>
        <w:rPr>
          <w:rFonts w:eastAsia="Times New Roman"/>
          <w:vanish/>
          <w:sz w:val="20"/>
          <w:szCs w:val="20"/>
        </w:rPr>
        <w:t>onsolidatedOperatingPropertiesMember2019-09-300000879101kim:ConsolidatedOperatingPropertiesMember2018-12-310000879101kim:RealEstateUnderDevelopmentProject1Member2019-01-012019-09-300000879101kim:VariableInterestEntityUnencumberedMember2019-09-300000879101k</w:t>
      </w:r>
      <w:r>
        <w:rPr>
          <w:rFonts w:eastAsia="Times New Roman"/>
          <w:vanish/>
          <w:sz w:val="20"/>
          <w:szCs w:val="20"/>
        </w:rPr>
        <w:t>im:VariableInterestEntityUnencumberedMember2018-12-310000879101kim:VariableInterestEntityEncumberedByThirdPartyNonResourceMortgageDebtMember2019-09-300000879101kim:VariableInterestEntityEncumberedByThirdPartyNonResourceMortgageDebtMember2018-12-31000087910</w:t>
      </w:r>
      <w:r>
        <w:rPr>
          <w:rFonts w:eastAsia="Times New Roman"/>
          <w:vanish/>
          <w:sz w:val="20"/>
          <w:szCs w:val="20"/>
        </w:rPr>
        <w:t>1us-gaap:CarryingReportedAmountFairValueDisclosureMember2019-09-300000879101us-gaap:EstimateOfFairValueFairValueDisclosureMember2019-09-300000879101us-gaap:CarryingReportedAmountFairValueDisclosureMember2018-12-310000879101us-gaap:EstimateOfFairValueFairVa</w:t>
      </w:r>
      <w:r>
        <w:rPr>
          <w:rFonts w:eastAsia="Times New Roman"/>
          <w:vanish/>
          <w:sz w:val="20"/>
          <w:szCs w:val="20"/>
        </w:rPr>
        <w:t>lueDisclosureMember2018-12-310000879101us-gaap:CarryingReportedAmountFairValueDisclosureMemberus-gaap:MortgagesMember2019-09-300000879101us-gaap:EstimateOfFairValueFairValueDisclosureMemberus-gaap:MortgagesMember2019-09-300000879101us-gaap:CarryingReported</w:t>
      </w:r>
      <w:r>
        <w:rPr>
          <w:rFonts w:eastAsia="Times New Roman"/>
          <w:vanish/>
          <w:sz w:val="20"/>
          <w:szCs w:val="20"/>
        </w:rPr>
        <w:t>AmountFairValueDisclosureMemberus-gaap:MortgagesMember2018-12-310000879101us-gaap:EstimateOfFairValueFairValueDisclosureMemberus-gaap:MortgagesMember2018-12-310000879101us-gaap:FairValueInputsLevel2Memberus-gaap:EstimateOfFairValueFairValueDisclosureMember</w:t>
      </w:r>
      <w:r>
        <w:rPr>
          <w:rFonts w:eastAsia="Times New Roman"/>
          <w:vanish/>
          <w:sz w:val="20"/>
          <w:szCs w:val="20"/>
        </w:rPr>
        <w:t>2019-09-300000879101us-gaap:FairValueInputsLevel2Memberus-gaap:EstimateOfFairValueFairValueDisclosureMember2018-12-310000879101us-gaap:FairValueInputsLevel3Memberus-gaap:EstimateOfFairValueFairValueDisclosureMember2019-09-300000879101us-gaap:FairValueInput</w:t>
      </w:r>
      <w:r>
        <w:rPr>
          <w:rFonts w:eastAsia="Times New Roman"/>
          <w:vanish/>
          <w:sz w:val="20"/>
          <w:szCs w:val="20"/>
        </w:rPr>
        <w:t>sLevel3Memberus-gaap:EstimateOfFairValueFairValueDisclosureMember2018-12-310000879101us-gaap:FairValueMeasurementsRecurringMember2019-09-300000879101us-gaap:FairValueInputsLevel1Memberus-gaap:FairValueMeasurementsRecurringMember2019-09-300000879101us-gaap:</w:t>
      </w:r>
      <w:r>
        <w:rPr>
          <w:rFonts w:eastAsia="Times New Roman"/>
          <w:vanish/>
          <w:sz w:val="20"/>
          <w:szCs w:val="20"/>
        </w:rPr>
        <w:t>FairValueInputsLevel3Memberus-gaap:FairValueMeasurementsRecurringMember2019-09-300000879101us-gaap:FairValueMeasurementsRecurringMember2018-12-310000879101us-gaap:FairValueInputsLevel1Memberus-gaap:FairValueMeasurementsRecurringMember2018-12-310000879101us</w:t>
      </w:r>
      <w:r>
        <w:rPr>
          <w:rFonts w:eastAsia="Times New Roman"/>
          <w:vanish/>
          <w:sz w:val="20"/>
          <w:szCs w:val="20"/>
        </w:rPr>
        <w:t>-gaap:FairValueInputsLevel2Memberus-gaap:FairValueMeasurementsRecurringMember2018-12-310000879101us-gaap:FairValueInputsLevel3Memberus-gaap:FairValueMeasurementsRecurringMember2018-12-310000879101us-gaap:FairValueMeasurementsNonrecurringMember2019-09-30000</w:t>
      </w:r>
      <w:r>
        <w:rPr>
          <w:rFonts w:eastAsia="Times New Roman"/>
          <w:vanish/>
          <w:sz w:val="20"/>
          <w:szCs w:val="20"/>
        </w:rPr>
        <w:t>0879101us-gaap:FairValueInputsLevel1Memberus-gaap:FairValueMeasurementsNonrecurringMember2019-09-300000879101us-gaap:FairValueInputsLevel2Memberus-gaap:FairValueMeasurementsNonrecurringMember2019-09-300000879101us-gaap:FairValueInputsLevel3Memberus-gaap:Fa</w:t>
      </w:r>
      <w:r>
        <w:rPr>
          <w:rFonts w:eastAsia="Times New Roman"/>
          <w:vanish/>
          <w:sz w:val="20"/>
          <w:szCs w:val="20"/>
        </w:rPr>
        <w:t>irValueMeasurementsNonrecurringMember2019-09-300000879101us-gaap:FairValueMeasurementsNonrecurringMember2018-12-310000879101us-gaap:FairValueInputsLevel1Memberus-gaap:FairValueMeasurementsNonrecurringMember2018-12-310000879101us-gaap:FairValueInputsLevel2M</w:t>
      </w:r>
      <w:r>
        <w:rPr>
          <w:rFonts w:eastAsia="Times New Roman"/>
          <w:vanish/>
          <w:sz w:val="20"/>
          <w:szCs w:val="20"/>
        </w:rPr>
        <w:t>emberus-gaap:FairValueMeasurementsNonrecurringMember2018-12-310000879101us-gaap:FairValueInputsLevel3Memberus-gaap:FairValueMeasurementsNonrecurringMember2018-12-310000879101us-gaap:MeasurementInputCapRateMembersrt:MinimumMember2019-09-300000879101us-gaap:</w:t>
      </w:r>
      <w:r>
        <w:rPr>
          <w:rFonts w:eastAsia="Times New Roman"/>
          <w:vanish/>
          <w:sz w:val="20"/>
          <w:szCs w:val="20"/>
        </w:rPr>
        <w:t>MeasurementInputCapRateMembersrt:MaximumMember2019-09-300000879101us-gaap:MeasurementInputDiscountRateMembersrt:MinimumMember2019-09-300000879101us-gaap:MeasurementInputDiscountRateMembersrt:MaximumMember2019-09-300000879101us-gaap:EmployeeStockOptionMembe</w:t>
      </w:r>
      <w:r>
        <w:rPr>
          <w:rFonts w:eastAsia="Times New Roman"/>
          <w:vanish/>
          <w:sz w:val="20"/>
          <w:szCs w:val="20"/>
        </w:rPr>
        <w:t>r2019-01-012019-09-300000879101us-gaap:EmployeeStockOptionMember2018-01-012018-09-300000879101kim:SeriesJPreferredStockMember2019-09-300000879101kim:SeriesJPreferredStockMember2019-01-012019-09-300000879101kim:SeriesLPreferredStockMember2019-09-30000087910</w:t>
      </w:r>
      <w:r>
        <w:rPr>
          <w:rFonts w:eastAsia="Times New Roman"/>
          <w:vanish/>
          <w:sz w:val="20"/>
          <w:szCs w:val="20"/>
        </w:rPr>
        <w:t>1kim:SeriesLPreferredStockMember2019-01-012019-09-300000879101kim:SeriesMPreferredStockMember2019-09-300000879101kim:SeriesMPreferredStockMember2019-01-012019-09-300000879101kim:TotalMember2019-09-300000879101kim:SeriesIPreferredStockMember2018-12-31000087</w:t>
      </w:r>
      <w:r>
        <w:rPr>
          <w:rFonts w:eastAsia="Times New Roman"/>
          <w:vanish/>
          <w:sz w:val="20"/>
          <w:szCs w:val="20"/>
        </w:rPr>
        <w:t>9101kim:SeriesIPreferredStockMember2018-01-012018-12-310000879101kim:SeriesJPreferredStockMember2018-12-310000879101kim:SeriesJPreferredStockMember2018-01-012018-12-310000879101kim:SeriesKPreferredStockMember2018-12-310000879101kim:SeriesKPreferredStockMem</w:t>
      </w:r>
      <w:r>
        <w:rPr>
          <w:rFonts w:eastAsia="Times New Roman"/>
          <w:vanish/>
          <w:sz w:val="20"/>
          <w:szCs w:val="20"/>
        </w:rPr>
        <w:t>ber2018-01-012018-12-310000879101kim:SeriesLPreferredStockMember2018-12-310000879101kim:SeriesLPreferredStockMember2018-01-012018-12-310000879101kim:SeriesMPreferredStockMember2018-12-310000879101kim:SeriesMPreferredStockMember2018-01-012018-12-31000087910</w:t>
      </w:r>
      <w:r>
        <w:rPr>
          <w:rFonts w:eastAsia="Times New Roman"/>
          <w:vanish/>
          <w:sz w:val="20"/>
          <w:szCs w:val="20"/>
        </w:rPr>
        <w:t>1kim:TotalMember2018-12-310000879101kim:SeriesIPreferredStockMember2019-01-012019-09-300000879101kim:SeriesIPreferredStockMember2019-09-300000879101kim:SeriesKPreferredStockMember2019-01-012019-09-300000879101kim:SeriesKPreferredStockMember2019-09-30000087</w:t>
      </w:r>
      <w:r>
        <w:rPr>
          <w:rFonts w:eastAsia="Times New Roman"/>
          <w:vanish/>
          <w:sz w:val="20"/>
          <w:szCs w:val="20"/>
        </w:rPr>
        <w:t>9101kim:ShareRepurchaseProgramMember2018-02-280000879101kim:ShareRepurchaseProgramMember2019-09-300000879101kim:ATMProgramMember2019-09-300000879101kim:SeriesIPreferredStockMember2019-07-012019-09-300000879101kim:SeriesIPreferredStockMember2018-07-012018-0</w:t>
      </w:r>
      <w:r>
        <w:rPr>
          <w:rFonts w:eastAsia="Times New Roman"/>
          <w:vanish/>
          <w:sz w:val="20"/>
          <w:szCs w:val="20"/>
        </w:rPr>
        <w:t>9-300000879101kim:SeriesIPreferredStockMember2018-01-012018-09-300000879101kim:SeriesJPreferredStockMember2019-07-012019-09-300000879101kim:SeriesJPreferredStockMember2018-07-012018-09-300000879101kim:SeriesJPreferredStockMember2018-01-012018-09-3000008791</w:t>
      </w:r>
      <w:r>
        <w:rPr>
          <w:rFonts w:eastAsia="Times New Roman"/>
          <w:vanish/>
          <w:sz w:val="20"/>
          <w:szCs w:val="20"/>
        </w:rPr>
        <w:t>01kim:SeriesKPreferredStockMember2019-07-012019-09-300000879101kim:SeriesKPreferredStockMember2018-07-012018-09-300000879101kim:SeriesKPreferredStockMember2018-01-012018-09-300000879101kim:SeriesLPreferredStockMember2019-07-012019-09-300000879101kim:Series</w:t>
      </w:r>
      <w:r>
        <w:rPr>
          <w:rFonts w:eastAsia="Times New Roman"/>
          <w:vanish/>
          <w:sz w:val="20"/>
          <w:szCs w:val="20"/>
        </w:rPr>
        <w:t>LPreferredStockMember2018-07-012018-09-300000879101kim:SeriesLPreferredStockMember2018-01-012018-09-300000879101kim:SeriesMPreferredStockMember2019-07-012019-09-300000879101kim:SeriesMPreferredStockMember2018-07-012018-09-300000879101kim:SeriesMPreferredSt</w:t>
      </w:r>
      <w:r>
        <w:rPr>
          <w:rFonts w:eastAsia="Times New Roman"/>
          <w:vanish/>
          <w:sz w:val="20"/>
          <w:szCs w:val="20"/>
        </w:rPr>
        <w:t>ockMember2018-01-012018-09-300000879101kim:IncomeMember2019-01-012019-09-300000879101kim:PreferredStockRedeemedMember2019-01-012019-09-30</w:t>
      </w:r>
    </w:p>
    <w:p w:rsidR="00000000" w:rsidRDefault="005F676C">
      <w:pPr>
        <w:divId w:val="43795390"/>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jc w:val="center"/>
        <w:divId w:val="653027753"/>
        <w:rPr>
          <w:sz w:val="20"/>
          <w:szCs w:val="20"/>
        </w:rPr>
      </w:pPr>
      <w:r>
        <w:rPr>
          <w:sz w:val="20"/>
          <w:szCs w:val="20"/>
        </w:rPr>
        <w:t> </w:t>
      </w:r>
    </w:p>
    <w:p w:rsidR="00000000" w:rsidRDefault="005F676C">
      <w:pPr>
        <w:pStyle w:val="a3"/>
        <w:spacing w:before="0" w:beforeAutospacing="0" w:after="0" w:afterAutospacing="0"/>
        <w:divId w:val="653027753"/>
        <w:rPr>
          <w:sz w:val="20"/>
          <w:szCs w:val="20"/>
        </w:rPr>
      </w:pPr>
      <w:hyperlink w:anchor="toc" w:history="1">
        <w:r>
          <w:rPr>
            <w:rStyle w:val="a4"/>
            <w:sz w:val="20"/>
            <w:szCs w:val="20"/>
          </w:rPr>
          <w:t>Table of Contents</w:t>
        </w:r>
      </w:hyperlink>
    </w:p>
    <w:p w:rsidR="00000000" w:rsidRDefault="005F676C">
      <w:pPr>
        <w:spacing w:before="60" w:after="60"/>
        <w:divId w:val="653027753"/>
        <w:rPr>
          <w:rFonts w:eastAsia="Times New Roman"/>
          <w:sz w:val="20"/>
          <w:szCs w:val="20"/>
        </w:rPr>
      </w:pPr>
      <w:r>
        <w:rPr>
          <w:rFonts w:eastAsia="Times New Roman"/>
          <w:sz w:val="20"/>
          <w:szCs w:val="20"/>
        </w:rPr>
        <w:pict>
          <v:rect id="_x0000_i1025" style="width:415.3pt;height:2.25pt" o:hralign="center" o:hrstd="t" o:hrnoshade="t" o:hr="t" fillcolor="black" stroked="f"/>
        </w:pict>
      </w:r>
    </w:p>
    <w:p w:rsidR="00000000" w:rsidRDefault="005F676C">
      <w:pPr>
        <w:spacing w:after="60"/>
        <w:divId w:val="653027753"/>
        <w:rPr>
          <w:rFonts w:eastAsia="Times New Roman"/>
          <w:sz w:val="20"/>
          <w:szCs w:val="20"/>
        </w:rPr>
      </w:pPr>
      <w:r>
        <w:rPr>
          <w:rFonts w:eastAsia="Times New Roman"/>
          <w:sz w:val="20"/>
          <w:szCs w:val="20"/>
        </w:rPr>
        <w:pict>
          <v:rect id="_x0000_i1026" style="width:415.3pt;height:.75pt" o:hralign="center" o:hrstd="t" o:hrnoshade="t" o:hr="t" fillcolor="black" stroked="f"/>
        </w:pict>
      </w:r>
    </w:p>
    <w:p w:rsidR="00000000" w:rsidRDefault="005F676C">
      <w:pPr>
        <w:pStyle w:val="a3"/>
        <w:spacing w:before="0" w:beforeAutospacing="0" w:after="0" w:afterAutospacing="0"/>
        <w:jc w:val="center"/>
        <w:divId w:val="653027753"/>
        <w:rPr>
          <w:sz w:val="20"/>
          <w:szCs w:val="20"/>
        </w:rPr>
      </w:pPr>
      <w:r>
        <w:rPr>
          <w:b/>
          <w:bCs/>
          <w:sz w:val="20"/>
          <w:szCs w:val="20"/>
        </w:rPr>
        <w:t> </w:t>
      </w:r>
    </w:p>
    <w:p w:rsidR="00000000" w:rsidRDefault="005F676C">
      <w:pPr>
        <w:pStyle w:val="a3"/>
        <w:spacing w:before="0" w:beforeAutospacing="0" w:after="0" w:afterAutospacing="0"/>
        <w:jc w:val="center"/>
        <w:divId w:val="653027753"/>
        <w:rPr>
          <w:sz w:val="20"/>
          <w:szCs w:val="20"/>
        </w:rPr>
      </w:pPr>
      <w:r>
        <w:rPr>
          <w:b/>
          <w:bCs/>
          <w:sz w:val="20"/>
          <w:szCs w:val="20"/>
        </w:rPr>
        <w:t>UNITED STATES</w:t>
      </w:r>
    </w:p>
    <w:p w:rsidR="00000000" w:rsidRDefault="005F676C">
      <w:pPr>
        <w:pStyle w:val="a3"/>
        <w:spacing w:before="0" w:beforeAutospacing="0" w:after="0" w:afterAutospacing="0"/>
        <w:jc w:val="center"/>
        <w:divId w:val="653027753"/>
        <w:rPr>
          <w:sz w:val="20"/>
          <w:szCs w:val="20"/>
        </w:rPr>
      </w:pPr>
      <w:r>
        <w:rPr>
          <w:b/>
          <w:bCs/>
          <w:sz w:val="20"/>
          <w:szCs w:val="20"/>
        </w:rPr>
        <w:t>SECURITIES AND EXCHANGE COMMISSION</w:t>
      </w:r>
    </w:p>
    <w:p w:rsidR="00000000" w:rsidRDefault="005F676C">
      <w:pPr>
        <w:pStyle w:val="a3"/>
        <w:spacing w:before="0" w:beforeAutospacing="0" w:after="0" w:afterAutospacing="0"/>
        <w:jc w:val="center"/>
        <w:divId w:val="653027753"/>
        <w:rPr>
          <w:sz w:val="20"/>
          <w:szCs w:val="20"/>
        </w:rPr>
      </w:pPr>
      <w:r>
        <w:rPr>
          <w:b/>
          <w:bCs/>
          <w:sz w:val="20"/>
          <w:szCs w:val="20"/>
        </w:rPr>
        <w:t>Washington, D.C.  20549</w:t>
      </w:r>
    </w:p>
    <w:p w:rsidR="00000000" w:rsidRDefault="005F676C">
      <w:pPr>
        <w:pStyle w:val="a3"/>
        <w:spacing w:before="0" w:beforeAutospacing="0" w:after="0" w:afterAutospacing="0"/>
        <w:jc w:val="center"/>
        <w:divId w:val="653027753"/>
        <w:rPr>
          <w:sz w:val="20"/>
          <w:szCs w:val="20"/>
        </w:rPr>
      </w:pPr>
      <w:r>
        <w:rPr>
          <w:b/>
          <w:bCs/>
          <w:sz w:val="20"/>
          <w:szCs w:val="20"/>
        </w:rPr>
        <w:t> </w:t>
      </w:r>
    </w:p>
    <w:p w:rsidR="00000000" w:rsidRDefault="005F676C">
      <w:pPr>
        <w:pStyle w:val="a3"/>
        <w:spacing w:before="0" w:beforeAutospacing="0" w:after="0" w:afterAutospacing="0"/>
        <w:jc w:val="center"/>
        <w:divId w:val="653027753"/>
      </w:pPr>
      <w:r>
        <w:rPr>
          <w:b/>
          <w:bCs/>
        </w:rPr>
        <w:t>FORM 10-Q</w:t>
      </w:r>
    </w:p>
    <w:p w:rsidR="00000000" w:rsidRDefault="005F676C">
      <w:pPr>
        <w:pStyle w:val="a3"/>
        <w:spacing w:before="0" w:beforeAutospacing="0" w:after="0" w:afterAutospacing="0"/>
        <w:divId w:val="65302775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653027753"/>
          <w:tblCellSpacing w:w="0" w:type="dxa"/>
        </w:trPr>
        <w:tc>
          <w:tcPr>
            <w:tcW w:w="720" w:type="dxa"/>
            <w:hideMark/>
          </w:tcPr>
          <w:p w:rsidR="00000000" w:rsidRDefault="005F676C">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5F676C">
            <w:pPr>
              <w:pStyle w:val="a3"/>
              <w:spacing w:before="0" w:beforeAutospacing="0" w:after="0" w:afterAutospacing="0"/>
              <w:rPr>
                <w:sz w:val="20"/>
                <w:szCs w:val="20"/>
              </w:rPr>
            </w:pPr>
            <w:r>
              <w:rPr>
                <w:sz w:val="20"/>
                <w:szCs w:val="20"/>
              </w:rPr>
              <w:t>QUARTERLY REPORT PURSUANT</w:t>
            </w:r>
            <w:r>
              <w:rPr>
                <w:sz w:val="20"/>
                <w:szCs w:val="20"/>
              </w:rPr>
              <w:t xml:space="preserve"> TO SECTION 13 OR 15(d) OF THE SECURITIES EXCHANGE ACT OF 1934</w:t>
            </w:r>
          </w:p>
        </w:tc>
      </w:tr>
    </w:tbl>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jc w:val="center"/>
        <w:divId w:val="653027753"/>
        <w:rPr>
          <w:sz w:val="20"/>
          <w:szCs w:val="20"/>
        </w:rPr>
      </w:pPr>
      <w:r>
        <w:rPr>
          <w:b/>
          <w:bCs/>
          <w:sz w:val="20"/>
          <w:szCs w:val="20"/>
        </w:rPr>
        <w:t>For the quarterly period ended September 30, 2019</w:t>
      </w:r>
    </w:p>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jc w:val="center"/>
        <w:divId w:val="653027753"/>
        <w:rPr>
          <w:sz w:val="20"/>
          <w:szCs w:val="20"/>
        </w:rPr>
      </w:pPr>
      <w:r>
        <w:rPr>
          <w:sz w:val="20"/>
          <w:szCs w:val="20"/>
        </w:rPr>
        <w:t>or</w:t>
      </w:r>
    </w:p>
    <w:p w:rsidR="00000000" w:rsidRDefault="005F676C">
      <w:pPr>
        <w:pStyle w:val="a3"/>
        <w:spacing w:before="0" w:beforeAutospacing="0" w:after="0" w:afterAutospacing="0"/>
        <w:divId w:val="65302775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7586"/>
      </w:tblGrid>
      <w:tr w:rsidR="00000000">
        <w:trPr>
          <w:divId w:val="653027753"/>
          <w:tblCellSpacing w:w="0" w:type="dxa"/>
        </w:trPr>
        <w:tc>
          <w:tcPr>
            <w:tcW w:w="720" w:type="dxa"/>
            <w:hideMark/>
          </w:tcPr>
          <w:p w:rsidR="00000000" w:rsidRDefault="005F676C">
            <w:pPr>
              <w:pStyle w:val="a3"/>
              <w:spacing w:before="0" w:beforeAutospacing="0" w:after="0" w:afterAutospacing="0"/>
              <w:rPr>
                <w:sz w:val="20"/>
                <w:szCs w:val="20"/>
              </w:rPr>
            </w:pPr>
            <w:r>
              <w:rPr>
                <w:rFonts w:ascii="Segoe UI Symbol" w:hAnsi="Segoe UI Symbol" w:cs="Segoe UI Symbol"/>
                <w:b/>
                <w:bCs/>
                <w:sz w:val="20"/>
                <w:szCs w:val="20"/>
              </w:rPr>
              <w:t>☐</w:t>
            </w:r>
          </w:p>
        </w:tc>
        <w:tc>
          <w:tcPr>
            <w:tcW w:w="0" w:type="auto"/>
            <w:hideMark/>
          </w:tcPr>
          <w:p w:rsidR="00000000" w:rsidRDefault="005F676C">
            <w:pPr>
              <w:pStyle w:val="a3"/>
              <w:spacing w:before="0" w:beforeAutospacing="0" w:after="0" w:afterAutospacing="0"/>
              <w:rPr>
                <w:sz w:val="20"/>
                <w:szCs w:val="20"/>
              </w:rPr>
            </w:pPr>
            <w:r>
              <w:rPr>
                <w:sz w:val="20"/>
                <w:szCs w:val="20"/>
              </w:rPr>
              <w:t>TRANSITION REPORT PURSUANT TO SECTION 13 OR 15(d) OF THE SECURITIES EXCHANGE ACT OF 1934</w:t>
            </w:r>
          </w:p>
        </w:tc>
      </w:tr>
    </w:tbl>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jc w:val="center"/>
        <w:divId w:val="653027753"/>
        <w:rPr>
          <w:sz w:val="20"/>
          <w:szCs w:val="20"/>
        </w:rPr>
      </w:pPr>
      <w:r>
        <w:rPr>
          <w:sz w:val="20"/>
          <w:szCs w:val="20"/>
        </w:rPr>
        <w:t xml:space="preserve">For the transition period from </w:t>
      </w:r>
      <w:r>
        <w:rPr>
          <w:sz w:val="20"/>
          <w:szCs w:val="20"/>
          <w:u w:val="single"/>
        </w:rPr>
        <w:t>               </w:t>
      </w:r>
      <w:r>
        <w:rPr>
          <w:sz w:val="20"/>
          <w:szCs w:val="20"/>
        </w:rPr>
        <w:t xml:space="preserve"> to </w:t>
      </w:r>
      <w:r>
        <w:rPr>
          <w:sz w:val="20"/>
          <w:szCs w:val="20"/>
          <w:u w:val="single"/>
        </w:rPr>
        <w:t>               </w:t>
      </w:r>
    </w:p>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jc w:val="center"/>
        <w:divId w:val="653027753"/>
        <w:rPr>
          <w:sz w:val="20"/>
          <w:szCs w:val="20"/>
        </w:rPr>
      </w:pPr>
      <w:r>
        <w:rPr>
          <w:sz w:val="20"/>
          <w:szCs w:val="20"/>
        </w:rPr>
        <w:t>Commission File Number:   </w:t>
      </w:r>
      <w:r>
        <w:rPr>
          <w:sz w:val="20"/>
          <w:szCs w:val="20"/>
          <w:u w:val="single"/>
        </w:rPr>
        <w:t>1-10899</w:t>
      </w:r>
    </w:p>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jc w:val="center"/>
        <w:divId w:val="653027753"/>
        <w:rPr>
          <w:sz w:val="36"/>
          <w:szCs w:val="36"/>
        </w:rPr>
      </w:pPr>
      <w:r>
        <w:rPr>
          <w:b/>
          <w:bCs/>
          <w:sz w:val="36"/>
          <w:szCs w:val="36"/>
          <w:u w:val="single"/>
        </w:rPr>
        <w:t>Kimco Realty Corporation</w:t>
      </w:r>
    </w:p>
    <w:p w:rsidR="00000000" w:rsidRDefault="005F676C">
      <w:pPr>
        <w:pStyle w:val="a3"/>
        <w:spacing w:before="0" w:beforeAutospacing="0" w:after="0" w:afterAutospacing="0"/>
        <w:jc w:val="center"/>
        <w:divId w:val="653027753"/>
        <w:rPr>
          <w:sz w:val="20"/>
          <w:szCs w:val="20"/>
        </w:rPr>
      </w:pPr>
      <w:r>
        <w:rPr>
          <w:sz w:val="20"/>
          <w:szCs w:val="20"/>
        </w:rPr>
        <w:t>(Exact name of registrant as specified in its charter)</w:t>
      </w:r>
    </w:p>
    <w:p w:rsidR="00000000" w:rsidRDefault="005F676C">
      <w:pPr>
        <w:pStyle w:val="a3"/>
        <w:spacing w:before="0" w:beforeAutospacing="0" w:after="0" w:afterAutospacing="0"/>
        <w:divId w:val="65302775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903"/>
        <w:gridCol w:w="507"/>
        <w:gridCol w:w="3896"/>
      </w:tblGrid>
      <w:tr w:rsidR="00000000">
        <w:trPr>
          <w:divId w:val="653027753"/>
          <w:tblCellSpacing w:w="0" w:type="dxa"/>
        </w:trPr>
        <w:tc>
          <w:tcPr>
            <w:tcW w:w="23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Maryland</w:t>
            </w:r>
          </w:p>
        </w:tc>
        <w:tc>
          <w:tcPr>
            <w:tcW w:w="305" w:type="pct"/>
            <w:vAlign w:val="bottom"/>
            <w:hideMark/>
          </w:tcPr>
          <w:p w:rsidR="00000000" w:rsidRDefault="005F676C">
            <w:pPr>
              <w:pStyle w:val="a3"/>
              <w:spacing w:before="0" w:beforeAutospacing="0" w:after="0" w:afterAutospacing="0"/>
              <w:rPr>
                <w:sz w:val="20"/>
                <w:szCs w:val="20"/>
              </w:rPr>
            </w:pPr>
            <w:r>
              <w:rPr>
                <w:sz w:val="20"/>
                <w:szCs w:val="20"/>
              </w:rPr>
              <w:t>  </w:t>
            </w:r>
          </w:p>
        </w:tc>
        <w:tc>
          <w:tcPr>
            <w:tcW w:w="23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13-2744380</w:t>
            </w:r>
          </w:p>
        </w:tc>
      </w:tr>
      <w:tr w:rsidR="00000000">
        <w:trPr>
          <w:divId w:val="653027753"/>
          <w:tblCellSpacing w:w="0" w:type="dxa"/>
        </w:trPr>
        <w:tc>
          <w:tcPr>
            <w:tcW w:w="2350" w:type="pct"/>
            <w:vAlign w:val="bottom"/>
            <w:hideMark/>
          </w:tcPr>
          <w:p w:rsidR="00000000" w:rsidRDefault="005F676C">
            <w:pPr>
              <w:pStyle w:val="a3"/>
              <w:spacing w:before="0" w:beforeAutospacing="0" w:after="0" w:afterAutospacing="0"/>
              <w:jc w:val="center"/>
              <w:rPr>
                <w:sz w:val="20"/>
                <w:szCs w:val="20"/>
              </w:rPr>
            </w:pPr>
            <w:r>
              <w:rPr>
                <w:sz w:val="20"/>
                <w:szCs w:val="20"/>
              </w:rPr>
              <w:t>(State or other jurisdiction of incorporation or organization)</w:t>
            </w:r>
          </w:p>
        </w:tc>
        <w:tc>
          <w:tcPr>
            <w:tcW w:w="305" w:type="pct"/>
            <w:vAlign w:val="bottom"/>
            <w:hideMark/>
          </w:tcPr>
          <w:p w:rsidR="00000000" w:rsidRDefault="005F676C">
            <w:pPr>
              <w:pStyle w:val="a3"/>
              <w:spacing w:before="0" w:beforeAutospacing="0" w:after="0" w:afterAutospacing="0"/>
              <w:rPr>
                <w:sz w:val="20"/>
                <w:szCs w:val="20"/>
              </w:rPr>
            </w:pPr>
            <w:r>
              <w:rPr>
                <w:sz w:val="20"/>
                <w:szCs w:val="20"/>
              </w:rPr>
              <w:t>  </w:t>
            </w:r>
          </w:p>
        </w:tc>
        <w:tc>
          <w:tcPr>
            <w:tcW w:w="2350" w:type="pct"/>
            <w:vAlign w:val="bottom"/>
            <w:hideMark/>
          </w:tcPr>
          <w:p w:rsidR="00000000" w:rsidRDefault="005F676C">
            <w:pPr>
              <w:pStyle w:val="a3"/>
              <w:spacing w:before="0" w:beforeAutospacing="0" w:after="0" w:afterAutospacing="0"/>
              <w:jc w:val="center"/>
              <w:rPr>
                <w:sz w:val="20"/>
                <w:szCs w:val="20"/>
              </w:rPr>
            </w:pPr>
            <w:r>
              <w:rPr>
                <w:sz w:val="20"/>
                <w:szCs w:val="20"/>
              </w:rPr>
              <w:t>(I.R.S. Employer Identification No.)</w:t>
            </w:r>
          </w:p>
        </w:tc>
      </w:tr>
    </w:tbl>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jc w:val="center"/>
        <w:divId w:val="653027753"/>
        <w:rPr>
          <w:sz w:val="20"/>
          <w:szCs w:val="20"/>
        </w:rPr>
      </w:pPr>
      <w:r>
        <w:rPr>
          <w:b/>
          <w:bCs/>
          <w:sz w:val="20"/>
          <w:szCs w:val="20"/>
          <w:u w:val="single"/>
        </w:rPr>
        <w:t>3333 New Hyde Park Road, New Hyde Park, NY 11042</w:t>
      </w:r>
    </w:p>
    <w:p w:rsidR="00000000" w:rsidRDefault="005F676C">
      <w:pPr>
        <w:pStyle w:val="a3"/>
        <w:spacing w:before="0" w:beforeAutospacing="0" w:after="0" w:afterAutospacing="0"/>
        <w:jc w:val="center"/>
        <w:divId w:val="653027753"/>
        <w:rPr>
          <w:sz w:val="20"/>
          <w:szCs w:val="20"/>
        </w:rPr>
      </w:pPr>
      <w:r>
        <w:rPr>
          <w:sz w:val="20"/>
          <w:szCs w:val="20"/>
        </w:rPr>
        <w:t>(Address of principal executive offices) (Zip Code)</w:t>
      </w:r>
    </w:p>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jc w:val="center"/>
        <w:divId w:val="653027753"/>
        <w:rPr>
          <w:sz w:val="20"/>
          <w:szCs w:val="20"/>
        </w:rPr>
      </w:pPr>
      <w:r>
        <w:rPr>
          <w:b/>
          <w:bCs/>
          <w:sz w:val="20"/>
          <w:szCs w:val="20"/>
          <w:u w:val="single"/>
        </w:rPr>
        <w:t>(516) 869-9000</w:t>
      </w:r>
    </w:p>
    <w:p w:rsidR="00000000" w:rsidRDefault="005F676C">
      <w:pPr>
        <w:pStyle w:val="a3"/>
        <w:spacing w:before="0" w:beforeAutospacing="0" w:after="0" w:afterAutospacing="0"/>
        <w:jc w:val="center"/>
        <w:divId w:val="653027753"/>
        <w:rPr>
          <w:sz w:val="20"/>
          <w:szCs w:val="20"/>
        </w:rPr>
      </w:pPr>
      <w:r>
        <w:rPr>
          <w:sz w:val="20"/>
          <w:szCs w:val="20"/>
        </w:rPr>
        <w:t>(Registrant’s telephone number, including area code)</w:t>
      </w:r>
    </w:p>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jc w:val="center"/>
        <w:divId w:val="653027753"/>
        <w:rPr>
          <w:sz w:val="20"/>
          <w:szCs w:val="20"/>
        </w:rPr>
      </w:pPr>
      <w:r>
        <w:rPr>
          <w:b/>
          <w:bCs/>
          <w:sz w:val="20"/>
          <w:szCs w:val="20"/>
          <w:u w:val="single"/>
        </w:rPr>
        <w:t>        N/A        </w:t>
      </w:r>
    </w:p>
    <w:p w:rsidR="00000000" w:rsidRDefault="005F676C">
      <w:pPr>
        <w:pStyle w:val="a3"/>
        <w:spacing w:before="0" w:beforeAutospacing="0" w:after="0" w:afterAutospacing="0"/>
        <w:jc w:val="center"/>
        <w:divId w:val="653027753"/>
        <w:rPr>
          <w:sz w:val="20"/>
          <w:szCs w:val="20"/>
        </w:rPr>
      </w:pPr>
      <w:r>
        <w:rPr>
          <w:sz w:val="20"/>
          <w:szCs w:val="20"/>
          <w:u w:val="single"/>
        </w:rPr>
        <w:t>(Former name, former address and former fiscal year, if changed since last report)</w:t>
      </w:r>
    </w:p>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divId w:val="653027753"/>
        <w:rPr>
          <w:sz w:val="20"/>
          <w:szCs w:val="20"/>
        </w:rPr>
      </w:pPr>
      <w:r>
        <w:rPr>
          <w:sz w:val="20"/>
          <w:szCs w:val="20"/>
        </w:rPr>
        <w:t>Securities registered pursu</w:t>
      </w:r>
      <w:r>
        <w:rPr>
          <w:sz w:val="20"/>
          <w:szCs w:val="20"/>
        </w:rPr>
        <w:t>ant to Section 12(b) of the Act:</w:t>
      </w:r>
    </w:p>
    <w:tbl>
      <w:tblPr>
        <w:tblW w:w="5000" w:type="pct"/>
        <w:tblCellSpacing w:w="0" w:type="dxa"/>
        <w:tblCellMar>
          <w:left w:w="0" w:type="dxa"/>
          <w:right w:w="0" w:type="dxa"/>
        </w:tblCellMar>
        <w:tblLook w:val="04A0" w:firstRow="1" w:lastRow="0" w:firstColumn="1" w:lastColumn="0" w:noHBand="0" w:noVBand="1"/>
      </w:tblPr>
      <w:tblGrid>
        <w:gridCol w:w="5647"/>
        <w:gridCol w:w="82"/>
        <w:gridCol w:w="834"/>
        <w:gridCol w:w="82"/>
        <w:gridCol w:w="1661"/>
      </w:tblGrid>
      <w:tr w:rsidR="00000000">
        <w:trPr>
          <w:divId w:val="653027753"/>
          <w:tblCellSpacing w:w="0" w:type="dxa"/>
        </w:trPr>
        <w:tc>
          <w:tcPr>
            <w:tcW w:w="3400" w:type="pct"/>
            <w:vAlign w:val="center"/>
            <w:hideMark/>
          </w:tcPr>
          <w:p w:rsidR="00000000" w:rsidRDefault="005F676C">
            <w:pPr>
              <w:pStyle w:val="a3"/>
              <w:spacing w:before="0" w:beforeAutospacing="0" w:after="0" w:afterAutospacing="0"/>
              <w:ind w:left="180"/>
              <w:rPr>
                <w:sz w:val="20"/>
                <w:szCs w:val="20"/>
              </w:rPr>
            </w:pPr>
            <w:r>
              <w:rPr>
                <w:sz w:val="20"/>
                <w:szCs w:val="20"/>
                <w:u w:val="single"/>
              </w:rPr>
              <w:t>Title of each class</w:t>
            </w:r>
          </w:p>
        </w:tc>
        <w:tc>
          <w:tcPr>
            <w:tcW w:w="50" w:type="pct"/>
            <w:vAlign w:val="center"/>
            <w:hideMark/>
          </w:tcPr>
          <w:p w:rsidR="00000000" w:rsidRDefault="005F676C">
            <w:pPr>
              <w:rPr>
                <w:rFonts w:eastAsia="Times New Roman"/>
                <w:sz w:val="20"/>
                <w:szCs w:val="20"/>
              </w:rPr>
            </w:pPr>
            <w:r>
              <w:rPr>
                <w:rFonts w:eastAsia="Times New Roman"/>
                <w:sz w:val="20"/>
                <w:szCs w:val="20"/>
              </w:rPr>
              <w:t> </w:t>
            </w:r>
          </w:p>
        </w:tc>
        <w:tc>
          <w:tcPr>
            <w:tcW w:w="500" w:type="pct"/>
            <w:vAlign w:val="center"/>
            <w:hideMark/>
          </w:tcPr>
          <w:p w:rsidR="00000000" w:rsidRDefault="005F676C">
            <w:pPr>
              <w:pStyle w:val="a3"/>
              <w:spacing w:before="0" w:beforeAutospacing="0" w:after="0" w:afterAutospacing="0"/>
              <w:jc w:val="center"/>
              <w:rPr>
                <w:sz w:val="20"/>
                <w:szCs w:val="20"/>
              </w:rPr>
            </w:pPr>
            <w:r>
              <w:rPr>
                <w:sz w:val="20"/>
                <w:szCs w:val="20"/>
                <w:u w:val="single"/>
              </w:rPr>
              <w:t>Trading</w:t>
            </w:r>
          </w:p>
          <w:p w:rsidR="00000000" w:rsidRDefault="005F676C">
            <w:pPr>
              <w:pStyle w:val="a3"/>
              <w:spacing w:before="0" w:beforeAutospacing="0" w:after="0" w:afterAutospacing="0"/>
              <w:jc w:val="center"/>
              <w:rPr>
                <w:sz w:val="20"/>
                <w:szCs w:val="20"/>
              </w:rPr>
            </w:pPr>
            <w:r>
              <w:rPr>
                <w:sz w:val="20"/>
                <w:szCs w:val="20"/>
                <w:u w:val="single"/>
              </w:rPr>
              <w:t>Symbol(s)</w:t>
            </w:r>
          </w:p>
        </w:tc>
        <w:tc>
          <w:tcPr>
            <w:tcW w:w="50" w:type="pct"/>
            <w:vAlign w:val="center"/>
            <w:hideMark/>
          </w:tcPr>
          <w:p w:rsidR="00000000" w:rsidRDefault="005F676C">
            <w:pPr>
              <w:rPr>
                <w:rFonts w:eastAsia="Times New Roman"/>
                <w:sz w:val="20"/>
                <w:szCs w:val="20"/>
              </w:rPr>
            </w:pPr>
            <w:r>
              <w:rPr>
                <w:rFonts w:eastAsia="Times New Roman"/>
                <w:sz w:val="20"/>
                <w:szCs w:val="20"/>
              </w:rPr>
              <w:t> </w:t>
            </w:r>
          </w:p>
        </w:tc>
        <w:tc>
          <w:tcPr>
            <w:tcW w:w="1000" w:type="pct"/>
            <w:vAlign w:val="center"/>
            <w:hideMark/>
          </w:tcPr>
          <w:p w:rsidR="00000000" w:rsidRDefault="005F676C">
            <w:pPr>
              <w:pStyle w:val="a3"/>
              <w:spacing w:before="0" w:beforeAutospacing="0" w:after="0" w:afterAutospacing="0"/>
              <w:rPr>
                <w:sz w:val="20"/>
                <w:szCs w:val="20"/>
              </w:rPr>
            </w:pPr>
            <w:r>
              <w:rPr>
                <w:sz w:val="20"/>
                <w:szCs w:val="20"/>
                <w:u w:val="single"/>
              </w:rPr>
              <w:t>Name of each exchange on</w:t>
            </w:r>
          </w:p>
          <w:p w:rsidR="00000000" w:rsidRDefault="005F676C">
            <w:pPr>
              <w:pStyle w:val="a3"/>
              <w:spacing w:before="0" w:beforeAutospacing="0" w:after="0" w:afterAutospacing="0"/>
              <w:rPr>
                <w:sz w:val="20"/>
                <w:szCs w:val="20"/>
              </w:rPr>
            </w:pPr>
            <w:r>
              <w:rPr>
                <w:sz w:val="20"/>
                <w:szCs w:val="20"/>
                <w:u w:val="single"/>
              </w:rPr>
              <w:t>which registered</w:t>
            </w:r>
          </w:p>
        </w:tc>
      </w:tr>
      <w:tr w:rsidR="00000000">
        <w:trPr>
          <w:divId w:val="653027753"/>
          <w:tblCellSpacing w:w="0" w:type="dxa"/>
        </w:trPr>
        <w:tc>
          <w:tcPr>
            <w:tcW w:w="3400" w:type="pct"/>
            <w:shd w:val="clear" w:color="auto" w:fill="CCEEFF"/>
            <w:vAlign w:val="center"/>
            <w:hideMark/>
          </w:tcPr>
          <w:p w:rsidR="00000000" w:rsidRDefault="005F676C">
            <w:pPr>
              <w:pStyle w:val="a3"/>
              <w:spacing w:before="0" w:beforeAutospacing="0" w:after="0" w:afterAutospacing="0"/>
              <w:ind w:left="180"/>
              <w:rPr>
                <w:sz w:val="20"/>
                <w:szCs w:val="20"/>
              </w:rPr>
            </w:pPr>
            <w:r>
              <w:rPr>
                <w:sz w:val="20"/>
                <w:szCs w:val="20"/>
              </w:rPr>
              <w:t>Common Stock, par value $.01 per share.</w:t>
            </w:r>
          </w:p>
        </w:tc>
        <w:tc>
          <w:tcPr>
            <w:tcW w:w="50" w:type="pct"/>
            <w:shd w:val="clear" w:color="auto" w:fill="CCEEFF"/>
            <w:vAlign w:val="center"/>
            <w:hideMark/>
          </w:tcPr>
          <w:p w:rsidR="00000000" w:rsidRDefault="005F676C">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5F676C">
            <w:pPr>
              <w:pStyle w:val="a3"/>
              <w:spacing w:before="0" w:beforeAutospacing="0" w:after="0" w:afterAutospacing="0"/>
              <w:jc w:val="center"/>
              <w:rPr>
                <w:sz w:val="20"/>
                <w:szCs w:val="20"/>
              </w:rPr>
            </w:pPr>
            <w:r>
              <w:rPr>
                <w:sz w:val="20"/>
                <w:szCs w:val="20"/>
              </w:rPr>
              <w:t>KIM</w:t>
            </w:r>
          </w:p>
        </w:tc>
        <w:tc>
          <w:tcPr>
            <w:tcW w:w="50" w:type="pct"/>
            <w:shd w:val="clear" w:color="auto" w:fill="CCEEFF"/>
            <w:vAlign w:val="center"/>
            <w:hideMark/>
          </w:tcPr>
          <w:p w:rsidR="00000000" w:rsidRDefault="005F676C">
            <w:pPr>
              <w:rPr>
                <w:rFonts w:eastAsia="Times New Roman"/>
                <w:sz w:val="20"/>
                <w:szCs w:val="20"/>
              </w:rPr>
            </w:pPr>
            <w:r>
              <w:rPr>
                <w:rFonts w:eastAsia="Times New Roman"/>
                <w:sz w:val="20"/>
                <w:szCs w:val="20"/>
              </w:rPr>
              <w:t> </w:t>
            </w:r>
          </w:p>
        </w:tc>
        <w:tc>
          <w:tcPr>
            <w:tcW w:w="1000" w:type="pct"/>
            <w:shd w:val="clear" w:color="auto" w:fill="CCEEFF"/>
            <w:vAlign w:val="center"/>
            <w:hideMark/>
          </w:tcPr>
          <w:p w:rsidR="00000000" w:rsidRDefault="005F676C">
            <w:pPr>
              <w:pStyle w:val="a3"/>
              <w:spacing w:before="0" w:beforeAutospacing="0" w:after="0" w:afterAutospacing="0"/>
              <w:rPr>
                <w:sz w:val="20"/>
                <w:szCs w:val="20"/>
              </w:rPr>
            </w:pPr>
            <w:r>
              <w:rPr>
                <w:sz w:val="20"/>
                <w:szCs w:val="20"/>
              </w:rPr>
              <w:t>New York Stock Exchange</w:t>
            </w:r>
          </w:p>
        </w:tc>
      </w:tr>
      <w:tr w:rsidR="00000000">
        <w:trPr>
          <w:divId w:val="653027753"/>
          <w:tblCellSpacing w:w="0" w:type="dxa"/>
        </w:trPr>
        <w:tc>
          <w:tcPr>
            <w:tcW w:w="3400" w:type="pct"/>
            <w:shd w:val="clear" w:color="auto" w:fill="FFFFFF"/>
            <w:vAlign w:val="center"/>
            <w:hideMark/>
          </w:tcPr>
          <w:p w:rsidR="00000000" w:rsidRDefault="005F676C">
            <w:pPr>
              <w:pStyle w:val="a3"/>
              <w:spacing w:before="0" w:beforeAutospacing="0" w:after="0" w:afterAutospacing="0"/>
              <w:ind w:left="180"/>
              <w:rPr>
                <w:sz w:val="20"/>
                <w:szCs w:val="20"/>
              </w:rPr>
            </w:pPr>
            <w:r>
              <w:rPr>
                <w:sz w:val="20"/>
                <w:szCs w:val="20"/>
              </w:rPr>
              <w:t>Depositary Shares, each representing one-thousandth of a share of 5.500% Class J Cumulative Redeemable, Preferred Stock, $1.00 par value per share.</w:t>
            </w:r>
          </w:p>
        </w:tc>
        <w:tc>
          <w:tcPr>
            <w:tcW w:w="50" w:type="pct"/>
            <w:shd w:val="clear" w:color="auto" w:fill="FFFFFF"/>
            <w:vAlign w:val="center"/>
            <w:hideMark/>
          </w:tcPr>
          <w:p w:rsidR="00000000" w:rsidRDefault="005F676C">
            <w:pPr>
              <w:rPr>
                <w:rFonts w:eastAsia="Times New Roman"/>
                <w:sz w:val="20"/>
                <w:szCs w:val="20"/>
              </w:rPr>
            </w:pPr>
            <w:r>
              <w:rPr>
                <w:rFonts w:eastAsia="Times New Roman"/>
                <w:sz w:val="20"/>
                <w:szCs w:val="20"/>
              </w:rPr>
              <w:t> </w:t>
            </w:r>
          </w:p>
        </w:tc>
        <w:tc>
          <w:tcPr>
            <w:tcW w:w="500" w:type="pct"/>
            <w:shd w:val="clear" w:color="auto" w:fill="FFFFFF"/>
            <w:vAlign w:val="center"/>
            <w:hideMark/>
          </w:tcPr>
          <w:p w:rsidR="00000000" w:rsidRDefault="005F676C">
            <w:pPr>
              <w:pStyle w:val="a3"/>
              <w:spacing w:before="0" w:beforeAutospacing="0" w:after="0" w:afterAutospacing="0"/>
              <w:jc w:val="center"/>
              <w:rPr>
                <w:sz w:val="20"/>
                <w:szCs w:val="20"/>
              </w:rPr>
            </w:pPr>
            <w:r>
              <w:rPr>
                <w:sz w:val="20"/>
                <w:szCs w:val="20"/>
              </w:rPr>
              <w:t>KIMprJ</w:t>
            </w:r>
          </w:p>
        </w:tc>
        <w:tc>
          <w:tcPr>
            <w:tcW w:w="50" w:type="pct"/>
            <w:shd w:val="clear" w:color="auto" w:fill="FFFFFF"/>
            <w:vAlign w:val="center"/>
            <w:hideMark/>
          </w:tcPr>
          <w:p w:rsidR="00000000" w:rsidRDefault="005F676C">
            <w:pPr>
              <w:rPr>
                <w:rFonts w:eastAsia="Times New Roman"/>
                <w:sz w:val="20"/>
                <w:szCs w:val="20"/>
              </w:rPr>
            </w:pPr>
            <w:r>
              <w:rPr>
                <w:rFonts w:eastAsia="Times New Roman"/>
                <w:sz w:val="20"/>
                <w:szCs w:val="20"/>
              </w:rPr>
              <w:t> </w:t>
            </w:r>
          </w:p>
        </w:tc>
        <w:tc>
          <w:tcPr>
            <w:tcW w:w="1000" w:type="pct"/>
            <w:shd w:val="clear" w:color="auto" w:fill="FFFFFF"/>
            <w:vAlign w:val="center"/>
            <w:hideMark/>
          </w:tcPr>
          <w:p w:rsidR="00000000" w:rsidRDefault="005F676C">
            <w:pPr>
              <w:pStyle w:val="a3"/>
              <w:spacing w:before="0" w:beforeAutospacing="0" w:after="0" w:afterAutospacing="0"/>
              <w:rPr>
                <w:sz w:val="20"/>
                <w:szCs w:val="20"/>
              </w:rPr>
            </w:pPr>
            <w:r>
              <w:rPr>
                <w:sz w:val="20"/>
                <w:szCs w:val="20"/>
              </w:rPr>
              <w:t>New York Stock Exchange</w:t>
            </w:r>
          </w:p>
        </w:tc>
      </w:tr>
      <w:tr w:rsidR="00000000">
        <w:trPr>
          <w:divId w:val="653027753"/>
          <w:tblCellSpacing w:w="0" w:type="dxa"/>
        </w:trPr>
        <w:tc>
          <w:tcPr>
            <w:tcW w:w="3400" w:type="pct"/>
            <w:shd w:val="clear" w:color="auto" w:fill="CCEEFF"/>
            <w:vAlign w:val="center"/>
            <w:hideMark/>
          </w:tcPr>
          <w:p w:rsidR="00000000" w:rsidRDefault="005F676C">
            <w:pPr>
              <w:pStyle w:val="a3"/>
              <w:spacing w:before="0" w:beforeAutospacing="0" w:after="0" w:afterAutospacing="0"/>
              <w:ind w:left="180"/>
              <w:rPr>
                <w:sz w:val="20"/>
                <w:szCs w:val="20"/>
              </w:rPr>
            </w:pPr>
            <w:r>
              <w:rPr>
                <w:sz w:val="20"/>
                <w:szCs w:val="20"/>
              </w:rPr>
              <w:t>Depositary Shares, each representing one-thousandth of a share of 5.125%</w:t>
            </w:r>
            <w:r>
              <w:rPr>
                <w:sz w:val="20"/>
                <w:szCs w:val="20"/>
              </w:rPr>
              <w:t xml:space="preserve"> Class L Cumulative Redeemable, Preferred Stock, $1.00 par value per share.</w:t>
            </w:r>
          </w:p>
        </w:tc>
        <w:tc>
          <w:tcPr>
            <w:tcW w:w="50" w:type="pct"/>
            <w:shd w:val="clear" w:color="auto" w:fill="CCEEFF"/>
            <w:vAlign w:val="center"/>
            <w:hideMark/>
          </w:tcPr>
          <w:p w:rsidR="00000000" w:rsidRDefault="005F676C">
            <w:pPr>
              <w:rPr>
                <w:rFonts w:eastAsia="Times New Roman"/>
                <w:sz w:val="20"/>
                <w:szCs w:val="20"/>
              </w:rPr>
            </w:pPr>
            <w:r>
              <w:rPr>
                <w:rFonts w:eastAsia="Times New Roman"/>
                <w:sz w:val="20"/>
                <w:szCs w:val="20"/>
              </w:rPr>
              <w:t> </w:t>
            </w:r>
          </w:p>
        </w:tc>
        <w:tc>
          <w:tcPr>
            <w:tcW w:w="500" w:type="pct"/>
            <w:shd w:val="clear" w:color="auto" w:fill="CCEEFF"/>
            <w:vAlign w:val="center"/>
            <w:hideMark/>
          </w:tcPr>
          <w:p w:rsidR="00000000" w:rsidRDefault="005F676C">
            <w:pPr>
              <w:pStyle w:val="a3"/>
              <w:spacing w:before="0" w:beforeAutospacing="0" w:after="0" w:afterAutospacing="0"/>
              <w:jc w:val="center"/>
              <w:rPr>
                <w:sz w:val="20"/>
                <w:szCs w:val="20"/>
              </w:rPr>
            </w:pPr>
            <w:r>
              <w:rPr>
                <w:sz w:val="20"/>
                <w:szCs w:val="20"/>
              </w:rPr>
              <w:t>KIMprL</w:t>
            </w:r>
          </w:p>
        </w:tc>
        <w:tc>
          <w:tcPr>
            <w:tcW w:w="50" w:type="pct"/>
            <w:shd w:val="clear" w:color="auto" w:fill="CCEEFF"/>
            <w:vAlign w:val="center"/>
            <w:hideMark/>
          </w:tcPr>
          <w:p w:rsidR="00000000" w:rsidRDefault="005F676C">
            <w:pPr>
              <w:rPr>
                <w:rFonts w:eastAsia="Times New Roman"/>
                <w:sz w:val="20"/>
                <w:szCs w:val="20"/>
              </w:rPr>
            </w:pPr>
            <w:r>
              <w:rPr>
                <w:rFonts w:eastAsia="Times New Roman"/>
                <w:sz w:val="20"/>
                <w:szCs w:val="20"/>
              </w:rPr>
              <w:t> </w:t>
            </w:r>
          </w:p>
        </w:tc>
        <w:tc>
          <w:tcPr>
            <w:tcW w:w="1000" w:type="pct"/>
            <w:shd w:val="clear" w:color="auto" w:fill="CCEEFF"/>
            <w:vAlign w:val="center"/>
            <w:hideMark/>
          </w:tcPr>
          <w:p w:rsidR="00000000" w:rsidRDefault="005F676C">
            <w:pPr>
              <w:pStyle w:val="a3"/>
              <w:spacing w:before="0" w:beforeAutospacing="0" w:after="0" w:afterAutospacing="0"/>
              <w:rPr>
                <w:sz w:val="20"/>
                <w:szCs w:val="20"/>
              </w:rPr>
            </w:pPr>
            <w:r>
              <w:rPr>
                <w:sz w:val="20"/>
                <w:szCs w:val="20"/>
              </w:rPr>
              <w:t>New York Stock Exchange</w:t>
            </w:r>
          </w:p>
        </w:tc>
      </w:tr>
      <w:tr w:rsidR="00000000">
        <w:trPr>
          <w:divId w:val="653027753"/>
          <w:tblCellSpacing w:w="0" w:type="dxa"/>
        </w:trPr>
        <w:tc>
          <w:tcPr>
            <w:tcW w:w="3400" w:type="pct"/>
            <w:shd w:val="clear" w:color="auto" w:fill="FFFFFF"/>
            <w:vAlign w:val="center"/>
            <w:hideMark/>
          </w:tcPr>
          <w:p w:rsidR="00000000" w:rsidRDefault="005F676C">
            <w:pPr>
              <w:pStyle w:val="a3"/>
              <w:spacing w:before="0" w:beforeAutospacing="0" w:after="0" w:afterAutospacing="0"/>
              <w:ind w:left="180"/>
              <w:rPr>
                <w:sz w:val="20"/>
                <w:szCs w:val="20"/>
              </w:rPr>
            </w:pPr>
            <w:r>
              <w:rPr>
                <w:sz w:val="20"/>
                <w:szCs w:val="20"/>
              </w:rPr>
              <w:t xml:space="preserve">Depositary Shares, each representing one-thousandth of a share of 5.250% </w:t>
            </w:r>
            <w:r>
              <w:rPr>
                <w:sz w:val="20"/>
                <w:szCs w:val="20"/>
              </w:rPr>
              <w:t>Class M Cumulative Redeemable, Preferred Stock, $1.00 par value per share.</w:t>
            </w:r>
          </w:p>
        </w:tc>
        <w:tc>
          <w:tcPr>
            <w:tcW w:w="50" w:type="pct"/>
            <w:shd w:val="clear" w:color="auto" w:fill="FFFFFF"/>
            <w:vAlign w:val="center"/>
            <w:hideMark/>
          </w:tcPr>
          <w:p w:rsidR="00000000" w:rsidRDefault="005F676C">
            <w:pPr>
              <w:rPr>
                <w:rFonts w:eastAsia="Times New Roman"/>
                <w:sz w:val="20"/>
                <w:szCs w:val="20"/>
              </w:rPr>
            </w:pPr>
            <w:r>
              <w:rPr>
                <w:rFonts w:eastAsia="Times New Roman"/>
                <w:sz w:val="20"/>
                <w:szCs w:val="20"/>
              </w:rPr>
              <w:t> </w:t>
            </w:r>
          </w:p>
        </w:tc>
        <w:tc>
          <w:tcPr>
            <w:tcW w:w="500" w:type="pct"/>
            <w:shd w:val="clear" w:color="auto" w:fill="FFFFFF"/>
            <w:vAlign w:val="center"/>
            <w:hideMark/>
          </w:tcPr>
          <w:p w:rsidR="00000000" w:rsidRDefault="005F676C">
            <w:pPr>
              <w:pStyle w:val="a3"/>
              <w:spacing w:before="0" w:beforeAutospacing="0" w:after="0" w:afterAutospacing="0"/>
              <w:jc w:val="center"/>
              <w:rPr>
                <w:sz w:val="20"/>
                <w:szCs w:val="20"/>
              </w:rPr>
            </w:pPr>
            <w:r>
              <w:rPr>
                <w:sz w:val="20"/>
                <w:szCs w:val="20"/>
              </w:rPr>
              <w:t>KIMprM</w:t>
            </w:r>
          </w:p>
        </w:tc>
        <w:tc>
          <w:tcPr>
            <w:tcW w:w="50" w:type="pct"/>
            <w:shd w:val="clear" w:color="auto" w:fill="FFFFFF"/>
            <w:vAlign w:val="center"/>
            <w:hideMark/>
          </w:tcPr>
          <w:p w:rsidR="00000000" w:rsidRDefault="005F676C">
            <w:pPr>
              <w:rPr>
                <w:rFonts w:eastAsia="Times New Roman"/>
                <w:sz w:val="20"/>
                <w:szCs w:val="20"/>
              </w:rPr>
            </w:pPr>
            <w:r>
              <w:rPr>
                <w:rFonts w:eastAsia="Times New Roman"/>
                <w:sz w:val="20"/>
                <w:szCs w:val="20"/>
              </w:rPr>
              <w:t> </w:t>
            </w:r>
          </w:p>
        </w:tc>
        <w:tc>
          <w:tcPr>
            <w:tcW w:w="1000" w:type="pct"/>
            <w:shd w:val="clear" w:color="auto" w:fill="FFFFFF"/>
            <w:vAlign w:val="center"/>
            <w:hideMark/>
          </w:tcPr>
          <w:p w:rsidR="00000000" w:rsidRDefault="005F676C">
            <w:pPr>
              <w:pStyle w:val="a3"/>
              <w:spacing w:before="0" w:beforeAutospacing="0" w:after="0" w:afterAutospacing="0"/>
              <w:rPr>
                <w:sz w:val="20"/>
                <w:szCs w:val="20"/>
              </w:rPr>
            </w:pPr>
            <w:r>
              <w:rPr>
                <w:sz w:val="20"/>
                <w:szCs w:val="20"/>
              </w:rPr>
              <w:t>New York Stock Exchange</w:t>
            </w:r>
          </w:p>
        </w:tc>
      </w:tr>
    </w:tbl>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ind w:firstLine="360"/>
        <w:divId w:val="653027753"/>
        <w:rPr>
          <w:sz w:val="20"/>
          <w:szCs w:val="20"/>
        </w:rPr>
      </w:pPr>
      <w:r>
        <w:rPr>
          <w:sz w:val="20"/>
          <w:szCs w:val="20"/>
        </w:rPr>
        <w:lastRenderedPageBreak/>
        <w:t xml:space="preserve">Indicate by check mark whether the registrant (1) has filed all reports required to be filed by Section 13 or 15(d) of the Securities Exchange </w:t>
      </w:r>
      <w:r>
        <w:rPr>
          <w:sz w:val="20"/>
          <w:szCs w:val="20"/>
        </w:rPr>
        <w:t xml:space="preserve">Act of 1934 during the preceding 12 months (or for such shorter period that the registrant was required to file such reports), and (2) has been subject to such filing requirements for the past 90 days.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ind w:firstLine="360"/>
        <w:divId w:val="653027753"/>
        <w:rPr>
          <w:sz w:val="20"/>
          <w:szCs w:val="20"/>
        </w:rPr>
      </w:pPr>
      <w:r>
        <w:rPr>
          <w:sz w:val="20"/>
          <w:szCs w:val="20"/>
        </w:rPr>
        <w:t>Indicate by check mark whether the re</w:t>
      </w:r>
      <w:r>
        <w:rPr>
          <w:sz w:val="20"/>
          <w:szCs w:val="20"/>
        </w:rPr>
        <w:t>gistrant has submitted electronically, every Interactive Data File required to be submitted pursuant to Rule 405 of Regulation S-T (§232.405 of this chapter) during the preceding 12 months (or for such shorter period that the registrant was required to sub</w:t>
      </w:r>
      <w:r>
        <w:rPr>
          <w:sz w:val="20"/>
          <w:szCs w:val="20"/>
        </w:rPr>
        <w:t xml:space="preserve">mit such files).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ind w:firstLine="360"/>
        <w:divId w:val="653027753"/>
        <w:rPr>
          <w:sz w:val="20"/>
          <w:szCs w:val="20"/>
        </w:rPr>
      </w:pPr>
      <w:r>
        <w:rPr>
          <w:sz w:val="20"/>
          <w:szCs w:val="20"/>
        </w:rPr>
        <w:t>Indicate by check mark whether the registrant is a large accelerated filer, an accelerated filer, a non-accelerated filer, a smaller reporting company, or an emerging growth company. See the definitions of “large accelera</w:t>
      </w:r>
      <w:r>
        <w:rPr>
          <w:sz w:val="20"/>
          <w:szCs w:val="20"/>
        </w:rPr>
        <w:t>ted filer,” “accelerated filer,” “smaller reporting company,” and “emerging growth company” in Rule 12-b-2 of the Exchange Act.</w:t>
      </w:r>
    </w:p>
    <w:p w:rsidR="00000000" w:rsidRDefault="005F676C">
      <w:pPr>
        <w:pStyle w:val="a3"/>
        <w:spacing w:before="0" w:beforeAutospacing="0" w:after="0" w:afterAutospacing="0"/>
        <w:divId w:val="653027753"/>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097"/>
        <w:gridCol w:w="671"/>
        <w:gridCol w:w="2098"/>
        <w:gridCol w:w="671"/>
        <w:gridCol w:w="2098"/>
        <w:gridCol w:w="671"/>
      </w:tblGrid>
      <w:tr w:rsidR="00000000">
        <w:trPr>
          <w:divId w:val="653027753"/>
          <w:tblCellSpacing w:w="0" w:type="dxa"/>
        </w:trPr>
        <w:tc>
          <w:tcPr>
            <w:tcW w:w="1250" w:type="pct"/>
            <w:vAlign w:val="bottom"/>
            <w:hideMark/>
          </w:tcPr>
          <w:p w:rsidR="00000000" w:rsidRDefault="005F676C">
            <w:pPr>
              <w:pStyle w:val="a3"/>
              <w:spacing w:before="0" w:beforeAutospacing="0" w:after="0" w:afterAutospacing="0"/>
              <w:ind w:left="180"/>
              <w:rPr>
                <w:sz w:val="20"/>
                <w:szCs w:val="20"/>
              </w:rPr>
            </w:pPr>
            <w:r>
              <w:rPr>
                <w:sz w:val="20"/>
                <w:szCs w:val="20"/>
              </w:rPr>
              <w:t>Large accelerated filer</w:t>
            </w:r>
          </w:p>
        </w:tc>
        <w:tc>
          <w:tcPr>
            <w:tcW w:w="400" w:type="pct"/>
            <w:vAlign w:val="bottom"/>
            <w:hideMark/>
          </w:tcPr>
          <w:p w:rsidR="00000000" w:rsidRDefault="005F676C">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vAlign w:val="bottom"/>
            <w:hideMark/>
          </w:tcPr>
          <w:p w:rsidR="00000000" w:rsidRDefault="005F676C">
            <w:pPr>
              <w:pStyle w:val="a3"/>
              <w:spacing w:before="0" w:beforeAutospacing="0" w:after="0" w:afterAutospacing="0"/>
              <w:rPr>
                <w:sz w:val="20"/>
                <w:szCs w:val="20"/>
              </w:rPr>
            </w:pPr>
            <w:r>
              <w:rPr>
                <w:sz w:val="20"/>
                <w:szCs w:val="20"/>
              </w:rPr>
              <w:t>Accelerated filer</w:t>
            </w:r>
          </w:p>
        </w:tc>
        <w:tc>
          <w:tcPr>
            <w:tcW w:w="400" w:type="pct"/>
            <w:vAlign w:val="bottom"/>
            <w:hideMark/>
          </w:tcPr>
          <w:p w:rsidR="00000000" w:rsidRDefault="005F676C">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hideMark/>
          </w:tcPr>
          <w:p w:rsidR="00000000" w:rsidRDefault="005F676C">
            <w:pPr>
              <w:pStyle w:val="a3"/>
              <w:spacing w:before="0" w:beforeAutospacing="0" w:after="0" w:afterAutospacing="0"/>
              <w:rPr>
                <w:sz w:val="20"/>
                <w:szCs w:val="20"/>
              </w:rPr>
            </w:pPr>
            <w:r>
              <w:rPr>
                <w:sz w:val="20"/>
                <w:szCs w:val="20"/>
              </w:rPr>
              <w:t>Non-accelerated filer</w:t>
            </w:r>
          </w:p>
        </w:tc>
        <w:tc>
          <w:tcPr>
            <w:tcW w:w="400" w:type="pct"/>
            <w:hideMark/>
          </w:tcPr>
          <w:p w:rsidR="00000000" w:rsidRDefault="005F676C">
            <w:pPr>
              <w:pStyle w:val="a3"/>
              <w:spacing w:before="0" w:beforeAutospacing="0" w:after="0" w:afterAutospacing="0"/>
              <w:rPr>
                <w:sz w:val="20"/>
                <w:szCs w:val="20"/>
              </w:rPr>
            </w:pPr>
            <w:r>
              <w:rPr>
                <w:rFonts w:ascii="Segoe UI Symbol" w:hAnsi="Segoe UI Symbol" w:cs="Segoe UI Symbol"/>
                <w:sz w:val="20"/>
                <w:szCs w:val="20"/>
              </w:rPr>
              <w:t>☐</w:t>
            </w:r>
          </w:p>
        </w:tc>
      </w:tr>
      <w:tr w:rsidR="00000000">
        <w:trPr>
          <w:divId w:val="653027753"/>
          <w:tblCellSpacing w:w="0" w:type="dxa"/>
        </w:trPr>
        <w:tc>
          <w:tcPr>
            <w:tcW w:w="1250" w:type="pct"/>
            <w:vAlign w:val="bottom"/>
            <w:hideMark/>
          </w:tcPr>
          <w:p w:rsidR="00000000" w:rsidRDefault="005F676C">
            <w:pPr>
              <w:pStyle w:val="a3"/>
              <w:spacing w:before="0" w:beforeAutospacing="0" w:after="0" w:afterAutospacing="0"/>
              <w:ind w:left="180"/>
              <w:rPr>
                <w:sz w:val="20"/>
                <w:szCs w:val="20"/>
              </w:rPr>
            </w:pPr>
            <w:r>
              <w:rPr>
                <w:sz w:val="20"/>
                <w:szCs w:val="20"/>
              </w:rPr>
              <w:t>Smaller reporting company</w:t>
            </w:r>
          </w:p>
        </w:tc>
        <w:tc>
          <w:tcPr>
            <w:tcW w:w="400" w:type="pct"/>
            <w:vAlign w:val="bottom"/>
            <w:hideMark/>
          </w:tcPr>
          <w:p w:rsidR="00000000" w:rsidRDefault="005F676C">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vAlign w:val="bottom"/>
            <w:hideMark/>
          </w:tcPr>
          <w:p w:rsidR="00000000" w:rsidRDefault="005F676C">
            <w:pPr>
              <w:pStyle w:val="a3"/>
              <w:spacing w:before="0" w:beforeAutospacing="0" w:after="0" w:afterAutospacing="0"/>
              <w:rPr>
                <w:sz w:val="20"/>
                <w:szCs w:val="20"/>
              </w:rPr>
            </w:pPr>
            <w:r>
              <w:rPr>
                <w:sz w:val="20"/>
                <w:szCs w:val="20"/>
              </w:rPr>
              <w:t>Emerging growth company</w:t>
            </w:r>
          </w:p>
        </w:tc>
        <w:tc>
          <w:tcPr>
            <w:tcW w:w="400" w:type="pct"/>
            <w:vAlign w:val="bottom"/>
            <w:hideMark/>
          </w:tcPr>
          <w:p w:rsidR="00000000" w:rsidRDefault="005F676C">
            <w:pPr>
              <w:pStyle w:val="a3"/>
              <w:spacing w:before="0" w:beforeAutospacing="0" w:after="0" w:afterAutospacing="0"/>
              <w:rPr>
                <w:sz w:val="20"/>
                <w:szCs w:val="20"/>
              </w:rPr>
            </w:pPr>
            <w:r>
              <w:rPr>
                <w:rFonts w:ascii="Segoe UI Symbol" w:hAnsi="Segoe UI Symbol" w:cs="Segoe UI Symbol"/>
                <w:sz w:val="20"/>
                <w:szCs w:val="20"/>
              </w:rPr>
              <w:t>☐</w:t>
            </w:r>
          </w:p>
        </w:tc>
        <w:tc>
          <w:tcPr>
            <w:tcW w:w="1250" w:type="pct"/>
            <w:hideMark/>
          </w:tcPr>
          <w:p w:rsidR="00000000" w:rsidRDefault="005F676C">
            <w:pPr>
              <w:rPr>
                <w:rFonts w:eastAsia="Times New Roman"/>
                <w:sz w:val="20"/>
                <w:szCs w:val="20"/>
              </w:rPr>
            </w:pPr>
            <w:r>
              <w:rPr>
                <w:rFonts w:eastAsia="Times New Roman"/>
                <w:sz w:val="20"/>
                <w:szCs w:val="20"/>
              </w:rPr>
              <w:t> </w:t>
            </w:r>
          </w:p>
        </w:tc>
        <w:tc>
          <w:tcPr>
            <w:tcW w:w="400" w:type="pct"/>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firstLine="360"/>
        <w:divId w:val="653027753"/>
        <w:rPr>
          <w:sz w:val="20"/>
          <w:szCs w:val="20"/>
        </w:rPr>
      </w:pPr>
      <w:r>
        <w:rPr>
          <w:sz w:val="20"/>
          <w:szCs w:val="20"/>
        </w:rPr>
        <w:t> </w:t>
      </w:r>
    </w:p>
    <w:p w:rsidR="00000000" w:rsidRDefault="005F676C">
      <w:pPr>
        <w:pStyle w:val="a3"/>
        <w:spacing w:before="0" w:beforeAutospacing="0" w:after="0" w:afterAutospacing="0"/>
        <w:ind w:firstLine="360"/>
        <w:divId w:val="653027753"/>
        <w:rPr>
          <w:sz w:val="20"/>
          <w:szCs w:val="20"/>
        </w:rPr>
      </w:pPr>
      <w:r>
        <w:rPr>
          <w:sz w:val="20"/>
          <w:szCs w:val="20"/>
        </w:rPr>
        <w:t>If an emerging growth company, indicate by check mark if the registrant has elected not to use the extended transition period for complying with any new or revised financial accounting standards provided pursuant to Section</w:t>
      </w:r>
      <w:r>
        <w:rPr>
          <w:sz w:val="20"/>
          <w:szCs w:val="20"/>
        </w:rPr>
        <w:t xml:space="preserve"> 13(a) of the Exchange Act. </w:t>
      </w:r>
      <w:r>
        <w:rPr>
          <w:rFonts w:ascii="Segoe UI Symbol" w:hAnsi="Segoe UI Symbol" w:cs="Segoe UI Symbol"/>
          <w:sz w:val="20"/>
          <w:szCs w:val="20"/>
        </w:rPr>
        <w:t>☐</w:t>
      </w:r>
    </w:p>
    <w:p w:rsidR="00000000" w:rsidRDefault="005F676C">
      <w:pPr>
        <w:pStyle w:val="a3"/>
        <w:spacing w:before="0" w:beforeAutospacing="0" w:after="0" w:afterAutospacing="0"/>
        <w:divId w:val="653027753"/>
        <w:rPr>
          <w:sz w:val="20"/>
          <w:szCs w:val="20"/>
        </w:rPr>
      </w:pPr>
      <w:r>
        <w:rPr>
          <w:sz w:val="20"/>
          <w:szCs w:val="20"/>
        </w:rPr>
        <w:t> </w:t>
      </w:r>
    </w:p>
    <w:p w:rsidR="00000000" w:rsidRDefault="005F676C">
      <w:pPr>
        <w:pStyle w:val="a3"/>
        <w:spacing w:before="0" w:beforeAutospacing="0" w:after="0" w:afterAutospacing="0"/>
        <w:ind w:firstLine="360"/>
        <w:divId w:val="653027753"/>
        <w:rPr>
          <w:sz w:val="20"/>
          <w:szCs w:val="20"/>
        </w:rPr>
      </w:pPr>
      <w:r>
        <w:rPr>
          <w:sz w:val="20"/>
          <w:szCs w:val="20"/>
        </w:rPr>
        <w:t xml:space="preserve">Indicate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5F676C">
      <w:pPr>
        <w:pStyle w:val="a3"/>
        <w:spacing w:before="0" w:beforeAutospacing="0" w:after="0" w:afterAutospacing="0"/>
        <w:ind w:firstLine="360"/>
        <w:divId w:val="653027753"/>
        <w:rPr>
          <w:sz w:val="20"/>
          <w:szCs w:val="20"/>
        </w:rPr>
      </w:pPr>
      <w:r>
        <w:rPr>
          <w:sz w:val="20"/>
          <w:szCs w:val="20"/>
        </w:rPr>
        <w:t> </w:t>
      </w:r>
    </w:p>
    <w:p w:rsidR="00000000" w:rsidRDefault="005F676C">
      <w:pPr>
        <w:pStyle w:val="a3"/>
        <w:spacing w:before="0" w:beforeAutospacing="0" w:after="0" w:afterAutospacing="0"/>
        <w:jc w:val="center"/>
        <w:divId w:val="653027753"/>
        <w:rPr>
          <w:sz w:val="20"/>
          <w:szCs w:val="20"/>
        </w:rPr>
      </w:pPr>
      <w:r>
        <w:rPr>
          <w:sz w:val="20"/>
          <w:szCs w:val="20"/>
        </w:rPr>
        <w:t>As of October 14, 2019, the registrant had 422,232,515 shares of common stock outstanding.</w:t>
      </w:r>
    </w:p>
    <w:p w:rsidR="00000000" w:rsidRDefault="005F676C">
      <w:pPr>
        <w:pStyle w:val="a3"/>
        <w:spacing w:before="0" w:beforeAutospacing="0" w:after="0" w:afterAutospacing="0"/>
        <w:jc w:val="center"/>
        <w:divId w:val="653027753"/>
        <w:rPr>
          <w:sz w:val="20"/>
          <w:szCs w:val="20"/>
        </w:rPr>
      </w:pPr>
      <w:r>
        <w:rPr>
          <w:sz w:val="20"/>
          <w:szCs w:val="20"/>
        </w:rPr>
        <w:t> </w:t>
      </w:r>
    </w:p>
    <w:p w:rsidR="00000000" w:rsidRDefault="005F676C">
      <w:pPr>
        <w:rPr>
          <w:rFonts w:eastAsia="Times New Roman"/>
          <w:sz w:val="20"/>
          <w:szCs w:val="20"/>
        </w:rPr>
      </w:pPr>
      <w:r>
        <w:rPr>
          <w:rFonts w:eastAsia="Times New Roman"/>
          <w:sz w:val="20"/>
          <w:szCs w:val="20"/>
        </w:rPr>
        <w:pict>
          <v:rect id="_x0000_i1027" style="width:0;height:1.5pt" o:hralign="center" o:hrstd="t" o:hr="t" fillcolor="#a0a0a0" stroked="f"/>
        </w:pict>
      </w:r>
    </w:p>
    <w:p w:rsidR="00000000" w:rsidRDefault="005F676C">
      <w:pPr>
        <w:rPr>
          <w:rFonts w:eastAsia="Times New Roman"/>
          <w:sz w:val="20"/>
          <w:szCs w:val="20"/>
        </w:rPr>
      </w:pPr>
      <w:r>
        <w:rPr>
          <w:rFonts w:eastAsia="Times New Roman"/>
          <w:sz w:val="20"/>
          <w:szCs w:val="20"/>
        </w:rPr>
        <w:pict>
          <v:rect id="_x0000_i1028" style="width:0;height:1.5pt" o:hralign="center" o:hrstd="t" o:hr="t" fillcolor="#a0a0a0" stroked="f"/>
        </w:pict>
      </w:r>
    </w:p>
    <w:p w:rsidR="00000000" w:rsidRDefault="005F676C">
      <w:pPr>
        <w:pStyle w:val="a3"/>
        <w:spacing w:before="0" w:beforeAutospacing="0" w:after="0" w:afterAutospacing="0"/>
        <w:rPr>
          <w:sz w:val="20"/>
          <w:szCs w:val="20"/>
        </w:rPr>
      </w:pPr>
      <w:r>
        <w:rPr>
          <w:sz w:val="20"/>
          <w:szCs w:val="20"/>
        </w:rPr>
        <w:t> </w:t>
      </w:r>
    </w:p>
    <w:p w:rsidR="00000000" w:rsidRDefault="005F676C">
      <w:pPr>
        <w:jc w:val="center"/>
        <w:divId w:val="254945462"/>
        <w:rPr>
          <w:rFonts w:eastAsia="Times New Roman"/>
          <w:sz w:val="20"/>
          <w:szCs w:val="20"/>
        </w:rPr>
      </w:pPr>
      <w:r>
        <w:rPr>
          <w:rFonts w:eastAsia="Times New Roman"/>
          <w:sz w:val="20"/>
          <w:szCs w:val="20"/>
        </w:rPr>
        <w:t xml:space="preserve">  </w:t>
      </w:r>
    </w:p>
    <w:p w:rsidR="00000000" w:rsidRDefault="005F676C">
      <w:pPr>
        <w:divId w:val="254945462"/>
        <w:rPr>
          <w:rFonts w:eastAsia="Times New Roman"/>
          <w:sz w:val="20"/>
          <w:szCs w:val="20"/>
        </w:rPr>
      </w:pPr>
      <w:r>
        <w:rPr>
          <w:rFonts w:eastAsia="Times New Roman"/>
          <w:sz w:val="20"/>
          <w:szCs w:val="20"/>
        </w:rPr>
        <w:pict>
          <v:rect id="_x0000_i1029" style="width:0;height:1.5pt" o:hralign="center" o:hrstd="t" o:hr="t" fillcolor="#a0a0a0" stroked="f"/>
        </w:pict>
      </w:r>
    </w:p>
    <w:p w:rsidR="00000000" w:rsidRDefault="005F676C">
      <w:pPr>
        <w:divId w:val="25494546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divId w:val="1741051154"/>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divId w:val="1567255731"/>
        <w:rPr>
          <w:sz w:val="20"/>
          <w:szCs w:val="20"/>
        </w:rPr>
      </w:pPr>
      <w:r>
        <w:rPr>
          <w:sz w:val="20"/>
          <w:szCs w:val="20"/>
        </w:rPr>
        <w:t> </w:t>
      </w:r>
    </w:p>
    <w:p w:rsidR="00000000" w:rsidRDefault="005F676C">
      <w:pPr>
        <w:pStyle w:val="a3"/>
        <w:spacing w:before="0" w:beforeAutospacing="0" w:after="0" w:afterAutospacing="0"/>
        <w:jc w:val="center"/>
        <w:divId w:val="1567255731"/>
        <w:rPr>
          <w:sz w:val="20"/>
          <w:szCs w:val="20"/>
        </w:rPr>
      </w:pPr>
      <w:hyperlink w:anchor="item1balsheet" w:history="1">
        <w:r>
          <w:rPr>
            <w:rStyle w:val="a4"/>
            <w:sz w:val="20"/>
            <w:szCs w:val="20"/>
          </w:rPr>
          <w:t>PART I - FINANCIAL INFORMATION</w:t>
        </w:r>
      </w:hyperlink>
    </w:p>
    <w:p w:rsidR="00000000" w:rsidRDefault="005F676C">
      <w:pPr>
        <w:pStyle w:val="a3"/>
        <w:spacing w:before="0" w:beforeAutospacing="0" w:after="0" w:afterAutospacing="0"/>
        <w:jc w:val="center"/>
        <w:divId w:val="1567255731"/>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65"/>
        <w:gridCol w:w="7226"/>
        <w:gridCol w:w="415"/>
      </w:tblGrid>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1.</w:t>
            </w:r>
          </w:p>
        </w:tc>
        <w:tc>
          <w:tcPr>
            <w:tcW w:w="4350" w:type="pct"/>
            <w:vAlign w:val="center"/>
            <w:hideMark/>
          </w:tcPr>
          <w:p w:rsidR="00000000" w:rsidRDefault="005F676C">
            <w:pPr>
              <w:rPr>
                <w:rFonts w:eastAsia="Times New Roman"/>
                <w:sz w:val="20"/>
                <w:szCs w:val="20"/>
              </w:rPr>
            </w:pPr>
            <w:hyperlink w:anchor="item1balsheet" w:history="1">
              <w:r>
                <w:rPr>
                  <w:rStyle w:val="a4"/>
                  <w:rFonts w:eastAsia="Times New Roman"/>
                  <w:sz w:val="20"/>
                  <w:szCs w:val="20"/>
                </w:rPr>
                <w:t>Financial Statements.</w:t>
              </w:r>
            </w:hyperlink>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gridSpan w:val="2"/>
            <w:vAlign w:val="center"/>
            <w:hideMark/>
          </w:tcPr>
          <w:p w:rsidR="00000000" w:rsidRDefault="005F676C">
            <w:pPr>
              <w:rPr>
                <w:rFonts w:eastAsia="Times New Roman"/>
                <w:sz w:val="20"/>
                <w:szCs w:val="20"/>
              </w:rPr>
            </w:pPr>
            <w:r>
              <w:rPr>
                <w:rFonts w:eastAsia="Times New Roman"/>
                <w:sz w:val="20"/>
                <w:szCs w:val="20"/>
              </w:rPr>
              <w:t>Condensed Consolidated Financial Statements of Kimco Realty Corporation and Subsidiaries (Unaudited)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hyperlink w:anchor="item1balsheet" w:history="1">
              <w:r>
                <w:rPr>
                  <w:rStyle w:val="a4"/>
                  <w:rFonts w:eastAsia="Times New Roman"/>
                  <w:sz w:val="20"/>
                  <w:szCs w:val="20"/>
                </w:rPr>
                <w:t>Condensed Consolidated Balance Sheets as of September 30, 2019 and December 31, 2018</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3</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hyperlink w:anchor="stateofincome" w:history="1">
              <w:r>
                <w:rPr>
                  <w:rStyle w:val="a4"/>
                  <w:rFonts w:eastAsia="Times New Roman"/>
                  <w:sz w:val="20"/>
                  <w:szCs w:val="20"/>
                </w:rPr>
                <w:t>Condensed Consolidated Statements of Income for the Three and Nine Months Ended September 30, 2019 and 2018</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4</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pStyle w:val="a3"/>
              <w:spacing w:before="0" w:beforeAutospacing="0" w:after="0" w:afterAutospacing="0"/>
              <w:rPr>
                <w:sz w:val="20"/>
                <w:szCs w:val="20"/>
              </w:rPr>
            </w:pPr>
            <w:hyperlink w:anchor="CompIncome" w:history="1">
              <w:r>
                <w:rPr>
                  <w:rStyle w:val="a4"/>
                  <w:sz w:val="20"/>
                  <w:szCs w:val="20"/>
                </w:rPr>
                <w:t>Condensed Consolidated Statements of Comprehensive Income for the Three and Nine Months Ended September 30, 2019 and 2018</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5</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hyperlink w:anchor="equity3mos" w:history="1">
              <w:r>
                <w:rPr>
                  <w:rStyle w:val="a4"/>
                  <w:rFonts w:eastAsia="Times New Roman"/>
                  <w:sz w:val="20"/>
                  <w:szCs w:val="20"/>
                </w:rPr>
                <w:t>Condensed Consolidated Statements of Changes in Equity f</w:t>
              </w:r>
              <w:r>
                <w:rPr>
                  <w:rStyle w:val="a4"/>
                  <w:rFonts w:eastAsia="Times New Roman"/>
                  <w:sz w:val="20"/>
                  <w:szCs w:val="20"/>
                </w:rPr>
                <w:t>or the Three Months Ended September 30, 2019 and 2018</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6</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hyperlink w:anchor="equity9mos" w:history="1">
              <w:r>
                <w:rPr>
                  <w:rStyle w:val="a4"/>
                  <w:rFonts w:eastAsia="Times New Roman"/>
                  <w:sz w:val="20"/>
                  <w:szCs w:val="20"/>
                </w:rPr>
                <w:t>Condensed Consolidated Statements of Changes in Equity for the Nine Months Ended September 30, 2019 and 2018</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7</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lastRenderedPageBreak/>
              <w:t> </w:t>
            </w:r>
          </w:p>
        </w:tc>
        <w:tc>
          <w:tcPr>
            <w:tcW w:w="4350" w:type="pct"/>
            <w:vAlign w:val="center"/>
            <w:hideMark/>
          </w:tcPr>
          <w:p w:rsidR="00000000" w:rsidRDefault="005F676C">
            <w:pPr>
              <w:rPr>
                <w:rFonts w:eastAsia="Times New Roman"/>
                <w:sz w:val="20"/>
                <w:szCs w:val="20"/>
              </w:rPr>
            </w:pPr>
            <w:hyperlink w:anchor="cashflow" w:history="1">
              <w:r>
                <w:rPr>
                  <w:rStyle w:val="a4"/>
                  <w:rFonts w:eastAsia="Times New Roman"/>
                  <w:sz w:val="20"/>
                  <w:szCs w:val="20"/>
                </w:rPr>
                <w:t>Condensed Consolidated Statements of Cash Flows for the Nine Months Ended September 30, 2019 and 2018</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8</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gridSpan w:val="2"/>
            <w:vAlign w:val="center"/>
            <w:hideMark/>
          </w:tcPr>
          <w:p w:rsidR="00000000" w:rsidRDefault="005F676C">
            <w:pPr>
              <w:rPr>
                <w:rFonts w:eastAsia="Times New Roman"/>
                <w:sz w:val="20"/>
                <w:szCs w:val="20"/>
              </w:rPr>
            </w:pPr>
            <w:hyperlink w:anchor="notes" w:history="1">
              <w:r>
                <w:rPr>
                  <w:rStyle w:val="a4"/>
                  <w:rFonts w:eastAsia="Times New Roman"/>
                  <w:sz w:val="20"/>
                  <w:szCs w:val="20"/>
                </w:rPr>
                <w:t>Notes to Condensed Consolidated Financial Statements.</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9</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2.</w:t>
            </w:r>
          </w:p>
        </w:tc>
        <w:tc>
          <w:tcPr>
            <w:tcW w:w="4350" w:type="pct"/>
            <w:vAlign w:val="center"/>
            <w:hideMark/>
          </w:tcPr>
          <w:p w:rsidR="00000000" w:rsidRDefault="005F676C">
            <w:pPr>
              <w:rPr>
                <w:rFonts w:eastAsia="Times New Roman"/>
                <w:sz w:val="20"/>
                <w:szCs w:val="20"/>
              </w:rPr>
            </w:pPr>
            <w:hyperlink w:anchor="item2" w:history="1">
              <w:r>
                <w:rPr>
                  <w:rStyle w:val="a4"/>
                  <w:rFonts w:eastAsia="Times New Roman"/>
                  <w:sz w:val="20"/>
                  <w:szCs w:val="20"/>
                </w:rPr>
                <w:t>Management's Discussion and Analysis of Financial Condition and Results of Operations.</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24</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3.</w:t>
            </w:r>
          </w:p>
        </w:tc>
        <w:tc>
          <w:tcPr>
            <w:tcW w:w="4350" w:type="pct"/>
            <w:vAlign w:val="center"/>
            <w:hideMark/>
          </w:tcPr>
          <w:p w:rsidR="00000000" w:rsidRDefault="005F676C">
            <w:pPr>
              <w:rPr>
                <w:rFonts w:eastAsia="Times New Roman"/>
                <w:sz w:val="20"/>
                <w:szCs w:val="20"/>
              </w:rPr>
            </w:pPr>
            <w:hyperlink w:anchor="item3" w:history="1">
              <w:r>
                <w:rPr>
                  <w:rStyle w:val="a4"/>
                  <w:rFonts w:eastAsia="Times New Roman"/>
                  <w:sz w:val="20"/>
                  <w:szCs w:val="20"/>
                </w:rPr>
                <w:t>Quantitative and Qualitative Disclosures About Market Risk.</w:t>
              </w:r>
            </w:hyperlink>
            <w:r>
              <w:rPr>
                <w:rFonts w:eastAsia="Times New Roman"/>
                <w:sz w:val="20"/>
                <w:szCs w:val="20"/>
              </w:rPr>
              <w:t> </w:t>
            </w:r>
          </w:p>
        </w:tc>
        <w:tc>
          <w:tcPr>
            <w:tcW w:w="250" w:type="pct"/>
            <w:vAlign w:val="center"/>
            <w:hideMark/>
          </w:tcPr>
          <w:p w:rsidR="00000000" w:rsidRDefault="005F676C">
            <w:pPr>
              <w:jc w:val="right"/>
              <w:rPr>
                <w:rFonts w:eastAsia="Times New Roman"/>
                <w:sz w:val="20"/>
                <w:szCs w:val="20"/>
              </w:rPr>
            </w:pPr>
            <w:r>
              <w:rPr>
                <w:rFonts w:eastAsia="Times New Roman"/>
                <w:sz w:val="20"/>
                <w:szCs w:val="20"/>
              </w:rPr>
              <w:t>36</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4.</w:t>
            </w:r>
          </w:p>
        </w:tc>
        <w:tc>
          <w:tcPr>
            <w:tcW w:w="4350" w:type="pct"/>
            <w:vAlign w:val="center"/>
            <w:hideMark/>
          </w:tcPr>
          <w:p w:rsidR="00000000" w:rsidRDefault="005F676C">
            <w:pPr>
              <w:rPr>
                <w:rFonts w:eastAsia="Times New Roman"/>
                <w:sz w:val="20"/>
                <w:szCs w:val="20"/>
              </w:rPr>
            </w:pPr>
            <w:hyperlink w:anchor="item4" w:history="1">
              <w:r>
                <w:rPr>
                  <w:rStyle w:val="a4"/>
                  <w:rFonts w:eastAsia="Times New Roman"/>
                  <w:sz w:val="20"/>
                  <w:szCs w:val="20"/>
                </w:rPr>
                <w:t>Controls and Procedures.</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36</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gridSpan w:val="3"/>
            <w:vAlign w:val="center"/>
            <w:hideMark/>
          </w:tcPr>
          <w:p w:rsidR="00000000" w:rsidRDefault="005F676C">
            <w:pPr>
              <w:jc w:val="center"/>
              <w:rPr>
                <w:rFonts w:eastAsia="Times New Roman"/>
                <w:sz w:val="20"/>
                <w:szCs w:val="20"/>
              </w:rPr>
            </w:pPr>
            <w:hyperlink w:anchor="part2" w:history="1">
              <w:r>
                <w:rPr>
                  <w:rStyle w:val="a4"/>
                  <w:rFonts w:eastAsia="Times New Roman"/>
                  <w:sz w:val="20"/>
                  <w:szCs w:val="20"/>
                </w:rPr>
                <w:t>PART II - OTHER INFORMATION</w:t>
              </w:r>
            </w:hyperlink>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1.</w:t>
            </w:r>
          </w:p>
        </w:tc>
        <w:tc>
          <w:tcPr>
            <w:tcW w:w="4350" w:type="pct"/>
            <w:vAlign w:val="center"/>
            <w:hideMark/>
          </w:tcPr>
          <w:p w:rsidR="00000000" w:rsidRDefault="005F676C">
            <w:pPr>
              <w:rPr>
                <w:rFonts w:eastAsia="Times New Roman"/>
                <w:sz w:val="20"/>
                <w:szCs w:val="20"/>
              </w:rPr>
            </w:pPr>
            <w:hyperlink w:anchor="anchor-2item1" w:history="1">
              <w:r>
                <w:rPr>
                  <w:rStyle w:val="a4"/>
                  <w:rFonts w:eastAsia="Times New Roman"/>
                  <w:sz w:val="20"/>
                  <w:szCs w:val="20"/>
                </w:rPr>
                <w:t>Legal Proceedings</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37</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1A.</w:t>
            </w:r>
          </w:p>
        </w:tc>
        <w:tc>
          <w:tcPr>
            <w:tcW w:w="4350" w:type="pct"/>
            <w:vAlign w:val="center"/>
            <w:hideMark/>
          </w:tcPr>
          <w:p w:rsidR="00000000" w:rsidRDefault="005F676C">
            <w:pPr>
              <w:rPr>
                <w:rFonts w:eastAsia="Times New Roman"/>
                <w:sz w:val="20"/>
                <w:szCs w:val="20"/>
              </w:rPr>
            </w:pPr>
            <w:hyperlink w:anchor="anchor-2item1a" w:history="1">
              <w:r>
                <w:rPr>
                  <w:rStyle w:val="a4"/>
                  <w:rFonts w:eastAsia="Times New Roman"/>
                  <w:sz w:val="20"/>
                  <w:szCs w:val="20"/>
                </w:rPr>
                <w:t>Risk Factors.</w:t>
              </w:r>
            </w:hyperlink>
            <w:r>
              <w:rPr>
                <w:rFonts w:eastAsia="Times New Roman"/>
                <w:sz w:val="20"/>
                <w:szCs w:val="20"/>
              </w:rPr>
              <w:t> </w:t>
            </w:r>
          </w:p>
        </w:tc>
        <w:tc>
          <w:tcPr>
            <w:tcW w:w="250" w:type="pct"/>
            <w:vAlign w:val="center"/>
            <w:hideMark/>
          </w:tcPr>
          <w:p w:rsidR="00000000" w:rsidRDefault="005F676C">
            <w:pPr>
              <w:jc w:val="right"/>
              <w:rPr>
                <w:rFonts w:eastAsia="Times New Roman"/>
                <w:sz w:val="20"/>
                <w:szCs w:val="20"/>
              </w:rPr>
            </w:pPr>
            <w:r>
              <w:rPr>
                <w:rFonts w:eastAsia="Times New Roman"/>
                <w:sz w:val="20"/>
                <w:szCs w:val="20"/>
              </w:rPr>
              <w:t>37</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2.</w:t>
            </w:r>
          </w:p>
        </w:tc>
        <w:tc>
          <w:tcPr>
            <w:tcW w:w="4350" w:type="pct"/>
            <w:vAlign w:val="center"/>
            <w:hideMark/>
          </w:tcPr>
          <w:p w:rsidR="00000000" w:rsidRDefault="005F676C">
            <w:pPr>
              <w:rPr>
                <w:rFonts w:eastAsia="Times New Roman"/>
                <w:sz w:val="20"/>
                <w:szCs w:val="20"/>
              </w:rPr>
            </w:pPr>
            <w:hyperlink w:anchor="anchor-2item2" w:history="1">
              <w:r>
                <w:rPr>
                  <w:rStyle w:val="a4"/>
                  <w:rFonts w:eastAsia="Times New Roman"/>
                  <w:sz w:val="20"/>
                  <w:szCs w:val="20"/>
                </w:rPr>
                <w:t>Unregistered Sales of Equity Securities and Use of Proceeds.</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37</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3.</w:t>
            </w:r>
          </w:p>
        </w:tc>
        <w:tc>
          <w:tcPr>
            <w:tcW w:w="4350" w:type="pct"/>
            <w:vAlign w:val="center"/>
            <w:hideMark/>
          </w:tcPr>
          <w:p w:rsidR="00000000" w:rsidRDefault="005F676C">
            <w:pPr>
              <w:rPr>
                <w:rFonts w:eastAsia="Times New Roman"/>
                <w:sz w:val="20"/>
                <w:szCs w:val="20"/>
              </w:rPr>
            </w:pPr>
            <w:hyperlink w:anchor="anchor-2item3" w:history="1">
              <w:r>
                <w:rPr>
                  <w:rStyle w:val="a4"/>
                  <w:rFonts w:eastAsia="Times New Roman"/>
                  <w:sz w:val="20"/>
                  <w:szCs w:val="20"/>
                </w:rPr>
                <w:t>Defaults Upon Senior Securities.</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37</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4.</w:t>
            </w:r>
          </w:p>
        </w:tc>
        <w:tc>
          <w:tcPr>
            <w:tcW w:w="4350" w:type="pct"/>
            <w:vAlign w:val="center"/>
            <w:hideMark/>
          </w:tcPr>
          <w:p w:rsidR="00000000" w:rsidRDefault="005F676C">
            <w:pPr>
              <w:rPr>
                <w:rFonts w:eastAsia="Times New Roman"/>
                <w:sz w:val="20"/>
                <w:szCs w:val="20"/>
              </w:rPr>
            </w:pPr>
            <w:hyperlink w:anchor="anchor-2item4" w:history="1">
              <w:r>
                <w:rPr>
                  <w:rStyle w:val="a4"/>
                  <w:rFonts w:eastAsia="Times New Roman"/>
                  <w:sz w:val="20"/>
                  <w:szCs w:val="20"/>
                </w:rPr>
                <w:t>Mine Safety Disclosures.</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37</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5.</w:t>
            </w:r>
          </w:p>
        </w:tc>
        <w:tc>
          <w:tcPr>
            <w:tcW w:w="4350" w:type="pct"/>
            <w:vAlign w:val="center"/>
            <w:hideMark/>
          </w:tcPr>
          <w:p w:rsidR="00000000" w:rsidRDefault="005F676C">
            <w:pPr>
              <w:rPr>
                <w:rFonts w:eastAsia="Times New Roman"/>
                <w:sz w:val="20"/>
                <w:szCs w:val="20"/>
              </w:rPr>
            </w:pPr>
            <w:hyperlink w:anchor="anchor-2item5" w:history="1">
              <w:r>
                <w:rPr>
                  <w:rStyle w:val="a4"/>
                  <w:rFonts w:eastAsia="Times New Roman"/>
                  <w:sz w:val="20"/>
                  <w:szCs w:val="20"/>
                </w:rPr>
                <w:t>Other Information.</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38</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Item 6.</w:t>
            </w:r>
          </w:p>
        </w:tc>
        <w:tc>
          <w:tcPr>
            <w:tcW w:w="4350" w:type="pct"/>
            <w:vAlign w:val="center"/>
            <w:hideMark/>
          </w:tcPr>
          <w:p w:rsidR="00000000" w:rsidRDefault="005F676C">
            <w:pPr>
              <w:rPr>
                <w:rFonts w:eastAsia="Times New Roman"/>
                <w:sz w:val="20"/>
                <w:szCs w:val="20"/>
              </w:rPr>
            </w:pPr>
            <w:hyperlink w:anchor="anchor-2tiem6" w:history="1">
              <w:r>
                <w:rPr>
                  <w:rStyle w:val="a4"/>
                  <w:rFonts w:eastAsia="Times New Roman"/>
                  <w:sz w:val="20"/>
                  <w:szCs w:val="20"/>
                </w:rPr>
                <w:t>Exhibits.</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38</w:t>
            </w:r>
          </w:p>
        </w:tc>
      </w:tr>
      <w:tr w:rsidR="00000000">
        <w:trPr>
          <w:divId w:val="1567255731"/>
          <w:tblCellSpacing w:w="0" w:type="dxa"/>
        </w:trPr>
        <w:tc>
          <w:tcPr>
            <w:tcW w:w="400" w:type="pct"/>
            <w:vAlign w:val="center"/>
            <w:hideMark/>
          </w:tcPr>
          <w:p w:rsidR="00000000" w:rsidRDefault="005F676C">
            <w:pPr>
              <w:rPr>
                <w:rFonts w:eastAsia="Times New Roman"/>
                <w:sz w:val="20"/>
                <w:szCs w:val="20"/>
              </w:rPr>
            </w:pPr>
            <w:r>
              <w:rPr>
                <w:rFonts w:eastAsia="Times New Roman"/>
                <w:sz w:val="20"/>
                <w:szCs w:val="20"/>
              </w:rPr>
              <w:t> </w:t>
            </w:r>
          </w:p>
        </w:tc>
        <w:tc>
          <w:tcPr>
            <w:tcW w:w="4350" w:type="pct"/>
            <w:vAlign w:val="center"/>
            <w:hideMark/>
          </w:tcPr>
          <w:p w:rsidR="00000000" w:rsidRDefault="005F676C">
            <w:pPr>
              <w:rPr>
                <w:rFonts w:eastAsia="Times New Roman"/>
                <w:sz w:val="20"/>
                <w:szCs w:val="20"/>
              </w:rPr>
            </w:pPr>
            <w:r>
              <w:rPr>
                <w:rFonts w:eastAsia="Times New Roman"/>
                <w:sz w:val="20"/>
                <w:szCs w:val="20"/>
              </w:rPr>
              <w:t> </w:t>
            </w:r>
          </w:p>
        </w:tc>
        <w:tc>
          <w:tcPr>
            <w:tcW w:w="250" w:type="pct"/>
            <w:vAlign w:val="center"/>
            <w:hideMark/>
          </w:tcPr>
          <w:p w:rsidR="00000000" w:rsidRDefault="005F676C">
            <w:pPr>
              <w:rPr>
                <w:rFonts w:eastAsia="Times New Roman"/>
                <w:sz w:val="20"/>
                <w:szCs w:val="20"/>
              </w:rPr>
            </w:pPr>
            <w:r>
              <w:rPr>
                <w:rFonts w:eastAsia="Times New Roman"/>
                <w:sz w:val="20"/>
                <w:szCs w:val="20"/>
              </w:rPr>
              <w:t> </w:t>
            </w:r>
          </w:p>
        </w:tc>
      </w:tr>
      <w:tr w:rsidR="00000000">
        <w:trPr>
          <w:divId w:val="1567255731"/>
          <w:tblCellSpacing w:w="0" w:type="dxa"/>
        </w:trPr>
        <w:tc>
          <w:tcPr>
            <w:tcW w:w="400" w:type="pct"/>
            <w:gridSpan w:val="2"/>
            <w:vAlign w:val="center"/>
            <w:hideMark/>
          </w:tcPr>
          <w:p w:rsidR="00000000" w:rsidRDefault="005F676C">
            <w:pPr>
              <w:rPr>
                <w:rFonts w:eastAsia="Times New Roman"/>
                <w:sz w:val="20"/>
                <w:szCs w:val="20"/>
              </w:rPr>
            </w:pPr>
            <w:hyperlink w:anchor="sigs" w:history="1">
              <w:r>
                <w:rPr>
                  <w:rStyle w:val="a4"/>
                  <w:rFonts w:eastAsia="Times New Roman"/>
                  <w:sz w:val="20"/>
                  <w:szCs w:val="20"/>
                </w:rPr>
                <w:t>Signatures</w:t>
              </w:r>
            </w:hyperlink>
          </w:p>
        </w:tc>
        <w:tc>
          <w:tcPr>
            <w:tcW w:w="250" w:type="pct"/>
            <w:vAlign w:val="center"/>
            <w:hideMark/>
          </w:tcPr>
          <w:p w:rsidR="00000000" w:rsidRDefault="005F676C">
            <w:pPr>
              <w:jc w:val="right"/>
              <w:rPr>
                <w:rFonts w:eastAsia="Times New Roman"/>
                <w:sz w:val="20"/>
                <w:szCs w:val="20"/>
              </w:rPr>
            </w:pPr>
            <w:r>
              <w:rPr>
                <w:rFonts w:eastAsia="Times New Roman"/>
                <w:sz w:val="20"/>
                <w:szCs w:val="20"/>
              </w:rPr>
              <w:t>39</w:t>
            </w:r>
          </w:p>
        </w:tc>
      </w:tr>
    </w:tbl>
    <w:p w:rsidR="00000000" w:rsidRDefault="005F676C">
      <w:pPr>
        <w:pStyle w:val="a3"/>
        <w:spacing w:before="0" w:beforeAutospacing="0" w:after="0" w:afterAutospacing="0"/>
        <w:divId w:val="1567255731"/>
        <w:rPr>
          <w:sz w:val="20"/>
          <w:szCs w:val="20"/>
        </w:rPr>
      </w:pPr>
      <w:r>
        <w:rPr>
          <w:b/>
          <w:bCs/>
          <w:sz w:val="20"/>
          <w:szCs w:val="20"/>
        </w:rPr>
        <w:t> </w:t>
      </w:r>
    </w:p>
    <w:p w:rsidR="00000000" w:rsidRDefault="005F676C">
      <w:pPr>
        <w:jc w:val="center"/>
        <w:divId w:val="1036662968"/>
        <w:rPr>
          <w:rFonts w:eastAsia="Times New Roman"/>
          <w:sz w:val="20"/>
          <w:szCs w:val="20"/>
        </w:rPr>
      </w:pPr>
      <w:r>
        <w:rPr>
          <w:rFonts w:eastAsia="Times New Roman"/>
          <w:sz w:val="20"/>
          <w:szCs w:val="20"/>
        </w:rPr>
        <w:t xml:space="preserve">2 </w:t>
      </w:r>
    </w:p>
    <w:p w:rsidR="00000000" w:rsidRDefault="005F676C">
      <w:pPr>
        <w:divId w:val="1036662968"/>
        <w:rPr>
          <w:rFonts w:eastAsia="Times New Roman"/>
          <w:sz w:val="20"/>
          <w:szCs w:val="20"/>
        </w:rPr>
      </w:pPr>
      <w:r>
        <w:rPr>
          <w:rFonts w:eastAsia="Times New Roman"/>
          <w:sz w:val="20"/>
          <w:szCs w:val="20"/>
        </w:rPr>
        <w:pict>
          <v:rect id="_x0000_i1030" style="width:0;height:1.5pt" o:hralign="center" o:hrstd="t" o:hr="t" fillcolor="#a0a0a0" stroked="f"/>
        </w:pict>
      </w:r>
    </w:p>
    <w:p w:rsidR="00000000" w:rsidRDefault="005F676C">
      <w:pPr>
        <w:divId w:val="103666296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divId w:val="332727042"/>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KIMCO REALTY CORPORATION AND SUBSIDIARIES</w:t>
      </w:r>
    </w:p>
    <w:p w:rsidR="00000000" w:rsidRDefault="005F676C">
      <w:pPr>
        <w:pStyle w:val="a3"/>
        <w:spacing w:before="0" w:beforeAutospacing="0" w:after="0" w:afterAutospacing="0"/>
        <w:jc w:val="center"/>
        <w:rPr>
          <w:sz w:val="20"/>
          <w:szCs w:val="20"/>
        </w:rPr>
      </w:pPr>
      <w:r>
        <w:rPr>
          <w:sz w:val="20"/>
          <w:szCs w:val="20"/>
        </w:rPr>
        <w:t>CONDENSED CONSOLIDATED BALANCE SHEETS</w:t>
      </w:r>
    </w:p>
    <w:p w:rsidR="00000000" w:rsidRDefault="005F676C">
      <w:pPr>
        <w:pStyle w:val="a3"/>
        <w:spacing w:before="0" w:beforeAutospacing="0" w:after="0" w:afterAutospacing="0"/>
        <w:jc w:val="center"/>
        <w:rPr>
          <w:sz w:val="20"/>
          <w:szCs w:val="20"/>
        </w:rPr>
      </w:pPr>
      <w:r>
        <w:rPr>
          <w:sz w:val="20"/>
          <w:szCs w:val="20"/>
        </w:rPr>
        <w:t>(Unaudited)</w:t>
      </w:r>
    </w:p>
    <w:p w:rsidR="00000000" w:rsidRDefault="005F676C">
      <w:pPr>
        <w:pStyle w:val="a3"/>
        <w:spacing w:before="0" w:beforeAutospacing="0" w:after="0" w:afterAutospacing="0"/>
        <w:jc w:val="center"/>
        <w:rPr>
          <w:sz w:val="20"/>
          <w:szCs w:val="20"/>
        </w:rPr>
      </w:pPr>
      <w:r>
        <w:rPr>
          <w:sz w:val="20"/>
          <w:szCs w:val="20"/>
        </w:rPr>
        <w:t>(in thousands, except share information)</w:t>
      </w:r>
    </w:p>
    <w:p w:rsidR="00000000" w:rsidRDefault="005F676C">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652559314"/>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September 30, 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December 31, 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Assets:</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Real estate, net of accumulated depreciation and amortization of $2,474,243 and $2,385,287, respectively</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9,172,123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9,250,519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Real estate under development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300,976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241,384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585,467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570,922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Other real estate investments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194,675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192,123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Cash and cash equivalents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141,310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143,581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Accounts and notes receivable,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191,436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184,528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Operating lease right-of-use assets,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98,210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400,934</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416,043</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Total assets (1)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11,085,131</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10,999,100</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Liabilities:</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Notes payable,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4,829,996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4,381,456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Mortgages and construction loan payable,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482,632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492,416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Dividends payable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126,203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130,262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Operating lease liabilities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91,621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Other liabilities</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556,515</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560,231</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lastRenderedPageBreak/>
              <w:t>Total liabilities (2)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6,086,967</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5,564,365</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Redeemable noncontrolling interests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23,695</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23,682</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Commitments and Contingencies</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Stockholders' equity:</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ind w:left="540" w:hanging="180"/>
              <w:rPr>
                <w:sz w:val="20"/>
                <w:szCs w:val="20"/>
              </w:rPr>
            </w:pPr>
            <w:r>
              <w:rPr>
                <w:sz w:val="20"/>
                <w:szCs w:val="20"/>
              </w:rPr>
              <w:t>Preferred stock, $1.00 par value, authorized 7,054,000 shares; undesignated 6,010,240 and 5,996,240 shares, respectively; Issued and outstanding (in series) 28,580 and 42,580 shares, respectively; Aggregate liquidation preference $714,500 and $1,064,500, r</w:t>
            </w:r>
            <w:r>
              <w:rPr>
                <w:sz w:val="20"/>
                <w:szCs w:val="20"/>
              </w:rPr>
              <w:t>espectively</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ind w:left="540" w:hanging="180"/>
              <w:rPr>
                <w:sz w:val="20"/>
                <w:szCs w:val="20"/>
              </w:rPr>
            </w:pPr>
            <w:r>
              <w:rPr>
                <w:sz w:val="20"/>
                <w:szCs w:val="20"/>
              </w:rPr>
              <w:t>Common stock, $.01 par value, authorized 750,000,000 shares; issued and outstanding 422,230,015 and 421,388,879 shares, respectively</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4,222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4,214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Paid-in capital</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5,781,371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6,117,254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Cumulative distributions in excess of net income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(883,741</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(787,707</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Total stockholders' equity</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4,901,881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5,333,804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Noncontrolling interests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72,588</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77,249</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Total equity</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4,974,469</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5,411,053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652559314"/>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Total liabilities and equity</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11,085,131</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10,999,100</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676C">
            <w:pPr>
              <w:pStyle w:val="a3"/>
              <w:spacing w:before="0" w:beforeAutospacing="0" w:after="0" w:afterAutospacing="0"/>
              <w:rPr>
                <w:sz w:val="20"/>
                <w:szCs w:val="20"/>
              </w:rPr>
            </w:pPr>
            <w:r>
              <w:rPr>
                <w:sz w:val="20"/>
                <w:szCs w:val="20"/>
              </w:rPr>
              <w:t>(1)</w:t>
            </w:r>
          </w:p>
        </w:tc>
        <w:tc>
          <w:tcPr>
            <w:tcW w:w="0" w:type="auto"/>
            <w:hideMark/>
          </w:tcPr>
          <w:p w:rsidR="00000000" w:rsidRDefault="005F676C">
            <w:pPr>
              <w:pStyle w:val="a3"/>
              <w:spacing w:before="0" w:beforeAutospacing="0" w:after="0" w:afterAutospacing="0"/>
              <w:jc w:val="both"/>
              <w:rPr>
                <w:sz w:val="20"/>
                <w:szCs w:val="20"/>
              </w:rPr>
            </w:pPr>
            <w:r>
              <w:rPr>
                <w:sz w:val="20"/>
                <w:szCs w:val="20"/>
              </w:rPr>
              <w:t>Includes restricted assets of consolidated variable interest entities (“VIEs”</w:t>
            </w:r>
            <w:r>
              <w:rPr>
                <w:sz w:val="20"/>
                <w:szCs w:val="20"/>
              </w:rPr>
              <w:t>) at September 30, 2019 and December 31, 2018 of $229,716 and $239,012, respectively.  See Footnote 11 of the Notes to Condensed Consolidated Financial Statements.</w:t>
            </w:r>
          </w:p>
        </w:tc>
      </w:tr>
      <w:tr w:rsidR="00000000">
        <w:trPr>
          <w:tblCellSpacing w:w="0" w:type="dxa"/>
        </w:trPr>
        <w:tc>
          <w:tcPr>
            <w:tcW w:w="360" w:type="dxa"/>
            <w:hideMark/>
          </w:tcPr>
          <w:p w:rsidR="00000000" w:rsidRDefault="005F676C">
            <w:pPr>
              <w:pStyle w:val="a3"/>
              <w:spacing w:before="0" w:beforeAutospacing="0" w:after="0" w:afterAutospacing="0"/>
              <w:rPr>
                <w:sz w:val="20"/>
                <w:szCs w:val="20"/>
              </w:rPr>
            </w:pPr>
            <w:r>
              <w:rPr>
                <w:sz w:val="20"/>
                <w:szCs w:val="20"/>
              </w:rPr>
              <w:t> </w:t>
            </w:r>
          </w:p>
        </w:tc>
        <w:tc>
          <w:tcPr>
            <w:tcW w:w="0" w:type="auto"/>
            <w:hideMark/>
          </w:tcPr>
          <w:p w:rsidR="00000000" w:rsidRDefault="005F676C">
            <w:pPr>
              <w:rPr>
                <w:rFonts w:eastAsia="Times New Roman"/>
              </w:rPr>
            </w:pPr>
            <w:r>
              <w:rPr>
                <w:rFonts w:eastAsia="Times New Roman"/>
              </w:rPr>
              <w:t> </w:t>
            </w:r>
          </w:p>
        </w:tc>
      </w:tr>
      <w:tr w:rsidR="00000000">
        <w:trPr>
          <w:tblCellSpacing w:w="0" w:type="dxa"/>
        </w:trPr>
        <w:tc>
          <w:tcPr>
            <w:tcW w:w="360" w:type="dxa"/>
            <w:hideMark/>
          </w:tcPr>
          <w:p w:rsidR="00000000" w:rsidRDefault="005F676C">
            <w:pPr>
              <w:pStyle w:val="a3"/>
              <w:spacing w:before="0" w:beforeAutospacing="0" w:after="0" w:afterAutospacing="0"/>
              <w:rPr>
                <w:sz w:val="20"/>
                <w:szCs w:val="20"/>
              </w:rPr>
            </w:pPr>
            <w:r>
              <w:rPr>
                <w:sz w:val="20"/>
                <w:szCs w:val="20"/>
              </w:rPr>
              <w:t>(2)</w:t>
            </w:r>
          </w:p>
        </w:tc>
        <w:tc>
          <w:tcPr>
            <w:tcW w:w="0" w:type="auto"/>
            <w:hideMark/>
          </w:tcPr>
          <w:p w:rsidR="00000000" w:rsidRDefault="005F676C">
            <w:pPr>
              <w:pStyle w:val="a3"/>
              <w:spacing w:before="0" w:beforeAutospacing="0" w:after="0" w:afterAutospacing="0"/>
              <w:rPr>
                <w:sz w:val="20"/>
                <w:szCs w:val="20"/>
              </w:rPr>
            </w:pPr>
            <w:r>
              <w:rPr>
                <w:sz w:val="20"/>
                <w:szCs w:val="20"/>
              </w:rPr>
              <w:t>Includes non-recourse liabilities of consolidated VIEs at September 30, 2019 and December 31, 2018 of $149,529 and $143,186, respectively.  See Footnote 11 of the Notes to Condensed Consolidated Financial Statements.</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The accompanying notes are an inte</w:t>
      </w:r>
      <w:r>
        <w:rPr>
          <w:sz w:val="20"/>
          <w:szCs w:val="20"/>
        </w:rPr>
        <w:t>gral part of these condensed consolidated financial statements.</w:t>
      </w:r>
    </w:p>
    <w:p w:rsidR="00000000" w:rsidRDefault="005F676C">
      <w:pPr>
        <w:pStyle w:val="a3"/>
        <w:spacing w:before="0" w:beforeAutospacing="0" w:after="0" w:afterAutospacing="0"/>
        <w:jc w:val="center"/>
        <w:rPr>
          <w:sz w:val="20"/>
          <w:szCs w:val="20"/>
        </w:rPr>
      </w:pPr>
      <w:r>
        <w:rPr>
          <w:sz w:val="20"/>
          <w:szCs w:val="20"/>
        </w:rPr>
        <w:t> </w:t>
      </w:r>
    </w:p>
    <w:p w:rsidR="00000000" w:rsidRDefault="005F676C">
      <w:pPr>
        <w:jc w:val="center"/>
        <w:divId w:val="72702598"/>
        <w:rPr>
          <w:rFonts w:eastAsia="Times New Roman"/>
          <w:sz w:val="20"/>
          <w:szCs w:val="20"/>
        </w:rPr>
      </w:pPr>
      <w:r>
        <w:rPr>
          <w:rFonts w:eastAsia="Times New Roman"/>
          <w:sz w:val="20"/>
          <w:szCs w:val="20"/>
        </w:rPr>
        <w:t xml:space="preserve">3 </w:t>
      </w:r>
    </w:p>
    <w:p w:rsidR="00000000" w:rsidRDefault="005F676C">
      <w:pPr>
        <w:divId w:val="72702598"/>
        <w:rPr>
          <w:rFonts w:eastAsia="Times New Roman"/>
          <w:sz w:val="20"/>
          <w:szCs w:val="20"/>
        </w:rPr>
      </w:pPr>
      <w:r>
        <w:rPr>
          <w:rFonts w:eastAsia="Times New Roman"/>
          <w:sz w:val="20"/>
          <w:szCs w:val="20"/>
        </w:rPr>
        <w:pict>
          <v:rect id="_x0000_i1031" style="width:0;height:1.5pt" o:hralign="center" o:hrstd="t" o:hr="t" fillcolor="#a0a0a0" stroked="f"/>
        </w:pict>
      </w:r>
    </w:p>
    <w:p w:rsidR="00000000" w:rsidRDefault="005F676C">
      <w:pPr>
        <w:divId w:val="72702598"/>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divId w:val="1760129780"/>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KIMCO REALTY CORPORATION AND SUBSIDIARIES</w:t>
      </w:r>
    </w:p>
    <w:p w:rsidR="00000000" w:rsidRDefault="005F676C">
      <w:pPr>
        <w:pStyle w:val="a3"/>
        <w:spacing w:before="0" w:beforeAutospacing="0" w:after="0" w:afterAutospacing="0"/>
        <w:jc w:val="center"/>
        <w:rPr>
          <w:sz w:val="20"/>
          <w:szCs w:val="20"/>
        </w:rPr>
      </w:pPr>
      <w:r>
        <w:rPr>
          <w:sz w:val="20"/>
          <w:szCs w:val="20"/>
        </w:rPr>
        <w:t>CONDENSED CONSOLIDATED</w:t>
      </w:r>
      <w:r>
        <w:rPr>
          <w:sz w:val="20"/>
          <w:szCs w:val="20"/>
        </w:rPr>
        <w:t xml:space="preserve"> STATEMENTS OF INCOME</w:t>
      </w:r>
    </w:p>
    <w:p w:rsidR="00000000" w:rsidRDefault="005F676C">
      <w:pPr>
        <w:pStyle w:val="a3"/>
        <w:spacing w:before="0" w:beforeAutospacing="0" w:after="0" w:afterAutospacing="0"/>
        <w:jc w:val="center"/>
        <w:rPr>
          <w:sz w:val="20"/>
          <w:szCs w:val="20"/>
        </w:rPr>
      </w:pPr>
      <w:r>
        <w:rPr>
          <w:sz w:val="20"/>
          <w:szCs w:val="20"/>
        </w:rPr>
        <w:t>(Unaudited)</w:t>
      </w:r>
    </w:p>
    <w:p w:rsidR="00000000" w:rsidRDefault="005F676C">
      <w:pPr>
        <w:pStyle w:val="a3"/>
        <w:spacing w:before="0" w:beforeAutospacing="0" w:after="0" w:afterAutospacing="0"/>
        <w:jc w:val="center"/>
        <w:rPr>
          <w:sz w:val="20"/>
          <w:szCs w:val="20"/>
        </w:rPr>
      </w:pPr>
      <w:r>
        <w:rPr>
          <w:sz w:val="20"/>
          <w:szCs w:val="20"/>
        </w:rPr>
        <w:t>(in thousands, except per share data)</w:t>
      </w:r>
    </w:p>
    <w:p w:rsidR="00000000" w:rsidRDefault="005F676C">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127"/>
        <w:gridCol w:w="82"/>
        <w:gridCol w:w="100"/>
        <w:gridCol w:w="779"/>
        <w:gridCol w:w="83"/>
        <w:gridCol w:w="83"/>
        <w:gridCol w:w="100"/>
        <w:gridCol w:w="779"/>
        <w:gridCol w:w="83"/>
        <w:gridCol w:w="83"/>
        <w:gridCol w:w="100"/>
        <w:gridCol w:w="779"/>
        <w:gridCol w:w="83"/>
        <w:gridCol w:w="83"/>
        <w:gridCol w:w="100"/>
        <w:gridCol w:w="779"/>
        <w:gridCol w:w="83"/>
      </w:tblGrid>
      <w:tr w:rsidR="00000000">
        <w:trPr>
          <w:divId w:val="961762627"/>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6"/>
            <w:vAlign w:val="bottom"/>
            <w:hideMark/>
          </w:tcPr>
          <w:p w:rsidR="00000000" w:rsidRDefault="005F676C">
            <w:pPr>
              <w:pStyle w:val="a3"/>
              <w:spacing w:before="0" w:beforeAutospacing="0" w:after="0" w:afterAutospacing="0"/>
              <w:jc w:val="center"/>
              <w:rPr>
                <w:sz w:val="20"/>
                <w:szCs w:val="20"/>
              </w:rPr>
            </w:pPr>
            <w:r>
              <w:rPr>
                <w:b/>
                <w:bCs/>
                <w:sz w:val="20"/>
                <w:szCs w:val="20"/>
              </w:rPr>
              <w:t xml:space="preserve">Three Months Ended September 30,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6"/>
            <w:vAlign w:val="bottom"/>
            <w:hideMark/>
          </w:tcPr>
          <w:p w:rsidR="00000000" w:rsidRDefault="005F676C">
            <w:pPr>
              <w:pStyle w:val="a3"/>
              <w:spacing w:before="0" w:beforeAutospacing="0" w:after="0" w:afterAutospacing="0"/>
              <w:jc w:val="center"/>
              <w:rPr>
                <w:sz w:val="20"/>
                <w:szCs w:val="20"/>
              </w:rPr>
            </w:pPr>
            <w:r>
              <w:rPr>
                <w:b/>
                <w:bCs/>
                <w:sz w:val="20"/>
                <w:szCs w:val="20"/>
              </w:rPr>
              <w:t xml:space="preserve">Nine Months Ended September 30,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Revenues</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2375"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Revenues from rental properties,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279,181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278,699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850,525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867,799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3,690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4,381</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12,229</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720"/>
              <w:rPr>
                <w:sz w:val="20"/>
                <w:szCs w:val="20"/>
              </w:rPr>
            </w:pPr>
            <w:r>
              <w:rPr>
                <w:sz w:val="20"/>
                <w:szCs w:val="20"/>
              </w:rPr>
              <w:t>Total revenues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282,871</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283,080</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862,754</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880,561</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Operating expenses</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Rent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(2,836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(2,702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(8,452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(8,262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(37,519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(37,862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(113,871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(115,570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Operating and maintenance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(39,758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(39,265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(123,871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(123,921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General and administrative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(23,832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(21,348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(72,296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(67,775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Provision for doubtful accounts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(1,389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(4,571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Impairment charges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(19,609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(3,336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(41,235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(33,855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(68,874</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(74,972</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(209,440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(236,114</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900"/>
              <w:rPr>
                <w:sz w:val="20"/>
                <w:szCs w:val="20"/>
              </w:rPr>
            </w:pPr>
            <w:r>
              <w:rPr>
                <w:sz w:val="20"/>
                <w:szCs w:val="20"/>
              </w:rPr>
              <w:lastRenderedPageBreak/>
              <w:t>Total operating expenses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(192,428</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(180,874</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(569,165</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(590,068</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Gain on sale of properties/change in control of interests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9,025</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28,250</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47,382</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180,461</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Operating income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99,468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130,456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340,971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470,954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Other income/(expense)</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Other income,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4,327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5,219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8,887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14,675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Interest expense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(43,146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(44,081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(131,638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(140,458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180" w:hanging="180"/>
              <w:rPr>
                <w:sz w:val="20"/>
                <w:szCs w:val="20"/>
              </w:rPr>
            </w:pPr>
            <w:r>
              <w:rPr>
                <w:sz w:val="20"/>
                <w:szCs w:val="20"/>
              </w:rPr>
              <w:t>Income before income taxes, net, equity in income of joint ventures, net, and equity in income from other real estate investments,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60,649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78,832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218,220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332,409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Benefit for income taxes,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3,866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315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3,580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983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17,673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16,533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58,960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52,486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3,265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5,045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22,758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24,638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540"/>
              <w:rPr>
                <w:sz w:val="20"/>
                <w:szCs w:val="20"/>
              </w:rPr>
            </w:pPr>
            <w:r>
              <w:rPr>
                <w:sz w:val="20"/>
                <w:szCs w:val="20"/>
              </w:rPr>
              <w:t>Net income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85,453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100,725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303,518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410,516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(1,463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(567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(2,332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(882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540"/>
              <w:rPr>
                <w:sz w:val="20"/>
                <w:szCs w:val="20"/>
              </w:rPr>
            </w:pPr>
            <w:r>
              <w:rPr>
                <w:sz w:val="20"/>
                <w:szCs w:val="20"/>
              </w:rPr>
              <w:t>Net income attributable to the Company</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83,990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100,158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301,186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409,634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Preferred stock redemption charges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(11,369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(11,369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Preferred dividends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(13,573</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(14,534</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(42,641</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(43,657</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divId w:val="961762627"/>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540"/>
              <w:rPr>
                <w:sz w:val="20"/>
                <w:szCs w:val="20"/>
              </w:rPr>
            </w:pPr>
            <w:r>
              <w:rPr>
                <w:sz w:val="20"/>
                <w:szCs w:val="20"/>
              </w:rPr>
              <w:t>Net income available to the Company's common shareholders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59,048</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85,624</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247,176</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365,977</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Per common share:</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Net income available to the Company:</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720"/>
              <w:rPr>
                <w:sz w:val="20"/>
                <w:szCs w:val="20"/>
              </w:rPr>
            </w:pPr>
            <w:r>
              <w:rPr>
                <w:sz w:val="20"/>
                <w:szCs w:val="20"/>
              </w:rPr>
              <w:t>-Basic</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0.14</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0.19</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0.58</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0.86</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720"/>
              <w:rPr>
                <w:sz w:val="20"/>
                <w:szCs w:val="20"/>
              </w:rPr>
            </w:pPr>
            <w:r>
              <w:rPr>
                <w:sz w:val="20"/>
                <w:szCs w:val="20"/>
              </w:rPr>
              <w:t>-Diluted</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0.14</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0.19</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0.58</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0.85</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Weighted average shares:</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CCEEFF"/>
            <w:vAlign w:val="bottom"/>
            <w:hideMark/>
          </w:tcPr>
          <w:p w:rsidR="00000000" w:rsidRDefault="005F676C">
            <w:pPr>
              <w:pStyle w:val="a3"/>
              <w:spacing w:before="0" w:beforeAutospacing="0" w:after="0" w:afterAutospacing="0"/>
              <w:ind w:left="720"/>
              <w:rPr>
                <w:sz w:val="20"/>
                <w:szCs w:val="20"/>
              </w:rPr>
            </w:pPr>
            <w:r>
              <w:rPr>
                <w:sz w:val="20"/>
                <w:szCs w:val="20"/>
              </w:rPr>
              <w:t>-Basic</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419,823</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419,230</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419,663</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421,106</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961762627"/>
          <w:tblCellSpacing w:w="0" w:type="dxa"/>
        </w:trPr>
        <w:tc>
          <w:tcPr>
            <w:tcW w:w="0" w:type="auto"/>
            <w:shd w:val="clear" w:color="auto" w:fill="FFFFFF"/>
            <w:vAlign w:val="bottom"/>
            <w:hideMark/>
          </w:tcPr>
          <w:p w:rsidR="00000000" w:rsidRDefault="005F676C">
            <w:pPr>
              <w:pStyle w:val="a3"/>
              <w:spacing w:before="0" w:beforeAutospacing="0" w:after="0" w:afterAutospacing="0"/>
              <w:ind w:left="720"/>
              <w:rPr>
                <w:sz w:val="20"/>
                <w:szCs w:val="20"/>
              </w:rPr>
            </w:pPr>
            <w:r>
              <w:rPr>
                <w:sz w:val="20"/>
                <w:szCs w:val="20"/>
              </w:rPr>
              <w:t>-Diluted</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421,002</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419,764</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420,986</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422,443</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b/>
          <w:bCs/>
          <w:sz w:val="20"/>
          <w:szCs w:val="20"/>
        </w:rPr>
        <w:t>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5F676C">
      <w:pPr>
        <w:pStyle w:val="a3"/>
        <w:spacing w:before="0" w:beforeAutospacing="0" w:after="0" w:afterAutospacing="0"/>
        <w:jc w:val="center"/>
        <w:rPr>
          <w:sz w:val="20"/>
          <w:szCs w:val="20"/>
        </w:rPr>
      </w:pPr>
      <w:r>
        <w:rPr>
          <w:sz w:val="20"/>
          <w:szCs w:val="20"/>
        </w:rPr>
        <w:t> </w:t>
      </w:r>
    </w:p>
    <w:p w:rsidR="00000000" w:rsidRDefault="005F676C">
      <w:pPr>
        <w:jc w:val="center"/>
        <w:divId w:val="165442661"/>
        <w:rPr>
          <w:rFonts w:eastAsia="Times New Roman"/>
          <w:sz w:val="20"/>
          <w:szCs w:val="20"/>
        </w:rPr>
      </w:pPr>
      <w:r>
        <w:rPr>
          <w:rFonts w:eastAsia="Times New Roman"/>
          <w:sz w:val="20"/>
          <w:szCs w:val="20"/>
        </w:rPr>
        <w:t xml:space="preserve">4 </w:t>
      </w:r>
    </w:p>
    <w:p w:rsidR="00000000" w:rsidRDefault="005F676C">
      <w:pPr>
        <w:divId w:val="165442661"/>
        <w:rPr>
          <w:rFonts w:eastAsia="Times New Roman"/>
          <w:sz w:val="20"/>
          <w:szCs w:val="20"/>
        </w:rPr>
      </w:pPr>
      <w:r>
        <w:rPr>
          <w:rFonts w:eastAsia="Times New Roman"/>
          <w:sz w:val="20"/>
          <w:szCs w:val="20"/>
        </w:rPr>
        <w:pict>
          <v:rect id="_x0000_i1032" style="width:0;height:1.5pt" o:hralign="center" o:hrstd="t" o:hr="t" fillcolor="#a0a0a0" stroked="f"/>
        </w:pict>
      </w:r>
    </w:p>
    <w:p w:rsidR="00000000" w:rsidRDefault="005F676C">
      <w:pPr>
        <w:divId w:val="16544266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divId w:val="71705396"/>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KIMCO REALTY CORPORATION AND SUBSIDIARIES</w:t>
      </w:r>
    </w:p>
    <w:p w:rsidR="00000000" w:rsidRDefault="005F676C">
      <w:pPr>
        <w:pStyle w:val="a3"/>
        <w:spacing w:before="0" w:beforeAutospacing="0" w:after="0" w:afterAutospacing="0"/>
        <w:jc w:val="center"/>
        <w:rPr>
          <w:sz w:val="20"/>
          <w:szCs w:val="20"/>
        </w:rPr>
      </w:pPr>
      <w:r>
        <w:rPr>
          <w:sz w:val="20"/>
          <w:szCs w:val="20"/>
        </w:rPr>
        <w:t>CONDENSED CONSOLIDATED STATEMENTS OF COMPREHENSIVE INCOME</w:t>
      </w:r>
    </w:p>
    <w:p w:rsidR="00000000" w:rsidRDefault="005F676C">
      <w:pPr>
        <w:pStyle w:val="a3"/>
        <w:spacing w:before="0" w:beforeAutospacing="0" w:after="0" w:afterAutospacing="0"/>
        <w:jc w:val="center"/>
        <w:rPr>
          <w:sz w:val="20"/>
          <w:szCs w:val="20"/>
        </w:rPr>
      </w:pPr>
      <w:r>
        <w:rPr>
          <w:sz w:val="20"/>
          <w:szCs w:val="20"/>
        </w:rPr>
        <w:t>(Unaudited)</w:t>
      </w:r>
    </w:p>
    <w:p w:rsidR="00000000" w:rsidRDefault="005F676C">
      <w:pPr>
        <w:pStyle w:val="a3"/>
        <w:spacing w:before="0" w:beforeAutospacing="0" w:after="0" w:afterAutospacing="0"/>
        <w:jc w:val="center"/>
        <w:rPr>
          <w:sz w:val="20"/>
          <w:szCs w:val="20"/>
        </w:rPr>
      </w:pPr>
      <w:r>
        <w:rPr>
          <w:sz w:val="20"/>
          <w:szCs w:val="20"/>
        </w:rPr>
        <w:t>(in thousands)</w:t>
      </w:r>
    </w:p>
    <w:p w:rsidR="00000000" w:rsidRDefault="005F676C">
      <w:pPr>
        <w:pStyle w:val="a3"/>
        <w:spacing w:before="0" w:beforeAutospacing="0" w:after="0" w:afterAutospacing="0"/>
        <w:jc w:val="center"/>
        <w:rPr>
          <w:sz w:val="20"/>
          <w:szCs w:val="20"/>
        </w:rPr>
      </w:pPr>
      <w:r>
        <w:rPr>
          <w:b/>
          <w:bCs/>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divId w:val="60056242"/>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6"/>
            <w:vAlign w:val="bottom"/>
            <w:hideMark/>
          </w:tcPr>
          <w:p w:rsidR="00000000" w:rsidRDefault="005F676C">
            <w:pPr>
              <w:pStyle w:val="a3"/>
              <w:spacing w:before="0" w:beforeAutospacing="0" w:after="0" w:afterAutospacing="0"/>
              <w:jc w:val="center"/>
              <w:rPr>
                <w:sz w:val="20"/>
                <w:szCs w:val="20"/>
              </w:rPr>
            </w:pPr>
            <w:r>
              <w:rPr>
                <w:b/>
                <w:bCs/>
                <w:sz w:val="20"/>
                <w:szCs w:val="20"/>
              </w:rPr>
              <w:t xml:space="preserve">Three Months Ended September 30,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6"/>
            <w:vAlign w:val="bottom"/>
            <w:hideMark/>
          </w:tcPr>
          <w:p w:rsidR="00000000" w:rsidRDefault="005F676C">
            <w:pPr>
              <w:pStyle w:val="a3"/>
              <w:spacing w:before="0" w:beforeAutospacing="0" w:after="0" w:afterAutospacing="0"/>
              <w:jc w:val="center"/>
              <w:rPr>
                <w:sz w:val="20"/>
                <w:szCs w:val="20"/>
              </w:rPr>
            </w:pPr>
            <w:r>
              <w:rPr>
                <w:b/>
                <w:bCs/>
                <w:sz w:val="20"/>
                <w:szCs w:val="20"/>
              </w:rPr>
              <w:t xml:space="preserve">Nine Months Ended September 30,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lastRenderedPageBreak/>
              <w:t>Net income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85,453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100,725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303,518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410,516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Other comprehensive income:</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Change in unrealized value on interest rate swap</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(72</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344</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Other comprehensive income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(72</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344</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Comprehensive income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85,453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100,653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303,518</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410,860</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Comprehensive income attributable to noncontrolling interests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(1,463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(567</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(2,332</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(882</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divId w:val="60056242"/>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60056242"/>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Comprehensive income attributable to the Company</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83,990</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100,086</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301,186</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409,978</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5F676C">
      <w:pPr>
        <w:pStyle w:val="a3"/>
        <w:spacing w:before="0" w:beforeAutospacing="0" w:after="0" w:afterAutospacing="0"/>
        <w:jc w:val="center"/>
        <w:rPr>
          <w:sz w:val="20"/>
          <w:szCs w:val="20"/>
        </w:rPr>
      </w:pPr>
      <w:r>
        <w:rPr>
          <w:sz w:val="20"/>
          <w:szCs w:val="20"/>
        </w:rPr>
        <w:t> </w:t>
      </w:r>
    </w:p>
    <w:p w:rsidR="00000000" w:rsidRDefault="005F676C">
      <w:pPr>
        <w:jc w:val="center"/>
        <w:divId w:val="1765762139"/>
        <w:rPr>
          <w:rFonts w:eastAsia="Times New Roman"/>
          <w:sz w:val="20"/>
          <w:szCs w:val="20"/>
        </w:rPr>
      </w:pPr>
      <w:r>
        <w:rPr>
          <w:rFonts w:eastAsia="Times New Roman"/>
          <w:sz w:val="20"/>
          <w:szCs w:val="20"/>
        </w:rPr>
        <w:t xml:space="preserve">5 </w:t>
      </w:r>
    </w:p>
    <w:p w:rsidR="00000000" w:rsidRDefault="005F676C">
      <w:pPr>
        <w:divId w:val="1765762139"/>
        <w:rPr>
          <w:rFonts w:eastAsia="Times New Roman"/>
          <w:sz w:val="20"/>
          <w:szCs w:val="20"/>
        </w:rPr>
      </w:pPr>
      <w:r>
        <w:rPr>
          <w:rFonts w:eastAsia="Times New Roman"/>
          <w:sz w:val="20"/>
          <w:szCs w:val="20"/>
        </w:rPr>
        <w:pict>
          <v:rect id="_x0000_i1033" style="width:0;height:1.5pt" o:hralign="center" o:hrstd="t" o:hr="t" fillcolor="#a0a0a0" stroked="f"/>
        </w:pict>
      </w:r>
    </w:p>
    <w:p w:rsidR="00000000" w:rsidRDefault="005F676C">
      <w:pPr>
        <w:divId w:val="176576213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divId w:val="194776590"/>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KIMCO REALTY CORPORATION AND SUBSIDIARIES</w:t>
      </w:r>
    </w:p>
    <w:p w:rsidR="00000000" w:rsidRDefault="005F676C">
      <w:pPr>
        <w:pStyle w:val="a3"/>
        <w:spacing w:before="0" w:beforeAutospacing="0" w:after="0" w:afterAutospacing="0"/>
        <w:jc w:val="center"/>
        <w:rPr>
          <w:sz w:val="20"/>
          <w:szCs w:val="20"/>
        </w:rPr>
      </w:pPr>
      <w:r>
        <w:rPr>
          <w:sz w:val="20"/>
          <w:szCs w:val="20"/>
        </w:rPr>
        <w:t>CONDENSED CONSOLIDATED STATEMENTS OF CHANGES IN EQUITY</w:t>
      </w:r>
    </w:p>
    <w:p w:rsidR="00000000" w:rsidRDefault="005F676C">
      <w:pPr>
        <w:pStyle w:val="a3"/>
        <w:spacing w:before="0" w:beforeAutospacing="0" w:after="0" w:afterAutospacing="0"/>
        <w:jc w:val="center"/>
        <w:rPr>
          <w:sz w:val="20"/>
          <w:szCs w:val="20"/>
        </w:rPr>
      </w:pPr>
      <w:r>
        <w:rPr>
          <w:sz w:val="20"/>
          <w:szCs w:val="20"/>
        </w:rPr>
        <w:t>For the Three Months Ended September 30,</w:t>
      </w:r>
      <w:r>
        <w:rPr>
          <w:sz w:val="20"/>
          <w:szCs w:val="20"/>
        </w:rPr>
        <w:t xml:space="preserve"> 2019 and 2018</w:t>
      </w:r>
    </w:p>
    <w:p w:rsidR="00000000" w:rsidRDefault="005F676C">
      <w:pPr>
        <w:pStyle w:val="a3"/>
        <w:spacing w:before="0" w:beforeAutospacing="0" w:after="0" w:afterAutospacing="0"/>
        <w:jc w:val="center"/>
        <w:rPr>
          <w:sz w:val="20"/>
          <w:szCs w:val="20"/>
        </w:rPr>
      </w:pPr>
      <w:r>
        <w:rPr>
          <w:sz w:val="20"/>
          <w:szCs w:val="20"/>
        </w:rPr>
        <w:t>(Unaudited)</w:t>
      </w:r>
    </w:p>
    <w:p w:rsidR="00000000" w:rsidRDefault="005F676C">
      <w:pPr>
        <w:pStyle w:val="a3"/>
        <w:spacing w:before="0" w:beforeAutospacing="0" w:after="0" w:afterAutospacing="0"/>
        <w:jc w:val="center"/>
        <w:rPr>
          <w:sz w:val="20"/>
          <w:szCs w:val="20"/>
        </w:rPr>
      </w:pPr>
      <w:r>
        <w:rPr>
          <w:sz w:val="20"/>
          <w:szCs w:val="20"/>
        </w:rPr>
        <w:t>(in thousands)</w:t>
      </w:r>
    </w:p>
    <w:p w:rsidR="00000000" w:rsidRDefault="005F676C">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27"/>
        <w:gridCol w:w="40"/>
        <w:gridCol w:w="150"/>
        <w:gridCol w:w="748"/>
        <w:gridCol w:w="54"/>
        <w:gridCol w:w="40"/>
        <w:gridCol w:w="178"/>
        <w:gridCol w:w="889"/>
        <w:gridCol w:w="54"/>
        <w:gridCol w:w="40"/>
        <w:gridCol w:w="73"/>
        <w:gridCol w:w="364"/>
        <w:gridCol w:w="55"/>
        <w:gridCol w:w="47"/>
        <w:gridCol w:w="94"/>
        <w:gridCol w:w="467"/>
        <w:gridCol w:w="54"/>
        <w:gridCol w:w="40"/>
        <w:gridCol w:w="80"/>
        <w:gridCol w:w="520"/>
        <w:gridCol w:w="54"/>
        <w:gridCol w:w="40"/>
        <w:gridCol w:w="94"/>
        <w:gridCol w:w="467"/>
        <w:gridCol w:w="40"/>
        <w:gridCol w:w="40"/>
        <w:gridCol w:w="80"/>
        <w:gridCol w:w="640"/>
        <w:gridCol w:w="54"/>
        <w:gridCol w:w="40"/>
        <w:gridCol w:w="156"/>
        <w:gridCol w:w="778"/>
        <w:gridCol w:w="54"/>
        <w:gridCol w:w="40"/>
        <w:gridCol w:w="172"/>
        <w:gridCol w:w="860"/>
        <w:gridCol w:w="54"/>
        <w:gridCol w:w="40"/>
        <w:gridCol w:w="80"/>
        <w:gridCol w:w="640"/>
        <w:gridCol w:w="54"/>
      </w:tblGrid>
      <w:tr w:rsidR="00000000">
        <w:trPr>
          <w:divId w:val="28453471"/>
          <w:tblCellSpacing w:w="0" w:type="dxa"/>
        </w:trPr>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vAlign w:val="bottom"/>
            <w:hideMark/>
          </w:tcPr>
          <w:p w:rsidR="00000000" w:rsidRDefault="005F676C">
            <w:pPr>
              <w:pStyle w:val="a3"/>
              <w:spacing w:before="0" w:beforeAutospacing="0" w:after="0" w:afterAutospacing="0"/>
              <w:jc w:val="center"/>
              <w:rPr>
                <w:sz w:val="16"/>
                <w:szCs w:val="16"/>
              </w:rPr>
            </w:pPr>
            <w:r>
              <w:rPr>
                <w:b/>
                <w:bCs/>
                <w:sz w:val="16"/>
                <w:szCs w:val="16"/>
              </w:rPr>
              <w:t>Accumulated</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r>
      <w:tr w:rsidR="00000000">
        <w:trPr>
          <w:divId w:val="28453471"/>
          <w:tblCellSpacing w:w="0" w:type="dxa"/>
        </w:trPr>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 xml:space="preserve">Cumulative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Other</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Total</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c>
          <w:tcPr>
            <w:tcW w:w="0" w:type="auto"/>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0" w:type="auto"/>
            <w:vAlign w:val="bottom"/>
            <w:hideMark/>
          </w:tcPr>
          <w:p w:rsidR="00000000" w:rsidRDefault="005F676C">
            <w:pPr>
              <w:rPr>
                <w:rFonts w:eastAsia="Times New Roman"/>
                <w:sz w:val="16"/>
                <w:szCs w:val="16"/>
              </w:rPr>
            </w:pPr>
            <w:r>
              <w:rPr>
                <w:rFonts w:eastAsia="Times New Roman"/>
                <w:b/>
                <w:bCs/>
                <w:sz w:val="16"/>
                <w:szCs w:val="16"/>
              </w:rPr>
              <w:t> </w:t>
            </w:r>
          </w:p>
        </w:tc>
      </w:tr>
      <w:tr w:rsidR="00000000">
        <w:trPr>
          <w:divId w:val="28453471"/>
          <w:tblCellSpacing w:w="0" w:type="dxa"/>
        </w:trPr>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pct"/>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Distributions in</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Comprehensive</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6"/>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Preferred Stock</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6"/>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Common Stock</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Paid-in</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Stockholders'</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Noncontrolling</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Total</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r>
      <w:tr w:rsidR="00000000">
        <w:trPr>
          <w:divId w:val="28453471"/>
          <w:tblCellSpacing w:w="0" w:type="dxa"/>
        </w:trPr>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 </w:t>
            </w:r>
          </w:p>
        </w:tc>
        <w:tc>
          <w:tcPr>
            <w:tcW w:w="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Excess of Net Income</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Income/(Loss)</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Issued</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Amount</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Issued</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Amount</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Capital</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Equity</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Interests</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vAlign w:val="bottom"/>
            <w:hideMark/>
          </w:tcPr>
          <w:p w:rsidR="00000000" w:rsidRDefault="005F676C">
            <w:pPr>
              <w:rPr>
                <w:rFonts w:eastAsia="Times New Roman"/>
                <w:sz w:val="16"/>
                <w:szCs w:val="16"/>
              </w:rPr>
            </w:pPr>
            <w:r>
              <w:rPr>
                <w:rFonts w:eastAsia="Times New Roman"/>
                <w:sz w:val="16"/>
                <w:szCs w:val="16"/>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Equity</w:t>
            </w:r>
          </w:p>
        </w:tc>
        <w:tc>
          <w:tcPr>
            <w:tcW w:w="0" w:type="auto"/>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Balance at July 1, 2018</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(710,981</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72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421,388</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4,214</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6,117,862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5,411,210</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77,768</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5,488,978</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Contributions from noncontrolling interests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109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109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rPr>
                <w:sz w:val="16"/>
                <w:szCs w:val="16"/>
              </w:rPr>
            </w:pPr>
            <w:r>
              <w:rPr>
                <w:sz w:val="16"/>
                <w:szCs w:val="16"/>
              </w:rPr>
              <w:t>Comprehensive income:</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16"/>
                <w:szCs w:val="16"/>
              </w:rPr>
            </w:pPr>
            <w:r>
              <w:rPr>
                <w:sz w:val="16"/>
                <w:szCs w:val="16"/>
              </w:rPr>
              <w:t>Net income</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100,158</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100,158</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567</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100,725</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16"/>
                <w:szCs w:val="16"/>
              </w:rPr>
            </w:pPr>
            <w:r>
              <w:rPr>
                <w:sz w:val="16"/>
                <w:szCs w:val="16"/>
              </w:rPr>
              <w:t>Change in unrealized value on interest rate swap</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(72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(72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(72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Redeemable noncontrolling interests income</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(94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(94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(132,523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r>
              <w:rPr>
                <w:rFonts w:eastAsia="Times New Roman"/>
                <w:sz w:val="16"/>
                <w:szCs w:val="16"/>
              </w:rPr>
              <w:t>132,523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(132,523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(503</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(503</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26</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Surrender of restricted common stock</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(55</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(798</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(798</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(798</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rPr>
                <w:sz w:val="16"/>
                <w:szCs w:val="16"/>
              </w:rPr>
            </w:pPr>
            <w:r>
              <w:rPr>
                <w:sz w:val="16"/>
                <w:szCs w:val="16"/>
              </w:rPr>
              <w:t>Exercise of common stock options</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457</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457</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457</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3,736</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3,736</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3,736</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rPr>
                <w:sz w:val="16"/>
                <w:szCs w:val="16"/>
              </w:rPr>
            </w:pPr>
            <w:r>
              <w:rPr>
                <w:sz w:val="16"/>
                <w:szCs w:val="16"/>
              </w:rPr>
              <w:t>Adjustment of redeemable noncontrolling interests to estimated fair value</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(3,918</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(3,918</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(3,918</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Balance at September 30, 2018</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(743,346</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421,391</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4,214</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6,117,339</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5,378,250</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77,847</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5,456,097</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Balance at July 1, 2019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(835,934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43</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43</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422,094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4,221</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6,125,572</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5,293,902</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73,559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5,367,461</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rPr>
                <w:sz w:val="16"/>
                <w:szCs w:val="16"/>
              </w:rPr>
            </w:pPr>
            <w:r>
              <w:rPr>
                <w:sz w:val="16"/>
                <w:szCs w:val="16"/>
              </w:rPr>
              <w:t>Net income</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83,990</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83,990</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1,463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85,453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Redeemable noncontrolling interests income</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(94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(94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(131,797</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r>
              <w:rPr>
                <w:rFonts w:eastAsia="Times New Roman"/>
                <w:sz w:val="16"/>
                <w:szCs w:val="16"/>
              </w:rPr>
              <w:t>131,797</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(131,797</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(2,340</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(2,340</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52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Surrender of restricted common stock</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(14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(259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(259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(259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rPr>
                <w:sz w:val="16"/>
                <w:szCs w:val="16"/>
              </w:rPr>
            </w:pPr>
            <w:r>
              <w:rPr>
                <w:sz w:val="16"/>
                <w:szCs w:val="16"/>
              </w:rPr>
              <w:t>Exercise of common stock options</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98</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1,539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1,540</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1,540</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Amortization of equity awards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4,505</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4,505</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4,505</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28453471"/>
          <w:tblCellSpacing w:w="0" w:type="dxa"/>
        </w:trPr>
        <w:tc>
          <w:tcPr>
            <w:tcW w:w="0" w:type="auto"/>
            <w:shd w:val="clear" w:color="auto" w:fill="CCEEFF"/>
            <w:vAlign w:val="bottom"/>
            <w:hideMark/>
          </w:tcPr>
          <w:p w:rsidR="00000000" w:rsidRDefault="005F676C">
            <w:pPr>
              <w:pStyle w:val="a3"/>
              <w:spacing w:before="0" w:beforeAutospacing="0" w:after="0" w:afterAutospacing="0"/>
              <w:rPr>
                <w:sz w:val="16"/>
                <w:szCs w:val="16"/>
              </w:rPr>
            </w:pPr>
            <w:r>
              <w:rPr>
                <w:sz w:val="16"/>
                <w:szCs w:val="16"/>
              </w:rPr>
              <w:t>Redemption of preferred stock</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(14</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(14</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(349,986</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r>
              <w:rPr>
                <w:rFonts w:eastAsia="Times New Roman"/>
                <w:sz w:val="16"/>
                <w:szCs w:val="16"/>
              </w:rPr>
              <w:t>350,000</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(350,000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w:t>
            </w:r>
          </w:p>
        </w:tc>
      </w:tr>
      <w:tr w:rsidR="005F676C">
        <w:trPr>
          <w:divId w:val="28453471"/>
          <w:tblCellSpacing w:w="0" w:type="dxa"/>
        </w:trPr>
        <w:tc>
          <w:tcPr>
            <w:tcW w:w="0" w:type="auto"/>
            <w:shd w:val="clear" w:color="auto" w:fill="FFFFFF"/>
            <w:vAlign w:val="bottom"/>
            <w:hideMark/>
          </w:tcPr>
          <w:p w:rsidR="00000000" w:rsidRDefault="005F676C">
            <w:pPr>
              <w:pStyle w:val="a3"/>
              <w:spacing w:before="0" w:beforeAutospacing="0" w:after="0" w:afterAutospacing="0"/>
              <w:rPr>
                <w:sz w:val="16"/>
                <w:szCs w:val="16"/>
              </w:rPr>
            </w:pPr>
            <w:r>
              <w:rPr>
                <w:sz w:val="16"/>
                <w:szCs w:val="16"/>
              </w:rPr>
              <w:t>Balance at September 30, 2019</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(883,741</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29</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29</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422,230</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4,222</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5,781,371</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4,901,881</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72,588</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4,974,469</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16"/>
                <w:szCs w:val="16"/>
              </w:rPr>
            </w:pPr>
            <w:r>
              <w:rPr>
                <w:rFonts w:eastAsia="Times New Roman"/>
                <w:sz w:val="16"/>
                <w:szCs w:val="16"/>
              </w:rPr>
              <w:t> </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5F676C">
      <w:pPr>
        <w:pStyle w:val="a3"/>
        <w:spacing w:before="0" w:beforeAutospacing="0" w:after="0" w:afterAutospacing="0"/>
        <w:jc w:val="center"/>
        <w:rPr>
          <w:sz w:val="20"/>
          <w:szCs w:val="20"/>
        </w:rPr>
      </w:pPr>
      <w:r>
        <w:rPr>
          <w:sz w:val="20"/>
          <w:szCs w:val="20"/>
        </w:rPr>
        <w:t> </w:t>
      </w:r>
    </w:p>
    <w:p w:rsidR="00000000" w:rsidRDefault="005F676C">
      <w:pPr>
        <w:jc w:val="center"/>
        <w:divId w:val="488250172"/>
        <w:rPr>
          <w:rFonts w:eastAsia="Times New Roman"/>
          <w:sz w:val="20"/>
          <w:szCs w:val="20"/>
        </w:rPr>
      </w:pPr>
      <w:r>
        <w:rPr>
          <w:rFonts w:eastAsia="Times New Roman"/>
          <w:sz w:val="20"/>
          <w:szCs w:val="20"/>
        </w:rPr>
        <w:t xml:space="preserve">6 </w:t>
      </w:r>
    </w:p>
    <w:p w:rsidR="00000000" w:rsidRDefault="005F676C">
      <w:pPr>
        <w:divId w:val="488250172"/>
        <w:rPr>
          <w:rFonts w:eastAsia="Times New Roman"/>
          <w:sz w:val="20"/>
          <w:szCs w:val="20"/>
        </w:rPr>
      </w:pPr>
      <w:r>
        <w:rPr>
          <w:rFonts w:eastAsia="Times New Roman"/>
          <w:sz w:val="20"/>
          <w:szCs w:val="20"/>
        </w:rPr>
        <w:pict>
          <v:rect id="_x0000_i1034" style="width:0;height:1.5pt" o:hralign="center" o:hrstd="t" o:hr="t" fillcolor="#a0a0a0" stroked="f"/>
        </w:pict>
      </w:r>
    </w:p>
    <w:p w:rsidR="00000000" w:rsidRDefault="005F676C">
      <w:pPr>
        <w:divId w:val="48825017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KIMCO REALTY CORPORATION AND SUBSIDIARIES</w:t>
      </w:r>
    </w:p>
    <w:p w:rsidR="00000000" w:rsidRDefault="005F676C">
      <w:pPr>
        <w:pStyle w:val="a3"/>
        <w:spacing w:before="0" w:beforeAutospacing="0" w:after="0" w:afterAutospacing="0"/>
        <w:jc w:val="center"/>
        <w:rPr>
          <w:sz w:val="20"/>
          <w:szCs w:val="20"/>
        </w:rPr>
      </w:pPr>
      <w:r>
        <w:rPr>
          <w:sz w:val="20"/>
          <w:szCs w:val="20"/>
        </w:rPr>
        <w:t>CONDENSED CONSOLIDATED STATEMENTS OF CHANGES IN EQUITY</w:t>
      </w:r>
    </w:p>
    <w:p w:rsidR="00000000" w:rsidRDefault="005F676C">
      <w:pPr>
        <w:pStyle w:val="a3"/>
        <w:spacing w:before="0" w:beforeAutospacing="0" w:after="0" w:afterAutospacing="0"/>
        <w:jc w:val="center"/>
        <w:rPr>
          <w:sz w:val="20"/>
          <w:szCs w:val="20"/>
        </w:rPr>
      </w:pPr>
      <w:r>
        <w:rPr>
          <w:sz w:val="20"/>
          <w:szCs w:val="20"/>
        </w:rPr>
        <w:t>For the Nine Months Ended September 30, 2019 and 2018</w:t>
      </w:r>
    </w:p>
    <w:p w:rsidR="00000000" w:rsidRDefault="005F676C">
      <w:pPr>
        <w:pStyle w:val="a3"/>
        <w:spacing w:before="0" w:beforeAutospacing="0" w:after="0" w:afterAutospacing="0"/>
        <w:jc w:val="center"/>
        <w:rPr>
          <w:sz w:val="20"/>
          <w:szCs w:val="20"/>
        </w:rPr>
      </w:pPr>
      <w:r>
        <w:rPr>
          <w:sz w:val="20"/>
          <w:szCs w:val="20"/>
        </w:rPr>
        <w:t>(Unaudited)</w:t>
      </w:r>
    </w:p>
    <w:p w:rsidR="00000000" w:rsidRDefault="005F676C">
      <w:pPr>
        <w:pStyle w:val="a3"/>
        <w:spacing w:before="0" w:beforeAutospacing="0" w:after="0" w:afterAutospacing="0"/>
        <w:jc w:val="center"/>
        <w:rPr>
          <w:sz w:val="20"/>
          <w:szCs w:val="20"/>
        </w:rPr>
      </w:pPr>
      <w:r>
        <w:rPr>
          <w:sz w:val="20"/>
          <w:szCs w:val="20"/>
        </w:rPr>
        <w:t>(in thousands)</w:t>
      </w:r>
    </w:p>
    <w:p w:rsidR="00000000" w:rsidRDefault="005F676C">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805"/>
        <w:gridCol w:w="40"/>
        <w:gridCol w:w="150"/>
        <w:gridCol w:w="748"/>
        <w:gridCol w:w="54"/>
        <w:gridCol w:w="40"/>
        <w:gridCol w:w="178"/>
        <w:gridCol w:w="889"/>
        <w:gridCol w:w="54"/>
        <w:gridCol w:w="40"/>
        <w:gridCol w:w="73"/>
        <w:gridCol w:w="364"/>
        <w:gridCol w:w="55"/>
        <w:gridCol w:w="47"/>
        <w:gridCol w:w="94"/>
        <w:gridCol w:w="467"/>
        <w:gridCol w:w="54"/>
        <w:gridCol w:w="40"/>
        <w:gridCol w:w="40"/>
        <w:gridCol w:w="720"/>
        <w:gridCol w:w="54"/>
        <w:gridCol w:w="40"/>
        <w:gridCol w:w="94"/>
        <w:gridCol w:w="467"/>
        <w:gridCol w:w="54"/>
        <w:gridCol w:w="40"/>
        <w:gridCol w:w="80"/>
        <w:gridCol w:w="640"/>
        <w:gridCol w:w="54"/>
        <w:gridCol w:w="40"/>
        <w:gridCol w:w="156"/>
        <w:gridCol w:w="778"/>
        <w:gridCol w:w="54"/>
        <w:gridCol w:w="40"/>
        <w:gridCol w:w="172"/>
        <w:gridCol w:w="860"/>
        <w:gridCol w:w="54"/>
        <w:gridCol w:w="40"/>
        <w:gridCol w:w="80"/>
        <w:gridCol w:w="640"/>
        <w:gridCol w:w="54"/>
      </w:tblGrid>
      <w:tr w:rsidR="00000000">
        <w:trPr>
          <w:divId w:val="324820126"/>
          <w:tblCellSpacing w:w="0" w:type="dxa"/>
        </w:trPr>
        <w:tc>
          <w:tcPr>
            <w:tcW w:w="100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vAlign w:val="bottom"/>
            <w:hideMark/>
          </w:tcPr>
          <w:p w:rsidR="00000000" w:rsidRDefault="005F676C">
            <w:pPr>
              <w:pStyle w:val="a3"/>
              <w:spacing w:before="0" w:beforeAutospacing="0" w:after="0" w:afterAutospacing="0"/>
              <w:jc w:val="center"/>
              <w:rPr>
                <w:sz w:val="16"/>
                <w:szCs w:val="16"/>
              </w:rPr>
            </w:pPr>
            <w:r>
              <w:rPr>
                <w:b/>
                <w:bCs/>
                <w:sz w:val="16"/>
                <w:szCs w:val="16"/>
              </w:rPr>
              <w:t>Accumulated</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r>
      <w:tr w:rsidR="00000000">
        <w:trPr>
          <w:divId w:val="324820126"/>
          <w:tblCellSpacing w:w="0" w:type="dxa"/>
        </w:trPr>
        <w:tc>
          <w:tcPr>
            <w:tcW w:w="100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 xml:space="preserve">Cumulative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Other</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Total</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c>
          <w:tcPr>
            <w:tcW w:w="250" w:type="pct"/>
            <w:vAlign w:val="bottom"/>
            <w:hideMark/>
          </w:tcPr>
          <w:p w:rsidR="00000000" w:rsidRDefault="005F676C">
            <w:pPr>
              <w:jc w:val="center"/>
              <w:rPr>
                <w:rFonts w:eastAsia="Times New Roman"/>
                <w:sz w:val="16"/>
                <w:szCs w:val="16"/>
              </w:rPr>
            </w:pPr>
            <w:r>
              <w:rPr>
                <w:rStyle w:val="a6"/>
                <w:rFonts w:eastAsia="Times New Roman"/>
                <w:b/>
                <w:bCs/>
                <w:i w:val="0"/>
                <w:iCs w:val="0"/>
                <w:sz w:val="16"/>
                <w:szCs w:val="16"/>
              </w:rPr>
              <w:t> </w:t>
            </w:r>
          </w:p>
        </w:tc>
        <w:tc>
          <w:tcPr>
            <w:tcW w:w="50" w:type="pct"/>
            <w:vAlign w:val="bottom"/>
            <w:hideMark/>
          </w:tcPr>
          <w:p w:rsidR="00000000" w:rsidRDefault="005F676C">
            <w:pPr>
              <w:rPr>
                <w:rFonts w:eastAsia="Times New Roman"/>
                <w:sz w:val="16"/>
                <w:szCs w:val="16"/>
              </w:rPr>
            </w:pPr>
            <w:r>
              <w:rPr>
                <w:rFonts w:eastAsia="Times New Roman"/>
                <w:b/>
                <w:bCs/>
                <w:sz w:val="16"/>
                <w:szCs w:val="16"/>
              </w:rPr>
              <w:t> </w:t>
            </w:r>
          </w:p>
        </w:tc>
      </w:tr>
      <w:tr w:rsidR="00000000">
        <w:trPr>
          <w:divId w:val="324820126"/>
          <w:tblCellSpacing w:w="0" w:type="dxa"/>
        </w:trPr>
        <w:tc>
          <w:tcPr>
            <w:tcW w:w="100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Distributions in</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Comprehensive</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Preferred Stock</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45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Common Stock</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Paid-in</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Stockholders'</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Noncontrolling</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Total</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r>
      <w:tr w:rsidR="00000000">
        <w:trPr>
          <w:divId w:val="324820126"/>
          <w:tblCellSpacing w:w="0" w:type="dxa"/>
        </w:trPr>
        <w:tc>
          <w:tcPr>
            <w:tcW w:w="1000" w:type="pct"/>
            <w:vAlign w:val="bottom"/>
            <w:hideMark/>
          </w:tcPr>
          <w:p w:rsidR="00000000" w:rsidRDefault="005F676C">
            <w:pPr>
              <w:rPr>
                <w:rFonts w:eastAsia="Times New Roman"/>
                <w:sz w:val="16"/>
                <w:szCs w:val="16"/>
              </w:rPr>
            </w:pPr>
            <w:r>
              <w:rPr>
                <w:rFonts w:eastAsia="Times New Roman"/>
                <w:sz w:val="16"/>
                <w:szCs w:val="16"/>
              </w:rPr>
              <w:t> </w:t>
            </w:r>
          </w:p>
        </w:tc>
        <w:tc>
          <w:tcPr>
            <w:tcW w:w="50" w:type="pct"/>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Excess of Net Income</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Income/(Loss)</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Issued</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Amount</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Issued</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Amount</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Capital</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Equity</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Interests</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vAlign w:val="bottom"/>
            <w:hideMark/>
          </w:tcPr>
          <w:p w:rsidR="00000000" w:rsidRDefault="005F676C">
            <w:pPr>
              <w:rPr>
                <w:rFonts w:eastAsia="Times New Roman"/>
                <w:sz w:val="16"/>
                <w:szCs w:val="16"/>
              </w:rPr>
            </w:pPr>
            <w:r>
              <w:rPr>
                <w:rFonts w:eastAsia="Times New Roman"/>
                <w:sz w:val="16"/>
                <w:szCs w:val="16"/>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16"/>
                <w:szCs w:val="16"/>
              </w:rPr>
            </w:pPr>
            <w:r>
              <w:rPr>
                <w:rStyle w:val="a6"/>
                <w:b/>
                <w:bCs/>
                <w:i w:val="0"/>
                <w:iCs w:val="0"/>
                <w:sz w:val="16"/>
                <w:szCs w:val="16"/>
              </w:rPr>
              <w:t>Equity</w:t>
            </w:r>
          </w:p>
        </w:tc>
        <w:tc>
          <w:tcPr>
            <w:tcW w:w="50" w:type="pct"/>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Balance at January 1, 2018</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(754,375</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(344</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41</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41</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425,646.00</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4,256</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6,152,764</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5,402,342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127,903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5,530,245</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Contributions from noncontrolling interests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109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109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Comprehensive income:</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ind w:left="180"/>
              <w:rPr>
                <w:sz w:val="16"/>
                <w:szCs w:val="16"/>
              </w:rPr>
            </w:pPr>
            <w:r>
              <w:rPr>
                <w:sz w:val="16"/>
                <w:szCs w:val="16"/>
              </w:rPr>
              <w:t>Net income</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409,634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409,634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882</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410,516</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ind w:left="360"/>
              <w:rPr>
                <w:sz w:val="16"/>
                <w:szCs w:val="16"/>
              </w:rPr>
            </w:pPr>
            <w:r>
              <w:rPr>
                <w:sz w:val="16"/>
                <w:szCs w:val="16"/>
              </w:rPr>
              <w:t>Change in unrealized loss on interest rate swap</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344</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344</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344</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Redeemable noncontrolling interests income</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(279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(279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(398,605</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(398,605</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(398,605</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Distributions to noncontrolling interests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(2,373</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(2,373</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Issuance of common stock</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1,101</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11</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(11</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Repurchase of common stock</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(5,100</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(51</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(75,075</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r>
              <w:rPr>
                <w:rFonts w:eastAsia="Times New Roman"/>
                <w:sz w:val="16"/>
                <w:szCs w:val="16"/>
              </w:rPr>
              <w:t>75,126</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(75,126</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Surrender of restricted common stock</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(291</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(4,288</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(4,290</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(4,290</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35</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487</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487</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487</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Amortization of equity awards</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13,065</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13,065</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13,065</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Issuance of preferred stock</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33,112</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33,114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33,114</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Acquisition/deconsolidation of noncontrolling interests</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1,203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1,203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(48,395</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(47,192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Adjustment of redeemable noncontrolling interests to</w:t>
            </w:r>
          </w:p>
          <w:p w:rsidR="00000000" w:rsidRDefault="005F676C">
            <w:pPr>
              <w:pStyle w:val="a3"/>
              <w:spacing w:before="0" w:beforeAutospacing="0" w:after="0" w:afterAutospacing="0"/>
              <w:rPr>
                <w:sz w:val="16"/>
                <w:szCs w:val="16"/>
              </w:rPr>
            </w:pPr>
            <w:r>
              <w:rPr>
                <w:sz w:val="16"/>
                <w:szCs w:val="16"/>
              </w:rPr>
              <w:t>estimated fair value</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5F676C">
            <w:pPr>
              <w:rPr>
                <w:rFonts w:eastAsia="Times New Roman"/>
                <w:sz w:val="16"/>
                <w:szCs w:val="16"/>
              </w:rPr>
            </w:pPr>
            <w:r>
              <w:rPr>
                <w:rStyle w:val="a6"/>
                <w:rFonts w:eastAsia="Times New Roman"/>
                <w:i w:val="0"/>
                <w:iCs w:val="0"/>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5F676C">
            <w:pPr>
              <w:rPr>
                <w:rFonts w:eastAsia="Times New Roman"/>
                <w:sz w:val="16"/>
                <w:szCs w:val="16"/>
              </w:rPr>
            </w:pPr>
            <w:r>
              <w:rPr>
                <w:rStyle w:val="a6"/>
                <w:rFonts w:eastAsia="Times New Roman"/>
                <w:i w:val="0"/>
                <w:iCs w:val="0"/>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5F676C">
            <w:pPr>
              <w:rPr>
                <w:rFonts w:eastAsia="Times New Roman"/>
                <w:sz w:val="16"/>
                <w:szCs w:val="16"/>
              </w:rPr>
            </w:pPr>
            <w:r>
              <w:rPr>
                <w:rStyle w:val="a6"/>
                <w:rFonts w:eastAsia="Times New Roman"/>
                <w:i w:val="0"/>
                <w:iCs w:val="0"/>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5F676C">
            <w:pPr>
              <w:rPr>
                <w:rFonts w:eastAsia="Times New Roman"/>
                <w:sz w:val="16"/>
                <w:szCs w:val="16"/>
              </w:rPr>
            </w:pPr>
            <w:r>
              <w:rPr>
                <w:rStyle w:val="a6"/>
                <w:rFonts w:eastAsia="Times New Roman"/>
                <w:i w:val="0"/>
                <w:iCs w:val="0"/>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5F676C">
            <w:pPr>
              <w:rPr>
                <w:rFonts w:eastAsia="Times New Roman"/>
                <w:sz w:val="16"/>
                <w:szCs w:val="16"/>
              </w:rPr>
            </w:pPr>
            <w:r>
              <w:rPr>
                <w:rStyle w:val="a6"/>
                <w:rFonts w:eastAsia="Times New Roman"/>
                <w:i w:val="0"/>
                <w:iCs w:val="0"/>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5F676C">
            <w:pPr>
              <w:rPr>
                <w:rFonts w:eastAsia="Times New Roman"/>
                <w:sz w:val="16"/>
                <w:szCs w:val="16"/>
              </w:rPr>
            </w:pPr>
            <w:r>
              <w:rPr>
                <w:rStyle w:val="a6"/>
                <w:rFonts w:eastAsia="Times New Roman"/>
                <w:i w:val="0"/>
                <w:iCs w:val="0"/>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(3,918</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(3,918</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5F676C">
            <w:pPr>
              <w:rPr>
                <w:rFonts w:eastAsia="Times New Roman"/>
                <w:sz w:val="16"/>
                <w:szCs w:val="16"/>
              </w:rPr>
            </w:pPr>
            <w:r>
              <w:rPr>
                <w:rStyle w:val="a6"/>
                <w:rFonts w:eastAsia="Times New Roman"/>
                <w:i w:val="0"/>
                <w:iCs w:val="0"/>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(3,918</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Balance at September 30, 2018</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(743,346</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43</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421,391</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4,214</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6,117,339</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5,378,250</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77,847</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5,456,097</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Balance at January 1, 2019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(787,707</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421,389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4,214</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6,117,254</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5,333,804</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77,249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5,411,053</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Net income</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301,186</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301,186</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2,332</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303,518</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Redeemable noncontrolling interests income</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(279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(279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Dividends declared to common and preferred shares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(397,220</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r>
              <w:rPr>
                <w:rFonts w:eastAsia="Times New Roman"/>
                <w:sz w:val="16"/>
                <w:szCs w:val="16"/>
              </w:rPr>
              <w:t>397,220</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(397,220</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Distributions to noncontrolling interests</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(3,499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(3,499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Issuance of common stock</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838</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8</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(8</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Surrender of restricted common stock</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(236</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(2</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(3,946</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(3,948</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(3,948</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Exercise of common stock options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239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3,349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3,351</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3,351</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Amortization of equity awards</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14,219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14,219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CCEEFF"/>
            <w:vAlign w:val="bottom"/>
            <w:hideMark/>
          </w:tcPr>
          <w:p w:rsidR="00000000" w:rsidRDefault="005F676C">
            <w:pPr>
              <w:jc w:val="right"/>
              <w:rPr>
                <w:rFonts w:eastAsia="Times New Roman"/>
                <w:sz w:val="16"/>
                <w:szCs w:val="16"/>
              </w:rPr>
            </w:pPr>
            <w:r>
              <w:rPr>
                <w:rFonts w:eastAsia="Times New Roman"/>
                <w:sz w:val="16"/>
                <w:szCs w:val="16"/>
              </w:rPr>
              <w:t>14,219</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Acquisition of noncontrolling interests</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Style w:val="a6"/>
                <w:rFonts w:eastAsia="Times New Roman"/>
                <w:i w:val="0"/>
                <w:iCs w:val="0"/>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489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489</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(3,215</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shd w:val="clear" w:color="auto" w:fill="FFFFFF"/>
            <w:vAlign w:val="bottom"/>
            <w:hideMark/>
          </w:tcPr>
          <w:p w:rsidR="00000000" w:rsidRDefault="005F676C">
            <w:pPr>
              <w:jc w:val="right"/>
              <w:rPr>
                <w:rFonts w:eastAsia="Times New Roman"/>
                <w:sz w:val="16"/>
                <w:szCs w:val="16"/>
              </w:rPr>
            </w:pPr>
            <w:r>
              <w:rPr>
                <w:rFonts w:eastAsia="Times New Roman"/>
                <w:sz w:val="16"/>
                <w:szCs w:val="16"/>
              </w:rPr>
              <w:t>(2,726</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CCEEFF"/>
            <w:vAlign w:val="bottom"/>
            <w:hideMark/>
          </w:tcPr>
          <w:p w:rsidR="00000000" w:rsidRDefault="005F676C">
            <w:pPr>
              <w:pStyle w:val="a3"/>
              <w:spacing w:before="0" w:beforeAutospacing="0" w:after="0" w:afterAutospacing="0"/>
              <w:rPr>
                <w:sz w:val="16"/>
                <w:szCs w:val="16"/>
              </w:rPr>
            </w:pPr>
            <w:r>
              <w:rPr>
                <w:sz w:val="16"/>
                <w:szCs w:val="16"/>
              </w:rPr>
              <w:t>Redemption of preferred stock</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(14</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(14</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(349,986</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(350,000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single" w:sz="6" w:space="0" w:color="000000"/>
            </w:tcBorders>
            <w:shd w:val="clear" w:color="auto" w:fill="CCEEFF"/>
            <w:vAlign w:val="bottom"/>
            <w:hideMark/>
          </w:tcPr>
          <w:p w:rsidR="00000000" w:rsidRDefault="005F676C">
            <w:pPr>
              <w:jc w:val="right"/>
              <w:rPr>
                <w:rFonts w:eastAsia="Times New Roman"/>
                <w:sz w:val="16"/>
                <w:szCs w:val="16"/>
              </w:rPr>
            </w:pPr>
            <w:r>
              <w:rPr>
                <w:rFonts w:eastAsia="Times New Roman"/>
                <w:sz w:val="16"/>
                <w:szCs w:val="16"/>
              </w:rPr>
              <w:t>(350,000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16"/>
                <w:szCs w:val="16"/>
              </w:rPr>
            </w:pPr>
            <w:r>
              <w:rPr>
                <w:rFonts w:eastAsia="Times New Roman"/>
                <w:sz w:val="16"/>
                <w:szCs w:val="16"/>
              </w:rPr>
              <w:t>)</w:t>
            </w:r>
          </w:p>
        </w:tc>
      </w:tr>
      <w:tr w:rsidR="005F676C">
        <w:trPr>
          <w:divId w:val="324820126"/>
          <w:tblCellSpacing w:w="0" w:type="dxa"/>
        </w:trPr>
        <w:tc>
          <w:tcPr>
            <w:tcW w:w="1000" w:type="pct"/>
            <w:shd w:val="clear" w:color="auto" w:fill="FFFFFF"/>
            <w:vAlign w:val="bottom"/>
            <w:hideMark/>
          </w:tcPr>
          <w:p w:rsidR="00000000" w:rsidRDefault="005F676C">
            <w:pPr>
              <w:pStyle w:val="a3"/>
              <w:spacing w:before="0" w:beforeAutospacing="0" w:after="0" w:afterAutospacing="0"/>
              <w:rPr>
                <w:sz w:val="16"/>
                <w:szCs w:val="16"/>
              </w:rPr>
            </w:pPr>
            <w:r>
              <w:rPr>
                <w:sz w:val="16"/>
                <w:szCs w:val="16"/>
              </w:rPr>
              <w:t>Balance at September 30, 2019</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(883,741</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29</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29</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422,230</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4,222</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5,781,371</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4,901,881</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72,588</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shd w:val="clear" w:color="auto" w:fill="FFFFFF"/>
            <w:vAlign w:val="bottom"/>
            <w:hideMark/>
          </w:tcPr>
          <w:p w:rsidR="00000000" w:rsidRDefault="005F676C">
            <w:pPr>
              <w:rPr>
                <w:rFonts w:eastAsia="Times New Roman"/>
                <w:sz w:val="16"/>
                <w:szCs w:val="16"/>
              </w:rPr>
            </w:pPr>
            <w:r>
              <w:rPr>
                <w:rFonts w:eastAsia="Times New Roman"/>
                <w:sz w:val="16"/>
                <w:szCs w:val="16"/>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16"/>
                <w:szCs w:val="16"/>
              </w:rPr>
            </w:pPr>
            <w:r>
              <w:rPr>
                <w:rFonts w:eastAsia="Times New Roman"/>
                <w:sz w:val="16"/>
                <w:szCs w:val="16"/>
              </w:rPr>
              <w:t>$</w:t>
            </w:r>
          </w:p>
        </w:tc>
        <w:tc>
          <w:tcPr>
            <w:tcW w:w="250" w:type="pct"/>
            <w:tcBorders>
              <w:bottom w:val="double" w:sz="6" w:space="0" w:color="000000"/>
            </w:tcBorders>
            <w:shd w:val="clear" w:color="auto" w:fill="FFFFFF"/>
            <w:vAlign w:val="bottom"/>
            <w:hideMark/>
          </w:tcPr>
          <w:p w:rsidR="00000000" w:rsidRDefault="005F676C">
            <w:pPr>
              <w:jc w:val="right"/>
              <w:rPr>
                <w:rFonts w:eastAsia="Times New Roman"/>
                <w:sz w:val="16"/>
                <w:szCs w:val="16"/>
              </w:rPr>
            </w:pPr>
            <w:r>
              <w:rPr>
                <w:rFonts w:eastAsia="Times New Roman"/>
                <w:sz w:val="16"/>
                <w:szCs w:val="16"/>
              </w:rPr>
              <w:t>4,974,469</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16"/>
                <w:szCs w:val="16"/>
              </w:rPr>
            </w:pPr>
            <w:r>
              <w:rPr>
                <w:rFonts w:eastAsia="Times New Roman"/>
                <w:sz w:val="16"/>
                <w:szCs w:val="16"/>
              </w:rPr>
              <w:t> </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5F676C">
      <w:pPr>
        <w:pStyle w:val="a3"/>
        <w:spacing w:before="0" w:beforeAutospacing="0" w:after="0" w:afterAutospacing="0"/>
        <w:rPr>
          <w:sz w:val="20"/>
          <w:szCs w:val="20"/>
        </w:rPr>
      </w:pPr>
      <w:r>
        <w:rPr>
          <w:sz w:val="20"/>
          <w:szCs w:val="20"/>
        </w:rPr>
        <w:t> </w:t>
      </w:r>
    </w:p>
    <w:p w:rsidR="00000000" w:rsidRDefault="005F676C">
      <w:pPr>
        <w:jc w:val="center"/>
        <w:divId w:val="1290672840"/>
        <w:rPr>
          <w:rFonts w:eastAsia="Times New Roman"/>
          <w:sz w:val="20"/>
          <w:szCs w:val="20"/>
        </w:rPr>
      </w:pPr>
      <w:r>
        <w:rPr>
          <w:rFonts w:eastAsia="Times New Roman"/>
          <w:sz w:val="20"/>
          <w:szCs w:val="20"/>
        </w:rPr>
        <w:t xml:space="preserve">7 </w:t>
      </w:r>
    </w:p>
    <w:p w:rsidR="00000000" w:rsidRDefault="005F676C">
      <w:pPr>
        <w:divId w:val="1290672840"/>
        <w:rPr>
          <w:rFonts w:eastAsia="Times New Roman"/>
          <w:sz w:val="20"/>
          <w:szCs w:val="20"/>
        </w:rPr>
      </w:pPr>
      <w:r>
        <w:rPr>
          <w:rFonts w:eastAsia="Times New Roman"/>
          <w:sz w:val="20"/>
          <w:szCs w:val="20"/>
        </w:rPr>
        <w:pict>
          <v:rect id="_x0000_i1035" style="width:0;height:1.5pt" o:hralign="center" o:hrstd="t" o:hr="t" fillcolor="#a0a0a0" stroked="f"/>
        </w:pict>
      </w:r>
    </w:p>
    <w:p w:rsidR="00000000" w:rsidRDefault="005F676C">
      <w:pPr>
        <w:divId w:val="129067284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divId w:val="2065327387"/>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KIMCO REALTY CORPORATION AND SUBSIDIARIES</w:t>
      </w:r>
    </w:p>
    <w:p w:rsidR="00000000" w:rsidRDefault="005F676C">
      <w:pPr>
        <w:pStyle w:val="a3"/>
        <w:spacing w:before="0" w:beforeAutospacing="0" w:after="0" w:afterAutospacing="0"/>
        <w:jc w:val="center"/>
        <w:rPr>
          <w:sz w:val="20"/>
          <w:szCs w:val="20"/>
        </w:rPr>
      </w:pPr>
      <w:r>
        <w:rPr>
          <w:sz w:val="20"/>
          <w:szCs w:val="20"/>
        </w:rPr>
        <w:t>CONDENSED CONSOLIDATED STATEMENTS OF CASH FLOWS</w:t>
      </w:r>
    </w:p>
    <w:p w:rsidR="00000000" w:rsidRDefault="005F676C">
      <w:pPr>
        <w:pStyle w:val="a3"/>
        <w:spacing w:before="0" w:beforeAutospacing="0" w:after="0" w:afterAutospacing="0"/>
        <w:jc w:val="center"/>
        <w:rPr>
          <w:sz w:val="20"/>
          <w:szCs w:val="20"/>
        </w:rPr>
      </w:pPr>
      <w:r>
        <w:rPr>
          <w:sz w:val="20"/>
          <w:szCs w:val="20"/>
        </w:rPr>
        <w:t>(Unaudited)</w:t>
      </w:r>
    </w:p>
    <w:p w:rsidR="00000000" w:rsidRDefault="005F676C">
      <w:pPr>
        <w:pStyle w:val="a3"/>
        <w:spacing w:before="0" w:beforeAutospacing="0" w:after="0" w:afterAutospacing="0"/>
        <w:jc w:val="center"/>
        <w:rPr>
          <w:sz w:val="20"/>
          <w:szCs w:val="20"/>
        </w:rPr>
      </w:pPr>
      <w:r>
        <w:rPr>
          <w:sz w:val="20"/>
          <w:szCs w:val="20"/>
        </w:rPr>
        <w:t>(in thousands)</w:t>
      </w:r>
    </w:p>
    <w:p w:rsidR="00000000" w:rsidRDefault="005F676C">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5809"/>
        <w:gridCol w:w="78"/>
        <w:gridCol w:w="100"/>
        <w:gridCol w:w="992"/>
        <w:gridCol w:w="78"/>
        <w:gridCol w:w="78"/>
        <w:gridCol w:w="100"/>
        <w:gridCol w:w="992"/>
        <w:gridCol w:w="79"/>
      </w:tblGrid>
      <w:tr w:rsidR="00000000">
        <w:trPr>
          <w:divId w:val="1372195833"/>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6"/>
            <w:vAlign w:val="bottom"/>
            <w:hideMark/>
          </w:tcPr>
          <w:p w:rsidR="00000000" w:rsidRDefault="005F676C">
            <w:pPr>
              <w:pStyle w:val="a3"/>
              <w:spacing w:before="0" w:beforeAutospacing="0" w:after="0" w:afterAutospacing="0"/>
              <w:jc w:val="center"/>
              <w:rPr>
                <w:sz w:val="20"/>
                <w:szCs w:val="20"/>
              </w:rPr>
            </w:pPr>
            <w:r>
              <w:rPr>
                <w:b/>
                <w:bCs/>
                <w:sz w:val="20"/>
                <w:szCs w:val="20"/>
              </w:rPr>
              <w:t xml:space="preserve">Nine Months Ended September 30,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35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Cash flow from operating activities:</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Net income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303,518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410,516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Adjustments to reconcile net income to net cash provided by operating activities:</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209,440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236,114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Impairment charges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41,235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33,855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Equity award expense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15,025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14,455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Gain on sale of properties/change in control of interests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(47,382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(180,461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(58,960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(52,486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(22,758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(24,638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Distributions from joint ventures and other real estate investments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78,940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80,900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Change in accounts and notes receivable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(6,908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6,317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Change in accounts payable and accrued expenses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29,515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26,072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Change in other operating assets and liabilities</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(59,206</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(47,075</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720"/>
              <w:rPr>
                <w:sz w:val="20"/>
                <w:szCs w:val="20"/>
              </w:rPr>
            </w:pPr>
            <w:r>
              <w:rPr>
                <w:sz w:val="20"/>
                <w:szCs w:val="20"/>
              </w:rPr>
              <w:t>Net cash flow provided by operating activities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482,459</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516,331</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Cash flow from investing activities:</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Acquisition of operating real estate and other related net assets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(5,407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Improvements to operating real estate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(228,029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(193,445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Acquisition of real estate under development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(4,592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Improvements to real estate under development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(85,609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(175,129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Investments in marketable securities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(244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Proceeds from sale/repayments of marketable securities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1,920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677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Investments in and advances to real estate joint ventures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(22,129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(25,781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Reimbursements of investments in and advances to real estate joint ventures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10,274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7,358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Investments in and advances to other real estate investments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(12,503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(353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Reimbursements of investments in and advances to other real estate investments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5,960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10,464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Investment in other financing receivable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Collection of mortgage loans receivable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5,402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7,446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Investment in other investments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(2,500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(357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Proceeds from sale of operating properties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163,199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596,502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Proceeds from insurance casualty claims</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3,000</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13,500</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720"/>
              <w:rPr>
                <w:sz w:val="20"/>
                <w:szCs w:val="20"/>
              </w:rPr>
            </w:pPr>
            <w:r>
              <w:rPr>
                <w:sz w:val="20"/>
                <w:szCs w:val="20"/>
              </w:rPr>
              <w:t>Net cash flow (used for)/provided by investing activities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(161,307</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230,755</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Cash flow from financing activities:</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Principal payments on debt, excluding normal amortization of rental property debt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(6,198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(202,725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Principal payments on rental property debt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(9,265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(10,025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Proceeds from construction loan financing</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8,752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30,366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Proceeds under the unsecured revolving credit facility,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100,000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122,254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Proceeds from issuance of unsecured notes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350,000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Repayments under unsecured notes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(315,095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Financing origination costs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(7,448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(1,208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Payment of early extinguishment of debt charges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(1,531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(13,308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Contributions from noncontrolling interests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Redemption/distribution of noncontrolling interests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(6,489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(6,046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Dividends paid</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(401,280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(397,232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Proceeds from issuance of stock,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3,351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33,601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Redemption of preferred stock</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(350,000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Repurchase of common stock</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(75,126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Change in other financing liabilities</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(3,315</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(4,778</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720"/>
              <w:rPr>
                <w:sz w:val="20"/>
                <w:szCs w:val="20"/>
              </w:rPr>
            </w:pPr>
            <w:r>
              <w:rPr>
                <w:sz w:val="20"/>
                <w:szCs w:val="20"/>
              </w:rPr>
              <w:t>Net cash flow used for financing activities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(323,423</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(839,213</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Net change in cash and cash equivalents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(2,271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(92,127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divId w:val="1372195833"/>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143,581</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238,513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720"/>
              <w:rPr>
                <w:sz w:val="20"/>
                <w:szCs w:val="20"/>
              </w:rPr>
            </w:pPr>
            <w:r>
              <w:rPr>
                <w:sz w:val="20"/>
                <w:szCs w:val="20"/>
              </w:rPr>
              <w:t>Cash and cash equivalents, end of the period</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141,310</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146,386</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divId w:val="1372195833"/>
          <w:tblCellSpacing w:w="0" w:type="dxa"/>
        </w:trPr>
        <w:tc>
          <w:tcPr>
            <w:tcW w:w="0" w:type="auto"/>
            <w:shd w:val="clear" w:color="auto" w:fill="CCEEFF"/>
            <w:vAlign w:val="bottom"/>
            <w:hideMark/>
          </w:tcPr>
          <w:p w:rsidR="00000000" w:rsidRDefault="005F676C">
            <w:pPr>
              <w:pStyle w:val="a3"/>
              <w:spacing w:before="0" w:beforeAutospacing="0" w:after="0" w:afterAutospacing="0"/>
              <w:ind w:left="180" w:hanging="180"/>
              <w:rPr>
                <w:sz w:val="20"/>
                <w:szCs w:val="20"/>
              </w:rPr>
            </w:pPr>
            <w:r>
              <w:rPr>
                <w:sz w:val="20"/>
                <w:szCs w:val="20"/>
              </w:rPr>
              <w:t>Interest paid during the period including payment of early extinguishment of debt charges of $1,531 and $13,308, respectively (net of capitalized interest of $10,874 and $13,319 respectively)</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111,224</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141,371</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The accompanying notes are an integral part of these condensed consolidated financial statements.</w:t>
      </w:r>
    </w:p>
    <w:p w:rsidR="00000000" w:rsidRDefault="005F676C">
      <w:pPr>
        <w:pStyle w:val="a3"/>
        <w:spacing w:before="0" w:beforeAutospacing="0" w:after="0" w:afterAutospacing="0"/>
        <w:jc w:val="center"/>
        <w:rPr>
          <w:sz w:val="20"/>
          <w:szCs w:val="20"/>
        </w:rPr>
      </w:pPr>
      <w:r>
        <w:rPr>
          <w:sz w:val="20"/>
          <w:szCs w:val="20"/>
        </w:rPr>
        <w:t> </w:t>
      </w:r>
    </w:p>
    <w:p w:rsidR="00000000" w:rsidRDefault="005F676C">
      <w:pPr>
        <w:jc w:val="center"/>
        <w:divId w:val="1466971355"/>
        <w:rPr>
          <w:rFonts w:eastAsia="Times New Roman"/>
          <w:sz w:val="20"/>
          <w:szCs w:val="20"/>
        </w:rPr>
      </w:pPr>
      <w:r>
        <w:rPr>
          <w:rFonts w:eastAsia="Times New Roman"/>
          <w:sz w:val="20"/>
          <w:szCs w:val="20"/>
        </w:rPr>
        <w:t xml:space="preserve">8 </w:t>
      </w:r>
    </w:p>
    <w:p w:rsidR="00000000" w:rsidRDefault="005F676C">
      <w:pPr>
        <w:divId w:val="1466971355"/>
        <w:rPr>
          <w:rFonts w:eastAsia="Times New Roman"/>
          <w:sz w:val="20"/>
          <w:szCs w:val="20"/>
        </w:rPr>
      </w:pPr>
      <w:r>
        <w:rPr>
          <w:rFonts w:eastAsia="Times New Roman"/>
          <w:sz w:val="20"/>
          <w:szCs w:val="20"/>
        </w:rPr>
        <w:pict>
          <v:rect id="_x0000_i1036" style="width:0;height:1.5pt" o:hralign="center" o:hrstd="t" o:hr="t" fillcolor="#a0a0a0" stroked="f"/>
        </w:pict>
      </w:r>
    </w:p>
    <w:p w:rsidR="00000000" w:rsidRDefault="005F676C">
      <w:pPr>
        <w:divId w:val="146697135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KIMCO REALTY CORPORATION AND SUBSIDIARIES</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NOTES TO CONDENSED CONSOLIDATED FINANCIAL STATEMENTS</w:t>
      </w:r>
    </w:p>
    <w:p w:rsidR="00000000" w:rsidRDefault="005F676C">
      <w:pPr>
        <w:pStyle w:val="a3"/>
        <w:spacing w:before="0" w:beforeAutospacing="0" w:after="0" w:afterAutospacing="0"/>
        <w:jc w:val="center"/>
        <w:rPr>
          <w:sz w:val="20"/>
          <w:szCs w:val="20"/>
        </w:rPr>
      </w:pPr>
      <w:r>
        <w:rPr>
          <w:sz w:val="20"/>
          <w:szCs w:val="20"/>
        </w:rPr>
        <w:t>                                        </w:t>
      </w:r>
    </w:p>
    <w:p w:rsidR="00000000" w:rsidRDefault="005F676C">
      <w:pPr>
        <w:divId w:val="1183279754"/>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jc w:val="both"/>
        <w:rPr>
          <w:sz w:val="20"/>
          <w:szCs w:val="20"/>
        </w:rPr>
      </w:pPr>
      <w:r>
        <w:rPr>
          <w:rStyle w:val="a6"/>
          <w:i w:val="0"/>
          <w:iCs w:val="0"/>
          <w:sz w:val="20"/>
          <w:szCs w:val="20"/>
        </w:rPr>
        <w:t>1.</w:t>
      </w:r>
      <w:r>
        <w:rPr>
          <w:sz w:val="20"/>
          <w:szCs w:val="20"/>
        </w:rPr>
        <w:t xml:space="preserve"> </w:t>
      </w:r>
      <w:r>
        <w:rPr>
          <w:sz w:val="20"/>
          <w:szCs w:val="20"/>
          <w:u w:val="single"/>
        </w:rPr>
        <w:t>Business and Organization</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Kimco Realty Corporation and subsidiaries (the “Company”</w:t>
      </w:r>
      <w:r>
        <w:rPr>
          <w:sz w:val="20"/>
          <w:szCs w:val="20"/>
        </w:rPr>
        <w:t>), affiliates and related real estate joint ventures are engaged principally in the ownership, management, development and operation of open-air shopping centers, which are anchored generally by grocery stores, off-price retailers, home improvement centers</w:t>
      </w:r>
      <w:r>
        <w:rPr>
          <w:sz w:val="20"/>
          <w:szCs w:val="20"/>
        </w:rPr>
        <w:t>, discounters and/or service-oriented tenants. Additionally, the Company provides complementary services that capitalize on the Company’s established retail real estate expertise.</w:t>
      </w:r>
    </w:p>
    <w:p w:rsidR="00000000" w:rsidRDefault="005F676C">
      <w:pPr>
        <w:pStyle w:val="a3"/>
        <w:spacing w:before="0" w:beforeAutospacing="0" w:after="0" w:afterAutospacing="0"/>
        <w:ind w:left="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elected status as a Real Estate Investment Trust (a “REIT”) fo</w:t>
      </w:r>
      <w:r>
        <w:rPr>
          <w:sz w:val="20"/>
          <w:szCs w:val="20"/>
        </w:rPr>
        <w:t>r federal income tax purposes beginning in its taxable year ended</w:t>
      </w:r>
      <w:r>
        <w:rPr>
          <w:sz w:val="20"/>
          <w:szCs w:val="20"/>
        </w:rPr>
        <w:t xml:space="preserve"> </w:t>
      </w:r>
      <w:r>
        <w:rPr>
          <w:rStyle w:val="a6"/>
          <w:i w:val="0"/>
          <w:iCs w:val="0"/>
          <w:sz w:val="20"/>
          <w:szCs w:val="20"/>
        </w:rPr>
        <w:t xml:space="preserve">December 31, 1991 </w:t>
      </w:r>
      <w:r>
        <w:rPr>
          <w:sz w:val="20"/>
          <w:szCs w:val="20"/>
        </w:rPr>
        <w:t>and operates in a manner that enables the Company to maintain its status as a REIT.  As a REIT, with respect to each taxable year, the Company must distribute at least</w:t>
      </w:r>
      <w:r>
        <w:rPr>
          <w:sz w:val="20"/>
          <w:szCs w:val="20"/>
        </w:rPr>
        <w:t xml:space="preserve"> </w:t>
      </w:r>
      <w:r>
        <w:rPr>
          <w:rStyle w:val="a6"/>
          <w:i w:val="0"/>
          <w:iCs w:val="0"/>
          <w:sz w:val="20"/>
          <w:szCs w:val="20"/>
        </w:rPr>
        <w:t>90</w:t>
      </w:r>
      <w:r>
        <w:rPr>
          <w:sz w:val="20"/>
          <w:szCs w:val="20"/>
        </w:rPr>
        <w:t xml:space="preserve"> p</w:t>
      </w:r>
      <w:r>
        <w:rPr>
          <w:sz w:val="20"/>
          <w:szCs w:val="20"/>
        </w:rPr>
        <w:t>ercent of its taxable income (excluding capital gain) and does</w:t>
      </w:r>
      <w:r>
        <w:rPr>
          <w:sz w:val="20"/>
          <w:szCs w:val="20"/>
        </w:rPr>
        <w:t xml:space="preserve"> </w:t>
      </w:r>
      <w:r>
        <w:rPr>
          <w:rStyle w:val="a6"/>
          <w:i w:val="0"/>
          <w:iCs w:val="0"/>
          <w:sz w:val="20"/>
          <w:szCs w:val="20"/>
        </w:rPr>
        <w:t>not</w:t>
      </w:r>
      <w:r>
        <w:rPr>
          <w:sz w:val="20"/>
          <w:szCs w:val="20"/>
        </w:rPr>
        <w:t xml:space="preserve"> pay federal income taxes on the amount distributed to its shareholders.  The Company is</w:t>
      </w:r>
      <w:r>
        <w:rPr>
          <w:sz w:val="20"/>
          <w:szCs w:val="20"/>
        </w:rPr>
        <w:t xml:space="preserve"> </w:t>
      </w:r>
      <w:r>
        <w:rPr>
          <w:rStyle w:val="a6"/>
          <w:i w:val="0"/>
          <w:iCs w:val="0"/>
          <w:sz w:val="20"/>
          <w:szCs w:val="20"/>
        </w:rPr>
        <w:t>not</w:t>
      </w:r>
      <w:r>
        <w:rPr>
          <w:sz w:val="20"/>
          <w:szCs w:val="20"/>
        </w:rPr>
        <w:t xml:space="preserve"> generally subject to federal income taxes if it distributes</w:t>
      </w:r>
      <w:r>
        <w:rPr>
          <w:sz w:val="20"/>
          <w:szCs w:val="20"/>
        </w:rPr>
        <w:t xml:space="preserve"> </w:t>
      </w:r>
      <w:r>
        <w:rPr>
          <w:rStyle w:val="a6"/>
          <w:i w:val="0"/>
          <w:iCs w:val="0"/>
          <w:sz w:val="20"/>
          <w:szCs w:val="20"/>
        </w:rPr>
        <w:t>100</w:t>
      </w:r>
      <w:r>
        <w:rPr>
          <w:sz w:val="20"/>
          <w:szCs w:val="20"/>
        </w:rPr>
        <w:t xml:space="preserve"> percent of its taxable income.  M</w:t>
      </w:r>
      <w:r>
        <w:rPr>
          <w:sz w:val="20"/>
          <w:szCs w:val="20"/>
        </w:rPr>
        <w:t xml:space="preserve">ost states, where the Company holds investments in real estate, conform to the federal rules recognizing REITs.  Certain subsidiaries have made a joint election with the Company to be treated as taxable REIT subsidiaries (“TRSs”), which permit the Company </w:t>
      </w:r>
      <w:r>
        <w:rPr>
          <w:sz w:val="20"/>
          <w:szCs w:val="20"/>
        </w:rPr>
        <w:t>to engage in certain business activities which the REIT</w:t>
      </w:r>
      <w:r>
        <w:rPr>
          <w:sz w:val="20"/>
          <w:szCs w:val="20"/>
        </w:rPr>
        <w:t xml:space="preserve"> </w:t>
      </w:r>
      <w:r>
        <w:rPr>
          <w:rStyle w:val="a6"/>
          <w:i w:val="0"/>
          <w:iCs w:val="0"/>
          <w:sz w:val="20"/>
          <w:szCs w:val="20"/>
        </w:rPr>
        <w:t>may</w:t>
      </w:r>
      <w:r>
        <w:rPr>
          <w:rStyle w:val="a6"/>
          <w:i w:val="0"/>
          <w:iCs w:val="0"/>
          <w:sz w:val="20"/>
          <w:szCs w:val="20"/>
        </w:rPr>
        <w:t xml:space="preserve"> </w:t>
      </w:r>
      <w:r>
        <w:rPr>
          <w:rStyle w:val="a6"/>
          <w:i w:val="0"/>
          <w:iCs w:val="0"/>
          <w:sz w:val="20"/>
          <w:szCs w:val="20"/>
        </w:rPr>
        <w:t>not</w:t>
      </w:r>
      <w:r>
        <w:rPr>
          <w:sz w:val="20"/>
          <w:szCs w:val="20"/>
        </w:rPr>
        <w:t xml:space="preserve"> conduct directly.  A TRS is subject to federal and state income taxes on its income, and the Company includes, when applicable, a provision for taxes in its condensed consolidated financial st</w:t>
      </w:r>
      <w:r>
        <w:rPr>
          <w:sz w:val="20"/>
          <w:szCs w:val="20"/>
        </w:rPr>
        <w:t>atements.  The Company is subject to and also includes in its tax provision non-U.S. income taxes on certain investments located in jurisdictions outside the U.S. These investments are held by the Company at the REIT level and</w:t>
      </w:r>
      <w:r>
        <w:rPr>
          <w:sz w:val="20"/>
          <w:szCs w:val="20"/>
        </w:rPr>
        <w:t xml:space="preserve"> </w:t>
      </w:r>
      <w:r>
        <w:rPr>
          <w:rStyle w:val="a6"/>
          <w:i w:val="0"/>
          <w:iCs w:val="0"/>
          <w:sz w:val="20"/>
          <w:szCs w:val="20"/>
        </w:rPr>
        <w:t>not</w:t>
      </w:r>
      <w:r>
        <w:rPr>
          <w:sz w:val="20"/>
          <w:szCs w:val="20"/>
        </w:rPr>
        <w:t xml:space="preserve"> in the Company’s taxable </w:t>
      </w:r>
      <w:r>
        <w:rPr>
          <w:sz w:val="20"/>
          <w:szCs w:val="20"/>
        </w:rPr>
        <w:t>REIT subsidiaries. Accordingly, the Company does</w:t>
      </w:r>
      <w:r>
        <w:rPr>
          <w:sz w:val="20"/>
          <w:szCs w:val="20"/>
        </w:rPr>
        <w:t xml:space="preserve"> </w:t>
      </w:r>
      <w:r>
        <w:rPr>
          <w:rStyle w:val="a6"/>
          <w:i w:val="0"/>
          <w:iCs w:val="0"/>
          <w:sz w:val="20"/>
          <w:szCs w:val="20"/>
        </w:rPr>
        <w:t>not</w:t>
      </w:r>
      <w:r>
        <w:rPr>
          <w:sz w:val="20"/>
          <w:szCs w:val="20"/>
        </w:rPr>
        <w:t xml:space="preserve"> expect a U.S. income tax impact associated with the repatriation of undistributed earnings from the Company’s foreign subsidiaries.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divId w:val="1697072079"/>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jc w:val="both"/>
        <w:rPr>
          <w:sz w:val="20"/>
          <w:szCs w:val="20"/>
        </w:rPr>
      </w:pPr>
      <w:r>
        <w:rPr>
          <w:rStyle w:val="a6"/>
          <w:i w:val="0"/>
          <w:iCs w:val="0"/>
          <w:sz w:val="20"/>
          <w:szCs w:val="20"/>
        </w:rPr>
        <w:t>2.</w:t>
      </w:r>
      <w:r>
        <w:rPr>
          <w:sz w:val="20"/>
          <w:szCs w:val="20"/>
        </w:rPr>
        <w:t xml:space="preserve"> </w:t>
      </w:r>
      <w:r>
        <w:rPr>
          <w:sz w:val="20"/>
          <w:szCs w:val="20"/>
          <w:u w:val="single"/>
        </w:rPr>
        <w:t>Summary of Significant Accounting Policies</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jc w:val="both"/>
        <w:rPr>
          <w:sz w:val="20"/>
          <w:szCs w:val="20"/>
        </w:rPr>
      </w:pPr>
      <w:r>
        <w:rPr>
          <w:i/>
          <w:iCs/>
          <w:sz w:val="20"/>
          <w:szCs w:val="20"/>
        </w:rPr>
        <w:t>Principles of Cons</w:t>
      </w:r>
      <w:r>
        <w:rPr>
          <w:i/>
          <w:iCs/>
          <w:sz w:val="20"/>
          <w:szCs w:val="20"/>
        </w:rPr>
        <w:t>olidation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accompanying Condensed Consolidated Financial Statements include the accounts of the Company. The Company’s subsidiaries include subsidiaries which are wholly-owned or which the Company has a controlling interest, including where the Comp</w:t>
      </w:r>
      <w:r>
        <w:rPr>
          <w:sz w:val="20"/>
          <w:szCs w:val="20"/>
        </w:rPr>
        <w:t>any has been determined to be a primary beneficiary of a variable interest entity (“VIE”) in accordance with the Consolidation guidance of the Financial Accounting Standards Board (“FASB”) Accounting Standards Codification (“ASC”). All inter-company balanc</w:t>
      </w:r>
      <w:r>
        <w:rPr>
          <w:sz w:val="20"/>
          <w:szCs w:val="20"/>
        </w:rPr>
        <w:t>es and transactions have been eliminated in consolidation. The information presented in the accompanying Condensed Consolidated Financial Statements is unaudited and reflects all adjustments which are, in the opinion of management, necessary to reflect a f</w:t>
      </w:r>
      <w:r>
        <w:rPr>
          <w:sz w:val="20"/>
          <w:szCs w:val="20"/>
        </w:rPr>
        <w:t>air statement of the results for the interim periods presented, and all such adjustments are of a normal recurring nature.  These Condensed Consolidated Financial Statements should be read in conjunction with the Company's audited Annual Report on Form</w:t>
      </w:r>
      <w:r>
        <w:rPr>
          <w:sz w:val="20"/>
          <w:szCs w:val="20"/>
        </w:rPr>
        <w:t xml:space="preserve"> </w:t>
      </w:r>
      <w:r>
        <w:rPr>
          <w:rStyle w:val="a6"/>
          <w:i w:val="0"/>
          <w:iCs w:val="0"/>
          <w:sz w:val="20"/>
          <w:szCs w:val="20"/>
        </w:rPr>
        <w:t>10</w:t>
      </w:r>
      <w:r>
        <w:rPr>
          <w:sz w:val="20"/>
          <w:szCs w:val="20"/>
        </w:rPr>
        <w:t>-</w:t>
      </w:r>
      <w:r>
        <w:rPr>
          <w:sz w:val="20"/>
          <w:szCs w:val="20"/>
        </w:rPr>
        <w:t>K for the year ended</w:t>
      </w:r>
      <w:r>
        <w:rPr>
          <w:sz w:val="20"/>
          <w:szCs w:val="20"/>
        </w:rPr>
        <w:t xml:space="preserve"> </w:t>
      </w:r>
      <w:r>
        <w:rPr>
          <w:rStyle w:val="a6"/>
          <w:i w:val="0"/>
          <w:iCs w:val="0"/>
          <w:sz w:val="20"/>
          <w:szCs w:val="20"/>
        </w:rPr>
        <w:t>December 31, 2018 (</w:t>
      </w:r>
      <w:r>
        <w:rPr>
          <w:sz w:val="20"/>
          <w:szCs w:val="20"/>
        </w:rPr>
        <w:t>the</w:t>
      </w:r>
      <w:r>
        <w:rPr>
          <w:sz w:val="20"/>
          <w:szCs w:val="20"/>
        </w:rPr>
        <w:t xml:space="preserve"> </w:t>
      </w:r>
      <w:r>
        <w:rPr>
          <w:rStyle w:val="a6"/>
          <w:i w:val="0"/>
          <w:iCs w:val="0"/>
          <w:sz w:val="20"/>
          <w:szCs w:val="20"/>
        </w:rPr>
        <w:t>“10</w:t>
      </w:r>
      <w:r>
        <w:rPr>
          <w:sz w:val="20"/>
          <w:szCs w:val="20"/>
        </w:rPr>
        <w:t>-K”), as certain disclosures in this Quarterly Report on Form</w:t>
      </w:r>
      <w:r>
        <w:rPr>
          <w:sz w:val="20"/>
          <w:szCs w:val="20"/>
        </w:rPr>
        <w:t xml:space="preserve"> </w:t>
      </w:r>
      <w:r>
        <w:rPr>
          <w:rStyle w:val="a6"/>
          <w:i w:val="0"/>
          <w:iCs w:val="0"/>
          <w:sz w:val="20"/>
          <w:szCs w:val="20"/>
        </w:rPr>
        <w:t>10</w:t>
      </w:r>
      <w:r>
        <w:rPr>
          <w:sz w:val="20"/>
          <w:szCs w:val="20"/>
        </w:rPr>
        <w:t>-Q for the quarterly period ended</w:t>
      </w:r>
      <w:r>
        <w:rPr>
          <w:sz w:val="20"/>
          <w:szCs w:val="20"/>
        </w:rPr>
        <w:t xml:space="preserve"> </w:t>
      </w:r>
      <w:r>
        <w:rPr>
          <w:rStyle w:val="a6"/>
          <w:i w:val="0"/>
          <w:iCs w:val="0"/>
          <w:sz w:val="20"/>
          <w:szCs w:val="20"/>
        </w:rPr>
        <w:t xml:space="preserve">September 30, 2019, </w:t>
      </w:r>
      <w:r>
        <w:rPr>
          <w:sz w:val="20"/>
          <w:szCs w:val="20"/>
        </w:rPr>
        <w:t>that would duplicate those included in the</w:t>
      </w:r>
      <w:r>
        <w:rPr>
          <w:sz w:val="20"/>
          <w:szCs w:val="20"/>
        </w:rPr>
        <w:t xml:space="preserve"> </w:t>
      </w:r>
      <w:r>
        <w:rPr>
          <w:rStyle w:val="a6"/>
          <w:i w:val="0"/>
          <w:iCs w:val="0"/>
          <w:sz w:val="20"/>
          <w:szCs w:val="20"/>
        </w:rPr>
        <w:t>10</w:t>
      </w:r>
      <w:r>
        <w:rPr>
          <w:sz w:val="20"/>
          <w:szCs w:val="20"/>
        </w:rPr>
        <w:t>-K are</w:t>
      </w:r>
      <w:r>
        <w:rPr>
          <w:sz w:val="20"/>
          <w:szCs w:val="20"/>
        </w:rPr>
        <w:t xml:space="preserve"> </w:t>
      </w:r>
      <w:r>
        <w:rPr>
          <w:rStyle w:val="a6"/>
          <w:i w:val="0"/>
          <w:iCs w:val="0"/>
          <w:sz w:val="20"/>
          <w:szCs w:val="20"/>
        </w:rPr>
        <w:t>not</w:t>
      </w:r>
      <w:r>
        <w:rPr>
          <w:sz w:val="20"/>
          <w:szCs w:val="20"/>
        </w:rPr>
        <w:t xml:space="preserve"> included in these Condensed Consoli</w:t>
      </w:r>
      <w:r>
        <w:rPr>
          <w:sz w:val="20"/>
          <w:szCs w:val="20"/>
        </w:rPr>
        <w:t>dated Financial Statements.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Revenues and Trade Accounts Receivable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 primary source of revenues are derived from lease agreements which fall under the scope of ASU</w:t>
      </w:r>
      <w:r>
        <w:rPr>
          <w:sz w:val="20"/>
          <w:szCs w:val="20"/>
        </w:rPr>
        <w:t xml:space="preserve"> </w:t>
      </w:r>
      <w:r>
        <w:rPr>
          <w:rStyle w:val="a6"/>
          <w:i w:val="0"/>
          <w:iCs w:val="0"/>
          <w:sz w:val="20"/>
          <w:szCs w:val="20"/>
        </w:rPr>
        <w:t>2016</w:t>
      </w:r>
      <w:r>
        <w:rPr>
          <w:sz w:val="20"/>
          <w:szCs w:val="20"/>
        </w:rPr>
        <w:t>-</w:t>
      </w:r>
      <w:r>
        <w:rPr>
          <w:rStyle w:val="a6"/>
          <w:i w:val="0"/>
          <w:iCs w:val="0"/>
          <w:sz w:val="20"/>
          <w:szCs w:val="20"/>
        </w:rPr>
        <w:t>02,</w:t>
      </w:r>
      <w:r>
        <w:rPr>
          <w:sz w:val="20"/>
          <w:szCs w:val="20"/>
        </w:rPr>
        <w:t xml:space="preserve"> </w:t>
      </w:r>
      <w:r>
        <w:rPr>
          <w:i/>
          <w:iCs/>
          <w:sz w:val="20"/>
          <w:szCs w:val="20"/>
        </w:rPr>
        <w:t>Leases (Topic</w:t>
      </w:r>
      <w:r>
        <w:rPr>
          <w:i/>
          <w:iCs/>
          <w:sz w:val="20"/>
          <w:szCs w:val="20"/>
        </w:rPr>
        <w:t xml:space="preserve"> </w:t>
      </w:r>
      <w:r>
        <w:rPr>
          <w:rStyle w:val="a6"/>
          <w:i w:val="0"/>
          <w:iCs w:val="0"/>
          <w:sz w:val="20"/>
          <w:szCs w:val="20"/>
        </w:rPr>
        <w:t>842</w:t>
      </w:r>
      <w:r>
        <w:rPr>
          <w:i/>
          <w:iCs/>
          <w:sz w:val="20"/>
          <w:szCs w:val="20"/>
        </w:rPr>
        <w:t>),</w:t>
      </w:r>
      <w:r>
        <w:rPr>
          <w:sz w:val="20"/>
          <w:szCs w:val="20"/>
        </w:rPr>
        <w:t xml:space="preserve"> (“Topic</w:t>
      </w:r>
      <w:r>
        <w:rPr>
          <w:sz w:val="20"/>
          <w:szCs w:val="20"/>
        </w:rPr>
        <w:t xml:space="preserve"> </w:t>
      </w:r>
      <w:r>
        <w:rPr>
          <w:rStyle w:val="a6"/>
          <w:i w:val="0"/>
          <w:iCs w:val="0"/>
          <w:sz w:val="20"/>
          <w:szCs w:val="20"/>
        </w:rPr>
        <w:t>842”</w:t>
      </w:r>
      <w:r>
        <w:rPr>
          <w:sz w:val="20"/>
          <w:szCs w:val="20"/>
        </w:rPr>
        <w:t>), which includes rental income and expense reimbursement income. The Company also has revenues which are accounted for under ASU</w:t>
      </w:r>
      <w:r>
        <w:rPr>
          <w:sz w:val="20"/>
          <w:szCs w:val="20"/>
        </w:rPr>
        <w:t xml:space="preserve"> </w:t>
      </w:r>
      <w:r>
        <w:rPr>
          <w:rStyle w:val="a6"/>
          <w:i w:val="0"/>
          <w:iCs w:val="0"/>
          <w:sz w:val="20"/>
          <w:szCs w:val="20"/>
        </w:rPr>
        <w:t>2014</w:t>
      </w:r>
      <w:r>
        <w:rPr>
          <w:sz w:val="20"/>
          <w:szCs w:val="20"/>
        </w:rPr>
        <w:t>-</w:t>
      </w:r>
      <w:r>
        <w:rPr>
          <w:rStyle w:val="a6"/>
          <w:i w:val="0"/>
          <w:iCs w:val="0"/>
          <w:sz w:val="20"/>
          <w:szCs w:val="20"/>
        </w:rPr>
        <w:t>09,</w:t>
      </w:r>
      <w:r>
        <w:rPr>
          <w:sz w:val="20"/>
          <w:szCs w:val="20"/>
        </w:rPr>
        <w:t xml:space="preserve"> </w:t>
      </w:r>
      <w:r>
        <w:rPr>
          <w:i/>
          <w:iCs/>
          <w:sz w:val="20"/>
          <w:szCs w:val="20"/>
        </w:rPr>
        <w:t>Revenue from Contracts with Customers (Topic</w:t>
      </w:r>
      <w:r>
        <w:rPr>
          <w:i/>
          <w:iCs/>
          <w:sz w:val="20"/>
          <w:szCs w:val="20"/>
        </w:rPr>
        <w:t xml:space="preserve"> </w:t>
      </w:r>
      <w:r>
        <w:rPr>
          <w:rStyle w:val="a6"/>
          <w:i w:val="0"/>
          <w:iCs w:val="0"/>
          <w:sz w:val="20"/>
          <w:szCs w:val="20"/>
        </w:rPr>
        <w:t>606</w:t>
      </w:r>
      <w:r>
        <w:rPr>
          <w:i/>
          <w:iCs/>
          <w:sz w:val="20"/>
          <w:szCs w:val="20"/>
        </w:rPr>
        <w:t>)</w:t>
      </w:r>
      <w:r>
        <w:rPr>
          <w:sz w:val="20"/>
          <w:szCs w:val="20"/>
        </w:rPr>
        <w:t>, (“Topic</w:t>
      </w:r>
      <w:r>
        <w:rPr>
          <w:sz w:val="20"/>
          <w:szCs w:val="20"/>
        </w:rPr>
        <w:t xml:space="preserve"> </w:t>
      </w:r>
      <w:r>
        <w:rPr>
          <w:rStyle w:val="a6"/>
          <w:i w:val="0"/>
          <w:iCs w:val="0"/>
          <w:sz w:val="20"/>
          <w:szCs w:val="20"/>
        </w:rPr>
        <w:t>606”</w:t>
      </w:r>
      <w:r>
        <w:rPr>
          <w:sz w:val="20"/>
          <w:szCs w:val="20"/>
        </w:rPr>
        <w:t>) which include fees for services performed at various</w:t>
      </w:r>
      <w:r>
        <w:rPr>
          <w:sz w:val="20"/>
          <w:szCs w:val="20"/>
        </w:rPr>
        <w:t xml:space="preserve"> unconsolidated joint ventures for which the Company is the manager. These fees primarily include property and asset management fees, leasing fees, development fees and property acquisition/disposition fees. Also affected by Topic</w:t>
      </w:r>
      <w:r>
        <w:rPr>
          <w:sz w:val="20"/>
          <w:szCs w:val="20"/>
        </w:rPr>
        <w:t xml:space="preserve"> </w:t>
      </w:r>
      <w:r>
        <w:rPr>
          <w:rStyle w:val="a6"/>
          <w:i w:val="0"/>
          <w:iCs w:val="0"/>
          <w:sz w:val="20"/>
          <w:szCs w:val="20"/>
        </w:rPr>
        <w:t>606</w:t>
      </w:r>
      <w:r>
        <w:rPr>
          <w:sz w:val="20"/>
          <w:szCs w:val="20"/>
        </w:rPr>
        <w:t xml:space="preserve"> are gains on sales of</w:t>
      </w:r>
      <w:r>
        <w:rPr>
          <w:sz w:val="20"/>
          <w:szCs w:val="20"/>
        </w:rPr>
        <w:t xml:space="preserve"> properties and tax increment financing (“TIF”) contracts. The Company presents its revenue streams on the Company’s Condensed Consolidated Statements of Income as Revenues from rental properties, net and Management and other fee income.</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u w:val="single"/>
        </w:rPr>
        <w:t>Revenues from re</w:t>
      </w:r>
      <w:r>
        <w:rPr>
          <w:sz w:val="20"/>
          <w:szCs w:val="20"/>
          <w:u w:val="single"/>
        </w:rPr>
        <w:t>ntal properties, net</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Revenues from rental properties, net are comprised of minimum base rent, percentage rent, lease termination fee income, amortization of above-market and below-market rent adjustments and straight-line rent adjustments. Upon the adopt</w:t>
      </w:r>
      <w:r>
        <w:rPr>
          <w:sz w:val="20"/>
          <w:szCs w:val="20"/>
        </w:rPr>
        <w:t>ion of Topic</w:t>
      </w:r>
      <w:r>
        <w:rPr>
          <w:sz w:val="20"/>
          <w:szCs w:val="20"/>
        </w:rPr>
        <w:t xml:space="preserve"> </w:t>
      </w:r>
      <w:r>
        <w:rPr>
          <w:rStyle w:val="a6"/>
          <w:i w:val="0"/>
          <w:iCs w:val="0"/>
          <w:sz w:val="20"/>
          <w:szCs w:val="20"/>
        </w:rPr>
        <w:t>842,</w:t>
      </w:r>
      <w:r>
        <w:rPr>
          <w:sz w:val="20"/>
          <w:szCs w:val="20"/>
        </w:rPr>
        <w:t xml:space="preserve"> the Company elected the lessor practical expedient to combine the lease and non-lease components, determined the lease component was the predominant component and as a result, accounted for the combined components under Topic</w:t>
      </w:r>
      <w:r>
        <w:rPr>
          <w:sz w:val="20"/>
          <w:szCs w:val="20"/>
        </w:rPr>
        <w:t xml:space="preserve"> </w:t>
      </w:r>
      <w:r>
        <w:rPr>
          <w:rStyle w:val="a6"/>
          <w:i w:val="0"/>
          <w:iCs w:val="0"/>
          <w:sz w:val="20"/>
          <w:szCs w:val="20"/>
        </w:rPr>
        <w:t>842.</w:t>
      </w:r>
      <w:r>
        <w:rPr>
          <w:sz w:val="20"/>
          <w:szCs w:val="20"/>
        </w:rPr>
        <w:t xml:space="preserve"> Non-lea</w:t>
      </w:r>
      <w:r>
        <w:rPr>
          <w:sz w:val="20"/>
          <w:szCs w:val="20"/>
        </w:rPr>
        <w:t>se components include reimbursements paid to the Company from tenants for common area maintenance costs, real estate taxes and other operating expenses. The combined components are included in Revenues from rental properties, net on the Company’s Condensed</w:t>
      </w:r>
      <w:r>
        <w:rPr>
          <w:sz w:val="20"/>
          <w:szCs w:val="20"/>
        </w:rPr>
        <w:t xml:space="preserve"> Consolidated Statements of Income.</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jc w:val="center"/>
        <w:rPr>
          <w:rFonts w:eastAsia="Times New Roman"/>
          <w:sz w:val="20"/>
          <w:szCs w:val="20"/>
        </w:rPr>
      </w:pPr>
      <w:r>
        <w:rPr>
          <w:rFonts w:eastAsia="Times New Roman"/>
          <w:sz w:val="20"/>
          <w:szCs w:val="20"/>
        </w:rPr>
        <w:t xml:space="preserve">9 </w:t>
      </w:r>
    </w:p>
    <w:p w:rsidR="00000000" w:rsidRDefault="005F676C">
      <w:pPr>
        <w:rPr>
          <w:rFonts w:eastAsia="Times New Roman"/>
          <w:sz w:val="20"/>
          <w:szCs w:val="20"/>
        </w:rPr>
      </w:pPr>
      <w:r>
        <w:rPr>
          <w:rFonts w:eastAsia="Times New Roman"/>
          <w:sz w:val="20"/>
          <w:szCs w:val="20"/>
        </w:rPr>
        <w:pict>
          <v:rect id="_x0000_i1037" style="width:415.3pt;height:1.5pt" o:hralign="center" o:hrstd="t" o:hrnoshade="t" o:hr="t" fillcolor="black" stroked="f"/>
        </w:pict>
      </w:r>
    </w:p>
    <w:p w:rsidR="00000000" w:rsidRDefault="005F676C">
      <w:pPr>
        <w:rPr>
          <w:rFonts w:eastAsia="Times New Roman"/>
          <w:sz w:val="20"/>
          <w:szCs w:val="20"/>
        </w:rPr>
      </w:pPr>
      <w:hyperlink w:anchor="toc" w:history="1">
        <w:r>
          <w:rPr>
            <w:rStyle w:val="a4"/>
            <w:rFonts w:eastAsia="Times New Roman"/>
            <w:sz w:val="20"/>
            <w:szCs w:val="20"/>
          </w:rPr>
          <w:t>Table of Contents</w:t>
        </w:r>
      </w:hyperlink>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Base rental revenues from rental properties are recognized on a straight-line basis over the terms of the related leases. Certain of these leases also provide for percentage rents based upon the level of sales achieved by the lessee.  These percentage rent</w:t>
      </w:r>
      <w:r>
        <w:rPr>
          <w:sz w:val="20"/>
          <w:szCs w:val="20"/>
        </w:rPr>
        <w:t>s are recognized once the required sales level is achieved.  Rental income</w:t>
      </w:r>
      <w:r>
        <w:rPr>
          <w:sz w:val="20"/>
          <w:szCs w:val="20"/>
        </w:rPr>
        <w:t xml:space="preserve"> </w:t>
      </w:r>
      <w:r>
        <w:rPr>
          <w:rStyle w:val="a6"/>
          <w:i w:val="0"/>
          <w:iCs w:val="0"/>
          <w:sz w:val="20"/>
          <w:szCs w:val="20"/>
        </w:rPr>
        <w:t xml:space="preserve">may </w:t>
      </w:r>
      <w:r>
        <w:rPr>
          <w:sz w:val="20"/>
          <w:szCs w:val="20"/>
        </w:rPr>
        <w:t>also include payments received in connection with lease termination agreements.  Lease termination fee income is recognized when the lessee provides consideration in order to te</w:t>
      </w:r>
      <w:r>
        <w:rPr>
          <w:sz w:val="20"/>
          <w:szCs w:val="20"/>
        </w:rPr>
        <w:t xml:space="preserve">rminate an existing lease agreement and has vacated the leased space. If the lessee continues to occupy the leased space for a period of time after the lease termination is agreed upon, the termination fee is accounted for as a lease modification based on </w:t>
      </w:r>
      <w:r>
        <w:rPr>
          <w:sz w:val="20"/>
          <w:szCs w:val="20"/>
        </w:rPr>
        <w:t>the modified lease term. Upon acquisition of real estate operating properties, the Company estimates the fair value of identified intangible assets and liabilities (including above-market and below-market leases, where applicable). The capitalized above-ma</w:t>
      </w:r>
      <w:r>
        <w:rPr>
          <w:sz w:val="20"/>
          <w:szCs w:val="20"/>
        </w:rPr>
        <w:t>rket or below-market intangible asset or liability is amortized to rental income over the estimated remaining term of the respective leases, which includes the expected renewal option period for below-market leases.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Also included in Revenues from rental </w:t>
      </w:r>
      <w:r>
        <w:rPr>
          <w:sz w:val="20"/>
          <w:szCs w:val="20"/>
        </w:rPr>
        <w:t>properties, net are ancillary income and TIF income. Ancillary income is derived through various agreements relating to parking lots, clothing bins, temporary storage, vending machines, ATMs, trash bins and trash collections, seasonal leases, etc. The majo</w:t>
      </w:r>
      <w:r>
        <w:rPr>
          <w:sz w:val="20"/>
          <w:szCs w:val="20"/>
        </w:rPr>
        <w:t>rity of the revenue derived from these sources are through lease agreements/arrangements and are recognized in accordance with the lease terms described in the lease. The Company has TIF agreements with certain municipalities and receives payments in accor</w:t>
      </w:r>
      <w:r>
        <w:rPr>
          <w:sz w:val="20"/>
          <w:szCs w:val="20"/>
        </w:rPr>
        <w:t>dance with the agreements. TIF reimbursement income is recognized on a cash-basis when received.</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u w:val="single"/>
        </w:rPr>
        <w:t>Trade Accounts Receivable</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reviews its trade accounts receivable, including its straight-line rent receivable, related to base rents, straight-l</w:t>
      </w:r>
      <w:r>
        <w:rPr>
          <w:sz w:val="20"/>
          <w:szCs w:val="20"/>
        </w:rPr>
        <w:t>ine rent, expense reimbursements and other revenues for collectability. The Company analyzes its accounts receivable, customer credit worthiness and current economic trends when evaluating the adequacy of the collectability of the lessee’s total accounts r</w:t>
      </w:r>
      <w:r>
        <w:rPr>
          <w:sz w:val="20"/>
          <w:szCs w:val="20"/>
        </w:rPr>
        <w:t>eceivable balance on a lease by lease basis. In addition, tenants in bankruptcy are analyzed and considerations are made in connection with the expected recovery of pre-petition and post-petition bankruptcy claims. Effective</w:t>
      </w:r>
      <w:r>
        <w:rPr>
          <w:sz w:val="20"/>
          <w:szCs w:val="20"/>
        </w:rPr>
        <w:t xml:space="preserve"> </w:t>
      </w:r>
      <w:r>
        <w:rPr>
          <w:rStyle w:val="a6"/>
          <w:i w:val="0"/>
          <w:iCs w:val="0"/>
          <w:sz w:val="20"/>
          <w:szCs w:val="20"/>
        </w:rPr>
        <w:t xml:space="preserve">January 1, 2019, </w:t>
      </w:r>
      <w:r>
        <w:rPr>
          <w:sz w:val="20"/>
          <w:szCs w:val="20"/>
        </w:rPr>
        <w:t xml:space="preserve">in accordance </w:t>
      </w:r>
      <w:r>
        <w:rPr>
          <w:sz w:val="20"/>
          <w:szCs w:val="20"/>
        </w:rPr>
        <w:t>with the adoption of Topic</w:t>
      </w:r>
      <w:r>
        <w:rPr>
          <w:sz w:val="20"/>
          <w:szCs w:val="20"/>
        </w:rPr>
        <w:t xml:space="preserve"> </w:t>
      </w:r>
      <w:r>
        <w:rPr>
          <w:rStyle w:val="a6"/>
          <w:i w:val="0"/>
          <w:iCs w:val="0"/>
          <w:sz w:val="20"/>
          <w:szCs w:val="20"/>
        </w:rPr>
        <w:t>842</w:t>
      </w:r>
      <w:r>
        <w:rPr>
          <w:sz w:val="20"/>
          <w:szCs w:val="20"/>
        </w:rPr>
        <w:t xml:space="preserve"> the Company includes provision for doubtful accounts in Revenues from rental properties, net. If a lessee’s accounts receivable balance is considered uncollectible, the Company will write-off the receivable balances associate</w:t>
      </w:r>
      <w:r>
        <w:rPr>
          <w:sz w:val="20"/>
          <w:szCs w:val="20"/>
        </w:rPr>
        <w:t xml:space="preserve">d with the lease and will only recognize lease income on a cash basis. If the Company subsequently determines that it is probable it will collect the remaining lessee’s lease payments under the lease term, the Company will then reinstate the straight-line </w:t>
      </w:r>
      <w:r>
        <w:rPr>
          <w:sz w:val="20"/>
          <w:szCs w:val="20"/>
        </w:rPr>
        <w:t>balance and the lease income will then be limited to the lesser of (i) the straight-line rental income or (ii) the lease payments that have been collected from the lessee. The Company’s reported net earnings are directly affected by management’s estimate o</w:t>
      </w:r>
      <w:r>
        <w:rPr>
          <w:sz w:val="20"/>
          <w:szCs w:val="20"/>
        </w:rPr>
        <w:t>f the collectability of its trade accounts receivable. Trade accounts receivable, primarily derived from expense reimbursements that are being disputed by the lessee, will</w:t>
      </w:r>
      <w:r>
        <w:rPr>
          <w:sz w:val="20"/>
          <w:szCs w:val="20"/>
        </w:rPr>
        <w:t xml:space="preserve"> </w:t>
      </w:r>
      <w:r>
        <w:rPr>
          <w:rStyle w:val="a6"/>
          <w:i w:val="0"/>
          <w:iCs w:val="0"/>
          <w:sz w:val="20"/>
          <w:szCs w:val="20"/>
        </w:rPr>
        <w:t>not</w:t>
      </w:r>
      <w:r>
        <w:rPr>
          <w:sz w:val="20"/>
          <w:szCs w:val="20"/>
        </w:rPr>
        <w:t xml:space="preserve"> be written-off as it is presumed the Company will collect these receivables upon</w:t>
      </w:r>
      <w:r>
        <w:rPr>
          <w:sz w:val="20"/>
          <w:szCs w:val="20"/>
        </w:rPr>
        <w:t xml:space="preserve"> resolution with the tenant.</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Leases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FASB issued Topic</w:t>
      </w:r>
      <w:r>
        <w:rPr>
          <w:sz w:val="20"/>
          <w:szCs w:val="20"/>
        </w:rPr>
        <w:t xml:space="preserve"> </w:t>
      </w:r>
      <w:r>
        <w:rPr>
          <w:rStyle w:val="a6"/>
          <w:i w:val="0"/>
          <w:iCs w:val="0"/>
          <w:sz w:val="20"/>
          <w:szCs w:val="20"/>
        </w:rPr>
        <w:t>842,</w:t>
      </w:r>
      <w:r>
        <w:rPr>
          <w:sz w:val="20"/>
          <w:szCs w:val="20"/>
        </w:rPr>
        <w:t xml:space="preserve"> which amended the guidance in former ASC Topic</w:t>
      </w:r>
      <w:r>
        <w:rPr>
          <w:sz w:val="20"/>
          <w:szCs w:val="20"/>
        </w:rPr>
        <w:t xml:space="preserve"> </w:t>
      </w:r>
      <w:r>
        <w:rPr>
          <w:rStyle w:val="a6"/>
          <w:i w:val="0"/>
          <w:iCs w:val="0"/>
          <w:sz w:val="20"/>
          <w:szCs w:val="20"/>
        </w:rPr>
        <w:t>840,</w:t>
      </w:r>
      <w:r>
        <w:rPr>
          <w:sz w:val="20"/>
          <w:szCs w:val="20"/>
        </w:rPr>
        <w:t xml:space="preserve"> </w:t>
      </w:r>
      <w:r>
        <w:rPr>
          <w:i/>
          <w:iCs/>
          <w:sz w:val="20"/>
          <w:szCs w:val="20"/>
        </w:rPr>
        <w:t>Leases</w:t>
      </w:r>
      <w:r>
        <w:rPr>
          <w:sz w:val="20"/>
          <w:szCs w:val="20"/>
        </w:rPr>
        <w:t>. The new standard increases transparency and comparability by requiring the recognition by lessees of right-of-use (“ROU”) asset</w:t>
      </w:r>
      <w:r>
        <w:rPr>
          <w:sz w:val="20"/>
          <w:szCs w:val="20"/>
        </w:rPr>
        <w:t>s and lease liabilities on the balance sheet for those leases classified as operating leases.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adopted this standard effective</w:t>
      </w:r>
      <w:r>
        <w:rPr>
          <w:sz w:val="20"/>
          <w:szCs w:val="20"/>
        </w:rPr>
        <w:t xml:space="preserve"> </w:t>
      </w:r>
      <w:r>
        <w:rPr>
          <w:rStyle w:val="a6"/>
          <w:i w:val="0"/>
          <w:iCs w:val="0"/>
          <w:sz w:val="20"/>
          <w:szCs w:val="20"/>
        </w:rPr>
        <w:t xml:space="preserve">January 1, 2019 </w:t>
      </w:r>
      <w:r>
        <w:rPr>
          <w:sz w:val="20"/>
          <w:szCs w:val="20"/>
        </w:rPr>
        <w:t>under the modified retrospective approach and elected the optional transition method to apply the pr</w:t>
      </w:r>
      <w:r>
        <w:rPr>
          <w:sz w:val="20"/>
          <w:szCs w:val="20"/>
        </w:rPr>
        <w:t>ovisions of Topic</w:t>
      </w:r>
      <w:r>
        <w:rPr>
          <w:sz w:val="20"/>
          <w:szCs w:val="20"/>
        </w:rPr>
        <w:t xml:space="preserve"> </w:t>
      </w:r>
      <w:r>
        <w:rPr>
          <w:rStyle w:val="a6"/>
          <w:i w:val="0"/>
          <w:iCs w:val="0"/>
          <w:sz w:val="20"/>
          <w:szCs w:val="20"/>
        </w:rPr>
        <w:t>842</w:t>
      </w:r>
      <w:r>
        <w:rPr>
          <w:sz w:val="20"/>
          <w:szCs w:val="20"/>
        </w:rPr>
        <w:t xml:space="preserve"> as of the adoption date, rather than the earliest period presented. As such, the requirements of Topic</w:t>
      </w:r>
      <w:r>
        <w:rPr>
          <w:sz w:val="20"/>
          <w:szCs w:val="20"/>
        </w:rPr>
        <w:t xml:space="preserve"> </w:t>
      </w:r>
      <w:r>
        <w:rPr>
          <w:rStyle w:val="a6"/>
          <w:i w:val="0"/>
          <w:iCs w:val="0"/>
          <w:sz w:val="20"/>
          <w:szCs w:val="20"/>
        </w:rPr>
        <w:t>842</w:t>
      </w:r>
      <w:r>
        <w:rPr>
          <w:sz w:val="20"/>
          <w:szCs w:val="20"/>
        </w:rPr>
        <w:t xml:space="preserve"> were</w:t>
      </w:r>
      <w:r>
        <w:rPr>
          <w:sz w:val="20"/>
          <w:szCs w:val="20"/>
        </w:rPr>
        <w:t xml:space="preserve"> </w:t>
      </w:r>
      <w:r>
        <w:rPr>
          <w:rStyle w:val="a6"/>
          <w:i w:val="0"/>
          <w:iCs w:val="0"/>
          <w:sz w:val="20"/>
          <w:szCs w:val="20"/>
        </w:rPr>
        <w:t>not</w:t>
      </w:r>
      <w:r>
        <w:rPr>
          <w:sz w:val="20"/>
          <w:szCs w:val="20"/>
        </w:rPr>
        <w:t xml:space="preserve"> applied in the comparative periods presented in the Company’s Condensed Consolidated Financial Statements. The Company</w:t>
      </w:r>
      <w:r>
        <w:rPr>
          <w:sz w:val="20"/>
          <w:szCs w:val="20"/>
        </w:rPr>
        <w:t xml:space="preserve"> also elected the package of practical expedients, which permits the Company to</w:t>
      </w:r>
      <w:r>
        <w:rPr>
          <w:sz w:val="20"/>
          <w:szCs w:val="20"/>
        </w:rPr>
        <w:t xml:space="preserve"> </w:t>
      </w:r>
      <w:r>
        <w:rPr>
          <w:rStyle w:val="a6"/>
          <w:i w:val="0"/>
          <w:iCs w:val="0"/>
          <w:sz w:val="20"/>
          <w:szCs w:val="20"/>
        </w:rPr>
        <w:t>not</w:t>
      </w:r>
      <w:r>
        <w:rPr>
          <w:sz w:val="20"/>
          <w:szCs w:val="20"/>
        </w:rPr>
        <w:t xml:space="preserve"> reassess (i) whether any expired or existing contracts are or contain leases, (ii) the lease classification for any expired or existing leases and (iii) any initial direct </w:t>
      </w:r>
      <w:r>
        <w:rPr>
          <w:sz w:val="20"/>
          <w:szCs w:val="20"/>
        </w:rPr>
        <w:t>costs for any existing leases as of the effective date. The Company did</w:t>
      </w:r>
      <w:r>
        <w:rPr>
          <w:sz w:val="20"/>
          <w:szCs w:val="20"/>
        </w:rPr>
        <w:t xml:space="preserve"> </w:t>
      </w:r>
      <w:r>
        <w:rPr>
          <w:rStyle w:val="a6"/>
          <w:i w:val="0"/>
          <w:iCs w:val="0"/>
          <w:sz w:val="20"/>
          <w:szCs w:val="20"/>
        </w:rPr>
        <w:t>not</w:t>
      </w:r>
      <w:r>
        <w:rPr>
          <w:sz w:val="20"/>
          <w:szCs w:val="20"/>
        </w:rPr>
        <w:t xml:space="preserve"> elect the hindsight practical expedient, which permits entities to use hindsight in determining the lease term and assessing impairment.</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u w:val="single"/>
        </w:rPr>
        <w:t>Lessor</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In</w:t>
      </w:r>
      <w:r>
        <w:rPr>
          <w:sz w:val="20"/>
          <w:szCs w:val="20"/>
        </w:rPr>
        <w:t xml:space="preserve"> </w:t>
      </w:r>
      <w:r>
        <w:rPr>
          <w:rStyle w:val="a6"/>
          <w:i w:val="0"/>
          <w:iCs w:val="0"/>
          <w:sz w:val="20"/>
          <w:szCs w:val="20"/>
        </w:rPr>
        <w:t xml:space="preserve">July 2018, </w:t>
      </w:r>
      <w:r>
        <w:rPr>
          <w:sz w:val="20"/>
          <w:szCs w:val="20"/>
        </w:rPr>
        <w:t>the FASB issued gu</w:t>
      </w:r>
      <w:r>
        <w:rPr>
          <w:sz w:val="20"/>
          <w:szCs w:val="20"/>
        </w:rPr>
        <w:t>idance codified in ASU</w:t>
      </w:r>
      <w:r>
        <w:rPr>
          <w:sz w:val="20"/>
          <w:szCs w:val="20"/>
        </w:rPr>
        <w:t xml:space="preserve"> </w:t>
      </w:r>
      <w:r>
        <w:rPr>
          <w:rStyle w:val="a6"/>
          <w:i w:val="0"/>
          <w:iCs w:val="0"/>
          <w:sz w:val="20"/>
          <w:szCs w:val="20"/>
        </w:rPr>
        <w:t>2018</w:t>
      </w:r>
      <w:r>
        <w:rPr>
          <w:sz w:val="20"/>
          <w:szCs w:val="20"/>
        </w:rPr>
        <w:t>-</w:t>
      </w:r>
      <w:r>
        <w:rPr>
          <w:rStyle w:val="a6"/>
          <w:i w:val="0"/>
          <w:iCs w:val="0"/>
          <w:sz w:val="20"/>
          <w:szCs w:val="20"/>
        </w:rPr>
        <w:t>11,</w:t>
      </w:r>
      <w:r>
        <w:rPr>
          <w:sz w:val="20"/>
          <w:szCs w:val="20"/>
        </w:rPr>
        <w:t xml:space="preserve"> </w:t>
      </w:r>
      <w:r>
        <w:rPr>
          <w:i/>
          <w:iCs/>
          <w:sz w:val="20"/>
          <w:szCs w:val="20"/>
        </w:rPr>
        <w:t>Leases</w:t>
      </w:r>
      <w:r>
        <w:rPr>
          <w:sz w:val="20"/>
          <w:szCs w:val="20"/>
        </w:rPr>
        <w:t xml:space="preserve"> - Targeted Improvements (“ASU</w:t>
      </w:r>
      <w:r>
        <w:rPr>
          <w:sz w:val="20"/>
          <w:szCs w:val="20"/>
        </w:rPr>
        <w:t xml:space="preserve"> </w:t>
      </w:r>
      <w:r>
        <w:rPr>
          <w:rStyle w:val="a6"/>
          <w:i w:val="0"/>
          <w:iCs w:val="0"/>
          <w:sz w:val="20"/>
          <w:szCs w:val="20"/>
        </w:rPr>
        <w:t>2018</w:t>
      </w:r>
      <w:r>
        <w:rPr>
          <w:sz w:val="20"/>
          <w:szCs w:val="20"/>
        </w:rPr>
        <w:t>-</w:t>
      </w:r>
      <w:r>
        <w:rPr>
          <w:rStyle w:val="a6"/>
          <w:i w:val="0"/>
          <w:iCs w:val="0"/>
          <w:sz w:val="20"/>
          <w:szCs w:val="20"/>
        </w:rPr>
        <w:t>11”</w:t>
      </w:r>
      <w:r>
        <w:rPr>
          <w:sz w:val="20"/>
          <w:szCs w:val="20"/>
        </w:rPr>
        <w:t>). ASU</w:t>
      </w:r>
      <w:r>
        <w:rPr>
          <w:sz w:val="20"/>
          <w:szCs w:val="20"/>
        </w:rPr>
        <w:t xml:space="preserve"> </w:t>
      </w:r>
      <w:r>
        <w:rPr>
          <w:rStyle w:val="a6"/>
          <w:i w:val="0"/>
          <w:iCs w:val="0"/>
          <w:sz w:val="20"/>
          <w:szCs w:val="20"/>
        </w:rPr>
        <w:t>2018</w:t>
      </w:r>
      <w:r>
        <w:rPr>
          <w:sz w:val="20"/>
          <w:szCs w:val="20"/>
        </w:rPr>
        <w:t>-</w:t>
      </w:r>
      <w:r>
        <w:rPr>
          <w:rStyle w:val="a6"/>
          <w:i w:val="0"/>
          <w:iCs w:val="0"/>
          <w:sz w:val="20"/>
          <w:szCs w:val="20"/>
        </w:rPr>
        <w:t>11</w:t>
      </w:r>
      <w:r>
        <w:rPr>
          <w:sz w:val="20"/>
          <w:szCs w:val="20"/>
        </w:rPr>
        <w:t xml:space="preserve"> provides a practical expedient, which allows lessors to combine non-lease components with the related lease components if (i) both the timing and pattern of transfe</w:t>
      </w:r>
      <w:r>
        <w:rPr>
          <w:sz w:val="20"/>
          <w:szCs w:val="20"/>
        </w:rPr>
        <w:t>r are the same for the non-lease component(s) and related lease component, and (ii) the lease component would be classified as an operating lease if accounted for separately. The single combined component is accounted for under Topic</w:t>
      </w:r>
      <w:r>
        <w:rPr>
          <w:sz w:val="20"/>
          <w:szCs w:val="20"/>
        </w:rPr>
        <w:t xml:space="preserve"> </w:t>
      </w:r>
      <w:r>
        <w:rPr>
          <w:rStyle w:val="a6"/>
          <w:i w:val="0"/>
          <w:iCs w:val="0"/>
          <w:sz w:val="20"/>
          <w:szCs w:val="20"/>
        </w:rPr>
        <w:t>842</w:t>
      </w:r>
      <w:r>
        <w:rPr>
          <w:sz w:val="20"/>
          <w:szCs w:val="20"/>
        </w:rPr>
        <w:t xml:space="preserve"> if the lease compo</w:t>
      </w:r>
      <w:r>
        <w:rPr>
          <w:sz w:val="20"/>
          <w:szCs w:val="20"/>
        </w:rPr>
        <w:t>nent is the predominant component and is accounted for under Topic</w:t>
      </w:r>
      <w:r>
        <w:rPr>
          <w:sz w:val="20"/>
          <w:szCs w:val="20"/>
        </w:rPr>
        <w:t xml:space="preserve"> </w:t>
      </w:r>
      <w:r>
        <w:rPr>
          <w:rStyle w:val="a6"/>
          <w:i w:val="0"/>
          <w:iCs w:val="0"/>
          <w:sz w:val="20"/>
          <w:szCs w:val="20"/>
        </w:rPr>
        <w:t>606</w:t>
      </w:r>
      <w:r>
        <w:rPr>
          <w:sz w:val="20"/>
          <w:szCs w:val="20"/>
        </w:rPr>
        <w:t xml:space="preserve"> </w:t>
      </w:r>
      <w:r>
        <w:rPr>
          <w:sz w:val="20"/>
          <w:szCs w:val="20"/>
        </w:rPr>
        <w:t>if the non-lease components are the predominant components. Lessors are permitted to apply the practical expedient to all existing leases on a retrospective or prospective basis. The Company elected the practical expedient to combine its lease and non-leas</w:t>
      </w:r>
      <w:r>
        <w:rPr>
          <w:sz w:val="20"/>
          <w:szCs w:val="20"/>
        </w:rPr>
        <w:t>e components that meet the defined criteria and will account for the combined lease component under Topic</w:t>
      </w:r>
      <w:r>
        <w:rPr>
          <w:sz w:val="20"/>
          <w:szCs w:val="20"/>
        </w:rPr>
        <w:t xml:space="preserve"> </w:t>
      </w:r>
      <w:r>
        <w:rPr>
          <w:rStyle w:val="a6"/>
          <w:i w:val="0"/>
          <w:iCs w:val="0"/>
          <w:sz w:val="20"/>
          <w:szCs w:val="20"/>
        </w:rPr>
        <w:t>842</w:t>
      </w:r>
      <w:r>
        <w:rPr>
          <w:sz w:val="20"/>
          <w:szCs w:val="20"/>
        </w:rPr>
        <w:t xml:space="preserve"> on a prospective basis.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As a lessor, the Company’s recognition of rental revenue remained mainly consistent with previous guidance, apart from t</w:t>
      </w:r>
      <w:r>
        <w:rPr>
          <w:sz w:val="20"/>
          <w:szCs w:val="20"/>
        </w:rPr>
        <w:t>he narrower definition of initial direct costs that can be capitalized. The new standard defines initial direct costs as only the incremental costs that would</w:t>
      </w:r>
      <w:r>
        <w:rPr>
          <w:sz w:val="20"/>
          <w:szCs w:val="20"/>
        </w:rPr>
        <w:t xml:space="preserve"> </w:t>
      </w:r>
      <w:r>
        <w:rPr>
          <w:rStyle w:val="a6"/>
          <w:i w:val="0"/>
          <w:iCs w:val="0"/>
          <w:sz w:val="20"/>
          <w:szCs w:val="20"/>
        </w:rPr>
        <w:t>not</w:t>
      </w:r>
      <w:r>
        <w:rPr>
          <w:sz w:val="20"/>
          <w:szCs w:val="20"/>
        </w:rPr>
        <w:t xml:space="preserve"> have been incurred if the lease had</w:t>
      </w:r>
      <w:r>
        <w:rPr>
          <w:sz w:val="20"/>
          <w:szCs w:val="20"/>
        </w:rPr>
        <w:t xml:space="preserve"> </w:t>
      </w:r>
      <w:r>
        <w:rPr>
          <w:rStyle w:val="a6"/>
          <w:i w:val="0"/>
          <w:iCs w:val="0"/>
          <w:sz w:val="20"/>
          <w:szCs w:val="20"/>
        </w:rPr>
        <w:t>not</w:t>
      </w:r>
      <w:r>
        <w:rPr>
          <w:sz w:val="20"/>
          <w:szCs w:val="20"/>
        </w:rPr>
        <w:t xml:space="preserve"> been obtained. Under Topic</w:t>
      </w:r>
      <w:r>
        <w:rPr>
          <w:sz w:val="20"/>
          <w:szCs w:val="20"/>
        </w:rPr>
        <w:t xml:space="preserve"> </w:t>
      </w:r>
      <w:r>
        <w:rPr>
          <w:rStyle w:val="a6"/>
          <w:i w:val="0"/>
          <w:iCs w:val="0"/>
          <w:sz w:val="20"/>
          <w:szCs w:val="20"/>
        </w:rPr>
        <w:t>842</w:t>
      </w:r>
      <w:r>
        <w:rPr>
          <w:sz w:val="20"/>
          <w:szCs w:val="20"/>
        </w:rPr>
        <w:t xml:space="preserve"> initial direct costs i</w:t>
      </w:r>
      <w:r>
        <w:rPr>
          <w:sz w:val="20"/>
          <w:szCs w:val="20"/>
        </w:rPr>
        <w:t>nclude commissions paid to</w:t>
      </w:r>
      <w:r>
        <w:rPr>
          <w:sz w:val="20"/>
          <w:szCs w:val="20"/>
        </w:rPr>
        <w:t xml:space="preserve"> </w:t>
      </w:r>
      <w:r>
        <w:rPr>
          <w:rStyle w:val="a6"/>
          <w:i w:val="0"/>
          <w:iCs w:val="0"/>
          <w:sz w:val="20"/>
          <w:szCs w:val="20"/>
        </w:rPr>
        <w:t>third</w:t>
      </w:r>
      <w:r>
        <w:rPr>
          <w:sz w:val="20"/>
          <w:szCs w:val="20"/>
        </w:rPr>
        <w:t xml:space="preserve"> parties, including brokers, leasing and referral agents and internal leasing commissions paid to employees for successful execution of lease agreements. These initial direct costs are capitalized and generally amortized ove</w:t>
      </w:r>
      <w:r>
        <w:rPr>
          <w:sz w:val="20"/>
          <w:szCs w:val="20"/>
        </w:rPr>
        <w:t>r the term of the related leases using the straight-line method. Internal employee compensation, payroll-related benefits and certain external legal fees are considered indirect costs associated with the execution of lease agreements and will</w:t>
      </w:r>
      <w:r>
        <w:rPr>
          <w:sz w:val="20"/>
          <w:szCs w:val="20"/>
        </w:rPr>
        <w:t xml:space="preserve"> </w:t>
      </w:r>
      <w:r>
        <w:rPr>
          <w:rStyle w:val="a6"/>
          <w:i w:val="0"/>
          <w:iCs w:val="0"/>
          <w:sz w:val="20"/>
          <w:szCs w:val="20"/>
        </w:rPr>
        <w:t>no</w:t>
      </w:r>
      <w:r>
        <w:rPr>
          <w:sz w:val="20"/>
          <w:szCs w:val="20"/>
        </w:rPr>
        <w:t xml:space="preserve"> longer be </w:t>
      </w:r>
      <w:r>
        <w:rPr>
          <w:sz w:val="20"/>
          <w:szCs w:val="20"/>
        </w:rPr>
        <w:t>capitalized; these costs will be included in general and administrative expense. As a result of electing the package of practical expedients described above, existing leases and related initial direct costs have</w:t>
      </w:r>
      <w:r>
        <w:rPr>
          <w:sz w:val="20"/>
          <w:szCs w:val="20"/>
        </w:rPr>
        <w:t xml:space="preserve"> </w:t>
      </w:r>
      <w:r>
        <w:rPr>
          <w:rStyle w:val="a6"/>
          <w:i w:val="0"/>
          <w:iCs w:val="0"/>
          <w:sz w:val="20"/>
          <w:szCs w:val="20"/>
        </w:rPr>
        <w:t>not</w:t>
      </w:r>
      <w:r>
        <w:rPr>
          <w:sz w:val="20"/>
          <w:szCs w:val="20"/>
        </w:rPr>
        <w:t xml:space="preserve"> been reassessed prior to the effective d</w:t>
      </w:r>
      <w:r>
        <w:rPr>
          <w:sz w:val="20"/>
          <w:szCs w:val="20"/>
        </w:rPr>
        <w:t>ate, and therefore, adoption of the lease standard did</w:t>
      </w:r>
      <w:r>
        <w:rPr>
          <w:sz w:val="20"/>
          <w:szCs w:val="20"/>
        </w:rPr>
        <w:t xml:space="preserve"> </w:t>
      </w:r>
      <w:r>
        <w:rPr>
          <w:rStyle w:val="a6"/>
          <w:i w:val="0"/>
          <w:iCs w:val="0"/>
          <w:sz w:val="20"/>
          <w:szCs w:val="20"/>
        </w:rPr>
        <w:t>not</w:t>
      </w:r>
      <w:r>
        <w:rPr>
          <w:sz w:val="20"/>
          <w:szCs w:val="20"/>
        </w:rPr>
        <w:t xml:space="preserve"> have an impact on the Company’s previously reported Condensed Consolidated Statements of Income for initial direct costs.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jc w:val="center"/>
        <w:rPr>
          <w:rFonts w:eastAsia="Times New Roman"/>
          <w:sz w:val="20"/>
          <w:szCs w:val="20"/>
        </w:rPr>
      </w:pPr>
      <w:r>
        <w:rPr>
          <w:rFonts w:eastAsia="Times New Roman"/>
          <w:sz w:val="20"/>
          <w:szCs w:val="20"/>
        </w:rPr>
        <w:t xml:space="preserve">10 </w:t>
      </w:r>
    </w:p>
    <w:p w:rsidR="00000000" w:rsidRDefault="005F676C">
      <w:pPr>
        <w:rPr>
          <w:rFonts w:eastAsia="Times New Roman"/>
          <w:sz w:val="20"/>
          <w:szCs w:val="20"/>
        </w:rPr>
      </w:pPr>
      <w:r>
        <w:rPr>
          <w:rFonts w:eastAsia="Times New Roman"/>
          <w:sz w:val="20"/>
          <w:szCs w:val="20"/>
        </w:rPr>
        <w:pict>
          <v:rect id="_x0000_i1038" style="width:415.3pt;height:1.5pt" o:hralign="center" o:hrstd="t" o:hrnoshade="t" o:hr="t" fillcolor="black" stroked="f"/>
        </w:pict>
      </w:r>
    </w:p>
    <w:p w:rsidR="00000000" w:rsidRDefault="005F676C">
      <w:pPr>
        <w:rPr>
          <w:rFonts w:eastAsia="Times New Roman"/>
          <w:sz w:val="20"/>
          <w:szCs w:val="20"/>
        </w:rPr>
      </w:pPr>
      <w:hyperlink w:anchor="toc" w:history="1">
        <w:r>
          <w:rPr>
            <w:rStyle w:val="a4"/>
            <w:rFonts w:eastAsia="Times New Roman"/>
            <w:sz w:val="20"/>
            <w:szCs w:val="20"/>
          </w:rPr>
          <w:t>Table of Contents</w:t>
        </w:r>
      </w:hyperlink>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u w:val="single"/>
        </w:rPr>
        <w:t>Lessee</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w:t>
      </w:r>
      <w:r>
        <w:rPr>
          <w:sz w:val="20"/>
          <w:szCs w:val="20"/>
        </w:rPr>
        <w:t>s leases where it is the lessee primarily consist of ground leases and administrative office leases. ROU assets represent the Company’s right to use an underlying asset for the lease term and lease liabilities represent the Company’s obligation to make lea</w:t>
      </w:r>
      <w:r>
        <w:rPr>
          <w:sz w:val="20"/>
          <w:szCs w:val="20"/>
        </w:rPr>
        <w:t xml:space="preserve">se payments arising from the lease. ROU assets and lease liabilities are recognized at the commencement date of the lease and are based on the present value of lease payments over the lease term. The Company utilized an incremental borrowing rate based on </w:t>
      </w:r>
      <w:r>
        <w:rPr>
          <w:sz w:val="20"/>
          <w:szCs w:val="20"/>
        </w:rPr>
        <w:t>the information available at adoption of Topic</w:t>
      </w:r>
      <w:r>
        <w:rPr>
          <w:sz w:val="20"/>
          <w:szCs w:val="20"/>
        </w:rPr>
        <w:t xml:space="preserve"> </w:t>
      </w:r>
      <w:r>
        <w:rPr>
          <w:rStyle w:val="a6"/>
          <w:i w:val="0"/>
          <w:iCs w:val="0"/>
          <w:sz w:val="20"/>
          <w:szCs w:val="20"/>
        </w:rPr>
        <w:t>842</w:t>
      </w:r>
      <w:r>
        <w:rPr>
          <w:sz w:val="20"/>
          <w:szCs w:val="20"/>
        </w:rPr>
        <w:t xml:space="preserve"> in determining the present value of lease payments since these leases do</w:t>
      </w:r>
      <w:r>
        <w:rPr>
          <w:sz w:val="20"/>
          <w:szCs w:val="20"/>
        </w:rPr>
        <w:t xml:space="preserve"> </w:t>
      </w:r>
      <w:r>
        <w:rPr>
          <w:rStyle w:val="a6"/>
          <w:i w:val="0"/>
          <w:iCs w:val="0"/>
          <w:sz w:val="20"/>
          <w:szCs w:val="20"/>
        </w:rPr>
        <w:t>not</w:t>
      </w:r>
      <w:r>
        <w:rPr>
          <w:sz w:val="20"/>
          <w:szCs w:val="20"/>
        </w:rPr>
        <w:t xml:space="preserve"> provide an implicit rate. Variable lease payments are excluded from the lease liabilities and corresponding ROU assets, as they </w:t>
      </w:r>
      <w:r>
        <w:rPr>
          <w:sz w:val="20"/>
          <w:szCs w:val="20"/>
        </w:rPr>
        <w:t>are recognized in the period in which the obligation for those payments is incurred. Many of the Company’s lessee agreements include options to extend the lease, which it did</w:t>
      </w:r>
      <w:r>
        <w:rPr>
          <w:sz w:val="20"/>
          <w:szCs w:val="20"/>
        </w:rPr>
        <w:t xml:space="preserve"> </w:t>
      </w:r>
      <w:r>
        <w:rPr>
          <w:rStyle w:val="a6"/>
          <w:i w:val="0"/>
          <w:iCs w:val="0"/>
          <w:sz w:val="20"/>
          <w:szCs w:val="20"/>
        </w:rPr>
        <w:t>not</w:t>
      </w:r>
      <w:r>
        <w:rPr>
          <w:sz w:val="20"/>
          <w:szCs w:val="20"/>
        </w:rPr>
        <w:t xml:space="preserve"> include in its minimum lease terms unless they are reasonably certain to be e</w:t>
      </w:r>
      <w:r>
        <w:rPr>
          <w:sz w:val="20"/>
          <w:szCs w:val="20"/>
        </w:rPr>
        <w:t>xercised. Rental expense for lease payments related to operating leases is recognized on a straight-line basis over the lease term. Upon the adoption of Topic</w:t>
      </w:r>
      <w:r>
        <w:rPr>
          <w:sz w:val="20"/>
          <w:szCs w:val="20"/>
        </w:rPr>
        <w:t xml:space="preserve"> </w:t>
      </w:r>
      <w:r>
        <w:rPr>
          <w:rStyle w:val="a6"/>
          <w:i w:val="0"/>
          <w:iCs w:val="0"/>
          <w:sz w:val="20"/>
          <w:szCs w:val="20"/>
        </w:rPr>
        <w:t>842,</w:t>
      </w:r>
      <w:r>
        <w:rPr>
          <w:sz w:val="20"/>
          <w:szCs w:val="20"/>
        </w:rPr>
        <w:t xml:space="preserve"> the Company recognized $106.0 million of ROU assets, including net intangible assets of $7.3</w:t>
      </w:r>
      <w:r>
        <w:rPr>
          <w:sz w:val="20"/>
          <w:szCs w:val="20"/>
        </w:rPr>
        <w:t xml:space="preserve"> million, which were reclassified from Real estate, net to Operating lease right-of-use assets, net and $98.7 million of corresponding Operating lease liabilities for its operating leases on the Company’s Condensed Consolidated Balance Sheets. See Footnote</w:t>
      </w:r>
      <w:r>
        <w:rPr>
          <w:sz w:val="20"/>
          <w:szCs w:val="20"/>
        </w:rPr>
        <w:t xml:space="preserve"> </w:t>
      </w:r>
      <w:r>
        <w:rPr>
          <w:rStyle w:val="a6"/>
          <w:i w:val="0"/>
          <w:iCs w:val="0"/>
          <w:sz w:val="20"/>
          <w:szCs w:val="20"/>
        </w:rPr>
        <w:t>7</w:t>
      </w:r>
      <w:r>
        <w:rPr>
          <w:sz w:val="20"/>
          <w:szCs w:val="20"/>
        </w:rPr>
        <w:t xml:space="preserve"> to the Notes to the Company’s Condensed Consolidated Financial Statements for further details.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Reclassifications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      Certain amounts in the prior period have been reclassified in order to conform to the current period’s presentation. In conjunct</w:t>
      </w:r>
      <w:r>
        <w:rPr>
          <w:sz w:val="20"/>
          <w:szCs w:val="20"/>
        </w:rPr>
        <w:t>ion with the adoption of Topic</w:t>
      </w:r>
      <w:r>
        <w:rPr>
          <w:sz w:val="20"/>
          <w:szCs w:val="20"/>
        </w:rPr>
        <w:t xml:space="preserve"> </w:t>
      </w:r>
      <w:r>
        <w:rPr>
          <w:rStyle w:val="a6"/>
          <w:i w:val="0"/>
          <w:iCs w:val="0"/>
          <w:sz w:val="20"/>
          <w:szCs w:val="20"/>
        </w:rPr>
        <w:t>842</w:t>
      </w:r>
      <w:r>
        <w:rPr>
          <w:sz w:val="20"/>
          <w:szCs w:val="20"/>
        </w:rPr>
        <w:t xml:space="preserve"> discussed above, the Company reclassified during the</w:t>
      </w:r>
      <w:r>
        <w:rPr>
          <w:sz w:val="20"/>
          <w:szCs w:val="20"/>
        </w:rPr>
        <w:t xml:space="preserve"> </w:t>
      </w:r>
      <w:r>
        <w:rPr>
          <w:rStyle w:val="a6"/>
          <w:i w:val="0"/>
          <w:iCs w:val="0"/>
          <w:sz w:val="20"/>
          <w:szCs w:val="20"/>
        </w:rPr>
        <w:t>three</w:t>
      </w:r>
      <w:r>
        <w:rPr>
          <w:sz w:val="20"/>
          <w:szCs w:val="20"/>
        </w:rPr>
        <w:t xml:space="preserve"> and</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September 30, 2018: (</w:t>
      </w:r>
      <w:r>
        <w:rPr>
          <w:sz w:val="20"/>
          <w:szCs w:val="20"/>
        </w:rPr>
        <w:t>i) $58.0 million and $182.9 million of Reimbursement income, respectively, and (ii) $5.6 million and $16.8 million of O</w:t>
      </w:r>
      <w:r>
        <w:rPr>
          <w:sz w:val="20"/>
          <w:szCs w:val="20"/>
        </w:rPr>
        <w:t>ther rental property income, respectively, to Revenues from rental properties, net on the Company’s Condensed Consolidated Statement of Income. The reclassification is solely for comparative purposes as the Company has</w:t>
      </w:r>
      <w:r>
        <w:rPr>
          <w:sz w:val="20"/>
          <w:szCs w:val="20"/>
        </w:rPr>
        <w:t xml:space="preserve"> </w:t>
      </w:r>
      <w:r>
        <w:rPr>
          <w:rStyle w:val="a6"/>
          <w:i w:val="0"/>
          <w:iCs w:val="0"/>
          <w:sz w:val="20"/>
          <w:szCs w:val="20"/>
        </w:rPr>
        <w:t>not</w:t>
      </w:r>
      <w:r>
        <w:rPr>
          <w:sz w:val="20"/>
          <w:szCs w:val="20"/>
        </w:rPr>
        <w:t xml:space="preserve"> elected to adopt Topic</w:t>
      </w:r>
      <w:r>
        <w:rPr>
          <w:sz w:val="20"/>
          <w:szCs w:val="20"/>
        </w:rPr>
        <w:t xml:space="preserve"> </w:t>
      </w:r>
      <w:r>
        <w:rPr>
          <w:rStyle w:val="a6"/>
          <w:i w:val="0"/>
          <w:iCs w:val="0"/>
          <w:sz w:val="20"/>
          <w:szCs w:val="20"/>
        </w:rPr>
        <w:t>842</w:t>
      </w:r>
      <w:r>
        <w:rPr>
          <w:sz w:val="20"/>
          <w:szCs w:val="20"/>
        </w:rPr>
        <w:t xml:space="preserve"> retros</w:t>
      </w:r>
      <w:r>
        <w:rPr>
          <w:sz w:val="20"/>
          <w:szCs w:val="20"/>
        </w:rPr>
        <w:t>pectively.</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Subsequent Events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has evaluated subsequent events and transactions for potential recognition or disclosure in its condensed consolidated financial statements.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rPr>
          <w:sz w:val="20"/>
          <w:szCs w:val="20"/>
        </w:rPr>
      </w:pPr>
      <w:r>
        <w:rPr>
          <w:i/>
          <w:iCs/>
          <w:sz w:val="20"/>
          <w:szCs w:val="20"/>
        </w:rPr>
        <w:t>New Accounting Pronouncements -</w:t>
      </w:r>
    </w:p>
    <w:p w:rsidR="00000000" w:rsidRDefault="005F676C">
      <w:pPr>
        <w:pStyle w:val="a3"/>
        <w:spacing w:before="0" w:beforeAutospacing="0" w:after="0" w:afterAutospacing="0"/>
        <w:rPr>
          <w:sz w:val="20"/>
          <w:szCs w:val="20"/>
        </w:rPr>
      </w:pPr>
      <w:r>
        <w:rPr>
          <w:i/>
          <w:iCs/>
          <w:sz w:val="20"/>
          <w:szCs w:val="20"/>
        </w:rPr>
        <w:t> </w:t>
      </w:r>
    </w:p>
    <w:p w:rsidR="00000000" w:rsidRDefault="005F676C">
      <w:pPr>
        <w:pStyle w:val="a3"/>
        <w:spacing w:before="0" w:beforeAutospacing="0" w:after="0" w:afterAutospacing="0"/>
        <w:jc w:val="both"/>
        <w:rPr>
          <w:sz w:val="20"/>
          <w:szCs w:val="20"/>
        </w:rPr>
      </w:pPr>
      <w:r>
        <w:rPr>
          <w:sz w:val="20"/>
          <w:szCs w:val="20"/>
        </w:rPr>
        <w:t>       The following table repre</w:t>
      </w:r>
      <w:r>
        <w:rPr>
          <w:sz w:val="20"/>
          <w:szCs w:val="20"/>
        </w:rPr>
        <w:t>sents ASUs to the FASB’s ASC that, as of</w:t>
      </w:r>
      <w:r>
        <w:rPr>
          <w:sz w:val="20"/>
          <w:szCs w:val="20"/>
        </w:rPr>
        <w:t xml:space="preserve"> </w:t>
      </w:r>
      <w:r>
        <w:rPr>
          <w:rStyle w:val="a6"/>
          <w:i w:val="0"/>
          <w:iCs w:val="0"/>
          <w:sz w:val="20"/>
          <w:szCs w:val="20"/>
        </w:rPr>
        <w:t xml:space="preserve">September 30, 2019, </w:t>
      </w:r>
      <w:r>
        <w:rPr>
          <w:sz w:val="20"/>
          <w:szCs w:val="20"/>
        </w:rPr>
        <w:t>are</w:t>
      </w:r>
      <w:r>
        <w:rPr>
          <w:sz w:val="20"/>
          <w:szCs w:val="20"/>
        </w:rPr>
        <w:t xml:space="preserve"> </w:t>
      </w:r>
      <w:r>
        <w:rPr>
          <w:rStyle w:val="a6"/>
          <w:i w:val="0"/>
          <w:iCs w:val="0"/>
          <w:sz w:val="20"/>
          <w:szCs w:val="20"/>
        </w:rPr>
        <w:t>not</w:t>
      </w:r>
      <w:r>
        <w:rPr>
          <w:sz w:val="20"/>
          <w:szCs w:val="20"/>
        </w:rPr>
        <w:t xml:space="preserve"> yet effective for the Company and for which the Company has</w:t>
      </w:r>
      <w:r>
        <w:rPr>
          <w:sz w:val="20"/>
          <w:szCs w:val="20"/>
        </w:rPr>
        <w:t xml:space="preserve"> </w:t>
      </w:r>
      <w:r>
        <w:rPr>
          <w:rStyle w:val="a6"/>
          <w:i w:val="0"/>
          <w:iCs w:val="0"/>
          <w:sz w:val="20"/>
          <w:szCs w:val="20"/>
        </w:rPr>
        <w:t>not</w:t>
      </w:r>
      <w:r>
        <w:rPr>
          <w:sz w:val="20"/>
          <w:szCs w:val="20"/>
        </w:rPr>
        <w:t xml:space="preserve"> elected early adoption, where permitted:</w:t>
      </w:r>
    </w:p>
    <w:p w:rsidR="00000000" w:rsidRDefault="005F676C">
      <w:pPr>
        <w:pStyle w:val="a3"/>
        <w:spacing w:before="0" w:beforeAutospacing="0" w:after="0" w:afterAutospacing="0"/>
        <w:jc w:val="both"/>
        <w:rPr>
          <w:sz w:val="20"/>
          <w:szCs w:val="20"/>
        </w:rPr>
      </w:pPr>
      <w:r>
        <w:rPr>
          <w:sz w:val="20"/>
          <w:szCs w:val="20"/>
        </w:rPr>
        <w:t>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1908"/>
        <w:gridCol w:w="3619"/>
        <w:gridCol w:w="884"/>
        <w:gridCol w:w="1879"/>
      </w:tblGrid>
      <w:tr w:rsidR="00000000">
        <w:trPr>
          <w:tblCellSpacing w:w="0" w:type="dxa"/>
        </w:trPr>
        <w:tc>
          <w:tcPr>
            <w:tcW w:w="1100" w:type="pct"/>
            <w:tcBorders>
              <w:top w:val="single" w:sz="6" w:space="0" w:color="000000"/>
              <w:left w:val="single" w:sz="6" w:space="0" w:color="000000"/>
            </w:tcBorders>
            <w:tcMar>
              <w:top w:w="30" w:type="dxa"/>
              <w:left w:w="0" w:type="dxa"/>
              <w:bottom w:w="30" w:type="dxa"/>
              <w:right w:w="0" w:type="dxa"/>
            </w:tcMar>
            <w:vAlign w:val="bottom"/>
            <w:hideMark/>
          </w:tcPr>
          <w:p w:rsidR="00000000" w:rsidRDefault="005F676C">
            <w:pPr>
              <w:pStyle w:val="a3"/>
              <w:spacing w:before="0" w:beforeAutospacing="0" w:after="0" w:afterAutospacing="0"/>
              <w:jc w:val="center"/>
              <w:rPr>
                <w:sz w:val="20"/>
                <w:szCs w:val="20"/>
              </w:rPr>
            </w:pPr>
            <w:r>
              <w:rPr>
                <w:b/>
                <w:bCs/>
                <w:sz w:val="20"/>
                <w:szCs w:val="20"/>
              </w:rPr>
              <w:t>ASU</w:t>
            </w:r>
          </w:p>
        </w:tc>
        <w:tc>
          <w:tcPr>
            <w:tcW w:w="2200" w:type="pct"/>
            <w:tcBorders>
              <w:top w:val="single" w:sz="6" w:space="0" w:color="000000"/>
              <w:left w:val="single" w:sz="6" w:space="0" w:color="000000"/>
            </w:tcBorders>
            <w:tcMar>
              <w:top w:w="30" w:type="dxa"/>
              <w:left w:w="0" w:type="dxa"/>
              <w:bottom w:w="30" w:type="dxa"/>
              <w:right w:w="0" w:type="dxa"/>
            </w:tcMar>
            <w:vAlign w:val="bottom"/>
            <w:hideMark/>
          </w:tcPr>
          <w:p w:rsidR="00000000" w:rsidRDefault="005F676C">
            <w:pPr>
              <w:pStyle w:val="a3"/>
              <w:spacing w:before="0" w:beforeAutospacing="0" w:after="0" w:afterAutospacing="0"/>
              <w:jc w:val="center"/>
              <w:rPr>
                <w:sz w:val="20"/>
                <w:szCs w:val="20"/>
              </w:rPr>
            </w:pPr>
            <w:r>
              <w:rPr>
                <w:b/>
                <w:bCs/>
                <w:sz w:val="20"/>
                <w:szCs w:val="20"/>
              </w:rPr>
              <w:t>Description</w:t>
            </w:r>
          </w:p>
        </w:tc>
        <w:tc>
          <w:tcPr>
            <w:tcW w:w="550" w:type="pct"/>
            <w:tcBorders>
              <w:top w:val="single" w:sz="6" w:space="0" w:color="000000"/>
              <w:left w:val="single" w:sz="6" w:space="0" w:color="000000"/>
            </w:tcBorders>
            <w:tcMar>
              <w:top w:w="30" w:type="dxa"/>
              <w:left w:w="0" w:type="dxa"/>
              <w:bottom w:w="30" w:type="dxa"/>
              <w:right w:w="0" w:type="dxa"/>
            </w:tcMar>
            <w:vAlign w:val="bottom"/>
            <w:hideMark/>
          </w:tcPr>
          <w:p w:rsidR="00000000" w:rsidRDefault="005F676C">
            <w:pPr>
              <w:pStyle w:val="a3"/>
              <w:spacing w:before="0" w:beforeAutospacing="0" w:after="0" w:afterAutospacing="0"/>
              <w:jc w:val="center"/>
              <w:rPr>
                <w:sz w:val="20"/>
                <w:szCs w:val="20"/>
              </w:rPr>
            </w:pPr>
            <w:r>
              <w:rPr>
                <w:b/>
                <w:bCs/>
                <w:sz w:val="20"/>
                <w:szCs w:val="20"/>
              </w:rPr>
              <w:t xml:space="preserve">Effective </w:t>
            </w:r>
          </w:p>
          <w:p w:rsidR="00000000" w:rsidRDefault="005F676C">
            <w:pPr>
              <w:pStyle w:val="a3"/>
              <w:spacing w:before="0" w:beforeAutospacing="0" w:after="0" w:afterAutospacing="0"/>
              <w:jc w:val="center"/>
              <w:rPr>
                <w:sz w:val="20"/>
                <w:szCs w:val="20"/>
              </w:rPr>
            </w:pPr>
            <w:r>
              <w:rPr>
                <w:b/>
                <w:bCs/>
                <w:sz w:val="20"/>
                <w:szCs w:val="20"/>
              </w:rPr>
              <w:t>Date</w:t>
            </w:r>
          </w:p>
        </w:tc>
        <w:tc>
          <w:tcPr>
            <w:tcW w:w="1150" w:type="pct"/>
            <w:tcBorders>
              <w:top w:val="single" w:sz="6" w:space="0" w:color="000000"/>
              <w:left w:val="single" w:sz="6" w:space="0" w:color="000000"/>
              <w:right w:val="single" w:sz="6" w:space="0" w:color="000000"/>
            </w:tcBorders>
            <w:tcMar>
              <w:top w:w="30" w:type="dxa"/>
              <w:left w:w="0" w:type="dxa"/>
              <w:bottom w:w="30" w:type="dxa"/>
              <w:right w:w="0" w:type="dxa"/>
            </w:tcMar>
            <w:vAlign w:val="bottom"/>
            <w:hideMark/>
          </w:tcPr>
          <w:p w:rsidR="00000000" w:rsidRDefault="005F676C">
            <w:pPr>
              <w:pStyle w:val="a3"/>
              <w:spacing w:before="0" w:beforeAutospacing="0" w:after="0" w:afterAutospacing="0"/>
              <w:jc w:val="center"/>
              <w:rPr>
                <w:sz w:val="20"/>
                <w:szCs w:val="20"/>
              </w:rPr>
            </w:pPr>
            <w:r>
              <w:rPr>
                <w:b/>
                <w:bCs/>
                <w:sz w:val="20"/>
                <w:szCs w:val="20"/>
              </w:rPr>
              <w:t xml:space="preserve">Effect on the financial </w:t>
            </w:r>
          </w:p>
          <w:p w:rsidR="00000000" w:rsidRDefault="005F676C">
            <w:pPr>
              <w:pStyle w:val="a3"/>
              <w:spacing w:before="0" w:beforeAutospacing="0" w:after="0" w:afterAutospacing="0"/>
              <w:jc w:val="center"/>
              <w:rPr>
                <w:sz w:val="20"/>
                <w:szCs w:val="20"/>
              </w:rPr>
            </w:pPr>
            <w:r>
              <w:rPr>
                <w:b/>
                <w:bCs/>
                <w:sz w:val="20"/>
                <w:szCs w:val="20"/>
              </w:rPr>
              <w:t>statements or other sig</w:t>
            </w:r>
            <w:r>
              <w:rPr>
                <w:b/>
                <w:bCs/>
                <w:sz w:val="20"/>
                <w:szCs w:val="20"/>
              </w:rPr>
              <w:t>nificant</w:t>
            </w:r>
          </w:p>
          <w:p w:rsidR="00000000" w:rsidRDefault="005F676C">
            <w:pPr>
              <w:pStyle w:val="a3"/>
              <w:spacing w:before="0" w:beforeAutospacing="0" w:after="0" w:afterAutospacing="0"/>
              <w:jc w:val="center"/>
              <w:rPr>
                <w:sz w:val="20"/>
                <w:szCs w:val="20"/>
              </w:rPr>
            </w:pPr>
            <w:r>
              <w:rPr>
                <w:b/>
                <w:bCs/>
                <w:sz w:val="20"/>
                <w:szCs w:val="20"/>
              </w:rPr>
              <w:t>matters</w:t>
            </w:r>
          </w:p>
        </w:tc>
      </w:tr>
      <w:tr w:rsidR="00000000">
        <w:trPr>
          <w:tblCellSpacing w:w="0" w:type="dxa"/>
        </w:trPr>
        <w:tc>
          <w:tcPr>
            <w:tcW w:w="1100" w:type="pct"/>
            <w:tcBorders>
              <w:top w:val="single" w:sz="6" w:space="0" w:color="000000"/>
              <w:left w:val="single" w:sz="6" w:space="0" w:color="000000"/>
            </w:tcBorders>
            <w:shd w:val="clear" w:color="auto" w:fill="CCEEFF"/>
            <w:hideMark/>
          </w:tcPr>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17,</w:t>
            </w:r>
            <w:r>
              <w:rPr>
                <w:sz w:val="20"/>
                <w:szCs w:val="20"/>
              </w:rPr>
              <w:t xml:space="preserve"> Consolidation (Topic</w:t>
            </w:r>
            <w:r>
              <w:rPr>
                <w:sz w:val="20"/>
                <w:szCs w:val="20"/>
              </w:rPr>
              <w:t xml:space="preserve"> </w:t>
            </w:r>
            <w:r>
              <w:rPr>
                <w:rStyle w:val="a6"/>
                <w:i w:val="0"/>
                <w:iCs w:val="0"/>
                <w:sz w:val="20"/>
                <w:szCs w:val="20"/>
              </w:rPr>
              <w:t>810</w:t>
            </w:r>
            <w:r>
              <w:rPr>
                <w:sz w:val="20"/>
                <w:szCs w:val="20"/>
              </w:rPr>
              <w:t>) – Targeted Improvements to Related Party Guidance for Variable Interest Entities</w:t>
            </w:r>
          </w:p>
        </w:tc>
        <w:tc>
          <w:tcPr>
            <w:tcW w:w="2200" w:type="pct"/>
            <w:tcBorders>
              <w:top w:val="single" w:sz="6" w:space="0" w:color="000000"/>
              <w:left w:val="single" w:sz="6" w:space="0" w:color="000000"/>
            </w:tcBorders>
            <w:shd w:val="clear" w:color="auto" w:fill="CCEEFF"/>
            <w:hideMark/>
          </w:tcPr>
          <w:p w:rsidR="00000000" w:rsidRDefault="005F676C">
            <w:pPr>
              <w:pStyle w:val="a3"/>
              <w:spacing w:before="0" w:beforeAutospacing="0" w:after="0" w:afterAutospacing="0"/>
              <w:jc w:val="both"/>
              <w:rPr>
                <w:sz w:val="20"/>
                <w:szCs w:val="20"/>
              </w:rPr>
            </w:pPr>
            <w:r>
              <w:rPr>
                <w:sz w:val="20"/>
                <w:szCs w:val="20"/>
              </w:rPr>
              <w:t>The amendment to Topic</w:t>
            </w:r>
            <w:r>
              <w:rPr>
                <w:sz w:val="20"/>
                <w:szCs w:val="20"/>
              </w:rPr>
              <w:t xml:space="preserve"> </w:t>
            </w:r>
            <w:r>
              <w:rPr>
                <w:rStyle w:val="a6"/>
                <w:i w:val="0"/>
                <w:iCs w:val="0"/>
                <w:sz w:val="20"/>
                <w:szCs w:val="20"/>
              </w:rPr>
              <w:t>810</w:t>
            </w:r>
            <w:r>
              <w:rPr>
                <w:sz w:val="20"/>
                <w:szCs w:val="20"/>
              </w:rPr>
              <w:t xml:space="preserve"> clarifies the following areas:</w:t>
            </w:r>
          </w:p>
          <w:p w:rsidR="00000000" w:rsidRDefault="005F676C">
            <w:pPr>
              <w:pStyle w:val="a3"/>
              <w:spacing w:before="0" w:beforeAutospacing="0" w:after="0" w:afterAutospacing="0"/>
              <w:ind w:left="360" w:hanging="360"/>
              <w:jc w:val="both"/>
              <w:rPr>
                <w:sz w:val="20"/>
                <w:szCs w:val="20"/>
              </w:rPr>
            </w:pPr>
            <w:r>
              <w:rPr>
                <w:sz w:val="20"/>
                <w:szCs w:val="20"/>
              </w:rPr>
              <w:t>(i)   </w:t>
            </w:r>
            <w:r>
              <w:rPr>
                <w:sz w:val="20"/>
                <w:szCs w:val="20"/>
              </w:rPr>
              <w:t>Applying the variable interest entity (VIE) guidance to private companies under common control, and</w:t>
            </w:r>
          </w:p>
          <w:p w:rsidR="00000000" w:rsidRDefault="005F676C">
            <w:pPr>
              <w:pStyle w:val="a3"/>
              <w:spacing w:before="0" w:beforeAutospacing="0" w:after="0" w:afterAutospacing="0"/>
              <w:ind w:left="360" w:hanging="360"/>
              <w:jc w:val="both"/>
              <w:rPr>
                <w:sz w:val="20"/>
                <w:szCs w:val="20"/>
              </w:rPr>
            </w:pPr>
            <w:r>
              <w:rPr>
                <w:sz w:val="20"/>
                <w:szCs w:val="20"/>
              </w:rPr>
              <w:t>(ii)  Considering indirect interests held through related parties under common control, and for determining whether fees paid to decision makers and service</w:t>
            </w:r>
            <w:r>
              <w:rPr>
                <w:sz w:val="20"/>
                <w:szCs w:val="20"/>
              </w:rPr>
              <w:t> providers are variable interests.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This update improves the accounting for those areas, thereby improving general purpose financial reporting. Retrospective adoption is required.</w:t>
            </w:r>
          </w:p>
          <w:p w:rsidR="00000000" w:rsidRDefault="005F676C">
            <w:pPr>
              <w:pStyle w:val="a3"/>
              <w:spacing w:before="0" w:beforeAutospacing="0" w:after="0" w:afterAutospacing="0"/>
              <w:jc w:val="both"/>
              <w:rPr>
                <w:sz w:val="20"/>
                <w:szCs w:val="20"/>
              </w:rPr>
            </w:pPr>
            <w:r>
              <w:rPr>
                <w:sz w:val="20"/>
                <w:szCs w:val="20"/>
              </w:rPr>
              <w:t> </w:t>
            </w:r>
          </w:p>
        </w:tc>
        <w:tc>
          <w:tcPr>
            <w:tcW w:w="550" w:type="pct"/>
            <w:tcBorders>
              <w:top w:val="single" w:sz="6" w:space="0" w:color="000000"/>
              <w:left w:val="single" w:sz="6" w:space="0" w:color="000000"/>
            </w:tcBorders>
            <w:shd w:val="clear" w:color="auto" w:fill="CCEEFF"/>
            <w:hideMark/>
          </w:tcPr>
          <w:p w:rsidR="00000000" w:rsidRDefault="005F676C">
            <w:pPr>
              <w:pStyle w:val="a3"/>
              <w:spacing w:before="0" w:beforeAutospacing="0" w:after="0" w:afterAutospacing="0"/>
              <w:jc w:val="center"/>
              <w:rPr>
                <w:sz w:val="20"/>
                <w:szCs w:val="20"/>
              </w:rPr>
            </w:pPr>
            <w:r>
              <w:rPr>
                <w:rStyle w:val="a6"/>
                <w:i w:val="0"/>
                <w:iCs w:val="0"/>
                <w:sz w:val="20"/>
                <w:szCs w:val="20"/>
              </w:rPr>
              <w:t xml:space="preserve">January 1, 2020; </w:t>
            </w:r>
            <w:r>
              <w:rPr>
                <w:sz w:val="20"/>
                <w:szCs w:val="20"/>
              </w:rPr>
              <w:t>Early adoption permitted</w:t>
            </w:r>
          </w:p>
        </w:tc>
        <w:tc>
          <w:tcPr>
            <w:tcW w:w="1150" w:type="pct"/>
            <w:tcBorders>
              <w:top w:val="single" w:sz="6" w:space="0" w:color="000000"/>
              <w:left w:val="single" w:sz="6" w:space="0" w:color="000000"/>
              <w:bottom w:val="single" w:sz="6" w:space="0" w:color="000000"/>
              <w:right w:val="single" w:sz="6" w:space="0" w:color="000000"/>
            </w:tcBorders>
            <w:shd w:val="clear" w:color="auto" w:fill="CCEEFF"/>
            <w:hideMark/>
          </w:tcPr>
          <w:p w:rsidR="00000000" w:rsidRDefault="005F676C">
            <w:pPr>
              <w:pStyle w:val="a3"/>
              <w:spacing w:before="0" w:beforeAutospacing="0" w:after="0" w:afterAutospacing="0"/>
              <w:rPr>
                <w:sz w:val="20"/>
                <w:szCs w:val="20"/>
              </w:rPr>
            </w:pPr>
            <w:r>
              <w:rPr>
                <w:sz w:val="20"/>
                <w:szCs w:val="20"/>
              </w:rPr>
              <w:t>The adoption of this ASU is</w:t>
            </w:r>
            <w:r>
              <w:rPr>
                <w:sz w:val="20"/>
                <w:szCs w:val="20"/>
              </w:rPr>
              <w:t xml:space="preserve"> </w:t>
            </w:r>
            <w:r>
              <w:rPr>
                <w:rStyle w:val="a6"/>
                <w:i w:val="0"/>
                <w:iCs w:val="0"/>
                <w:sz w:val="20"/>
                <w:szCs w:val="20"/>
              </w:rPr>
              <w:t>not</w:t>
            </w:r>
            <w:r>
              <w:rPr>
                <w:sz w:val="20"/>
                <w:szCs w:val="20"/>
              </w:rPr>
              <w:t xml:space="preserve"> expected to have a material impact on the Company’s financial position and/or results of operations.</w:t>
            </w:r>
          </w:p>
        </w:tc>
      </w:tr>
      <w:tr w:rsidR="00000000">
        <w:trPr>
          <w:tblCellSpacing w:w="0" w:type="dxa"/>
        </w:trPr>
        <w:tc>
          <w:tcPr>
            <w:tcW w:w="1100" w:type="pct"/>
            <w:tcBorders>
              <w:top w:val="single" w:sz="6" w:space="0" w:color="000000"/>
              <w:left w:val="single" w:sz="6" w:space="0" w:color="000000"/>
              <w:bottom w:val="single" w:sz="6" w:space="0" w:color="000000"/>
            </w:tcBorders>
            <w:shd w:val="clear" w:color="auto" w:fill="FFFFFF"/>
            <w:hideMark/>
          </w:tcPr>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15,</w:t>
            </w:r>
            <w:r>
              <w:rPr>
                <w:sz w:val="20"/>
                <w:szCs w:val="20"/>
              </w:rPr>
              <w:t xml:space="preserve"> Intangibles – Goodwill and Other – Internal-Use Software (Subtopic</w:t>
            </w:r>
            <w:r>
              <w:rPr>
                <w:sz w:val="20"/>
                <w:szCs w:val="20"/>
              </w:rPr>
              <w:t xml:space="preserve"> </w:t>
            </w:r>
            <w:r>
              <w:rPr>
                <w:rStyle w:val="a6"/>
                <w:i w:val="0"/>
                <w:iCs w:val="0"/>
                <w:sz w:val="20"/>
                <w:szCs w:val="20"/>
              </w:rPr>
              <w:t>350</w:t>
            </w:r>
            <w:r>
              <w:rPr>
                <w:sz w:val="20"/>
                <w:szCs w:val="20"/>
              </w:rPr>
              <w:t>-</w:t>
            </w:r>
            <w:r>
              <w:rPr>
                <w:rStyle w:val="a6"/>
                <w:i w:val="0"/>
                <w:iCs w:val="0"/>
                <w:sz w:val="20"/>
                <w:szCs w:val="20"/>
              </w:rPr>
              <w:t>40</w:t>
            </w:r>
            <w:r>
              <w:rPr>
                <w:sz w:val="20"/>
                <w:szCs w:val="20"/>
              </w:rPr>
              <w:t>): Customer’</w:t>
            </w:r>
            <w:r>
              <w:rPr>
                <w:sz w:val="20"/>
                <w:szCs w:val="20"/>
              </w:rPr>
              <w:t>s Accounting for Implementation Costs Incurred in a Cloud Computing Arrangement that is a Service Contract</w:t>
            </w:r>
          </w:p>
          <w:p w:rsidR="00000000" w:rsidRDefault="005F676C">
            <w:pPr>
              <w:pStyle w:val="a3"/>
              <w:spacing w:before="0" w:beforeAutospacing="0" w:after="0" w:afterAutospacing="0"/>
              <w:rPr>
                <w:sz w:val="20"/>
                <w:szCs w:val="20"/>
              </w:rPr>
            </w:pPr>
            <w:r>
              <w:rPr>
                <w:sz w:val="20"/>
                <w:szCs w:val="20"/>
              </w:rPr>
              <w:t> </w:t>
            </w:r>
          </w:p>
        </w:tc>
        <w:tc>
          <w:tcPr>
            <w:tcW w:w="2200" w:type="pct"/>
            <w:tcBorders>
              <w:top w:val="single" w:sz="6" w:space="0" w:color="000000"/>
              <w:left w:val="single" w:sz="6" w:space="0" w:color="000000"/>
              <w:bottom w:val="single" w:sz="6" w:space="0" w:color="000000"/>
            </w:tcBorders>
            <w:shd w:val="clear" w:color="auto" w:fill="FFFFFF"/>
            <w:hideMark/>
          </w:tcPr>
          <w:p w:rsidR="00000000" w:rsidRDefault="005F676C">
            <w:pPr>
              <w:pStyle w:val="a3"/>
              <w:spacing w:before="0" w:beforeAutospacing="0" w:after="0" w:afterAutospacing="0"/>
              <w:jc w:val="both"/>
              <w:rPr>
                <w:sz w:val="20"/>
                <w:szCs w:val="20"/>
              </w:rPr>
            </w:pPr>
            <w:r>
              <w:rPr>
                <w:sz w:val="20"/>
                <w:szCs w:val="20"/>
              </w:rPr>
              <w:t>The amendment aligns the requirements for capitalizing implementation costs incurred in a hosting arrangement that is a service contract with the r</w:t>
            </w:r>
            <w:r>
              <w:rPr>
                <w:sz w:val="20"/>
                <w:szCs w:val="20"/>
              </w:rPr>
              <w:t>equirements for capitalizing implementation costs incurred to develop or obtain internal-use software.</w:t>
            </w:r>
          </w:p>
        </w:tc>
        <w:tc>
          <w:tcPr>
            <w:tcW w:w="550" w:type="pct"/>
            <w:tcBorders>
              <w:top w:val="single" w:sz="6" w:space="0" w:color="000000"/>
              <w:left w:val="single" w:sz="6" w:space="0" w:color="000000"/>
              <w:bottom w:val="single" w:sz="6" w:space="0" w:color="000000"/>
            </w:tcBorders>
            <w:shd w:val="clear" w:color="auto" w:fill="FFFFFF"/>
            <w:hideMark/>
          </w:tcPr>
          <w:p w:rsidR="00000000" w:rsidRDefault="005F676C">
            <w:pPr>
              <w:pStyle w:val="a3"/>
              <w:spacing w:before="0" w:beforeAutospacing="0" w:after="0" w:afterAutospacing="0"/>
              <w:jc w:val="center"/>
              <w:rPr>
                <w:sz w:val="20"/>
                <w:szCs w:val="20"/>
              </w:rPr>
            </w:pPr>
            <w:r>
              <w:rPr>
                <w:rStyle w:val="a6"/>
                <w:i w:val="0"/>
                <w:iCs w:val="0"/>
                <w:sz w:val="20"/>
                <w:szCs w:val="20"/>
              </w:rPr>
              <w:t xml:space="preserve">January 1, 2020; </w:t>
            </w:r>
            <w:r>
              <w:rPr>
                <w:sz w:val="20"/>
                <w:szCs w:val="20"/>
              </w:rPr>
              <w:t>Early adoption permitted</w:t>
            </w:r>
          </w:p>
        </w:tc>
        <w:tc>
          <w:tcPr>
            <w:tcW w:w="1150" w:type="pct"/>
            <w:tcBorders>
              <w:left w:val="single" w:sz="6" w:space="0" w:color="000000"/>
              <w:bottom w:val="single" w:sz="6" w:space="0" w:color="000000"/>
              <w:right w:val="single" w:sz="6" w:space="0" w:color="000000"/>
            </w:tcBorders>
            <w:shd w:val="clear" w:color="auto" w:fill="FFFFFF"/>
            <w:hideMark/>
          </w:tcPr>
          <w:p w:rsidR="00000000" w:rsidRDefault="005F676C">
            <w:pPr>
              <w:pStyle w:val="a3"/>
              <w:spacing w:before="0" w:beforeAutospacing="0" w:after="0" w:afterAutospacing="0"/>
              <w:rPr>
                <w:sz w:val="20"/>
                <w:szCs w:val="20"/>
              </w:rPr>
            </w:pPr>
            <w:r>
              <w:rPr>
                <w:sz w:val="20"/>
                <w:szCs w:val="20"/>
              </w:rPr>
              <w:t>The adoption of this ASU is</w:t>
            </w:r>
            <w:r>
              <w:rPr>
                <w:sz w:val="20"/>
                <w:szCs w:val="20"/>
              </w:rPr>
              <w:t xml:space="preserve"> </w:t>
            </w:r>
            <w:r>
              <w:rPr>
                <w:rStyle w:val="a6"/>
                <w:i w:val="0"/>
                <w:iCs w:val="0"/>
                <w:sz w:val="20"/>
                <w:szCs w:val="20"/>
              </w:rPr>
              <w:t>not</w:t>
            </w:r>
            <w:r>
              <w:rPr>
                <w:sz w:val="20"/>
                <w:szCs w:val="20"/>
              </w:rPr>
              <w:t xml:space="preserve"> </w:t>
            </w:r>
            <w:r>
              <w:rPr>
                <w:sz w:val="20"/>
                <w:szCs w:val="20"/>
              </w:rPr>
              <w:t>expected to have a material impact on the Company’s financial position and/or results of operations.</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jc w:val="center"/>
        <w:rPr>
          <w:rFonts w:eastAsia="Times New Roman"/>
          <w:sz w:val="20"/>
          <w:szCs w:val="20"/>
        </w:rPr>
      </w:pPr>
      <w:r>
        <w:rPr>
          <w:rFonts w:eastAsia="Times New Roman"/>
          <w:sz w:val="20"/>
          <w:szCs w:val="20"/>
        </w:rPr>
        <w:t xml:space="preserve">11 </w:t>
      </w:r>
    </w:p>
    <w:p w:rsidR="00000000" w:rsidRDefault="005F676C">
      <w:pPr>
        <w:rPr>
          <w:rFonts w:eastAsia="Times New Roman"/>
          <w:sz w:val="20"/>
          <w:szCs w:val="20"/>
        </w:rPr>
      </w:pPr>
      <w:r>
        <w:rPr>
          <w:rFonts w:eastAsia="Times New Roman"/>
          <w:sz w:val="20"/>
          <w:szCs w:val="20"/>
        </w:rPr>
        <w:pict>
          <v:rect id="_x0000_i1039" style="width:415.3pt;height:1.5pt" o:hralign="center" o:hrstd="t" o:hrnoshade="t" o:hr="t" fillcolor="black" stroked="f"/>
        </w:pict>
      </w:r>
    </w:p>
    <w:p w:rsidR="00000000" w:rsidRDefault="005F676C">
      <w:pPr>
        <w:rPr>
          <w:rFonts w:eastAsia="Times New Roman"/>
          <w:sz w:val="20"/>
          <w:szCs w:val="20"/>
        </w:rPr>
      </w:pPr>
      <w:hyperlink w:anchor="toc" w:history="1">
        <w:r>
          <w:rPr>
            <w:rStyle w:val="a4"/>
            <w:rFonts w:eastAsia="Times New Roman"/>
            <w:sz w:val="20"/>
            <w:szCs w:val="20"/>
          </w:rPr>
          <w:t>Table of Contents</w:t>
        </w:r>
      </w:hyperlink>
    </w:p>
    <w:p w:rsidR="00000000" w:rsidRDefault="005F676C">
      <w:pPr>
        <w:pStyle w:val="a3"/>
        <w:spacing w:before="0" w:beforeAutospacing="0" w:after="0" w:afterAutospacing="0"/>
        <w:rPr>
          <w:sz w:val="20"/>
          <w:szCs w:val="20"/>
        </w:rPr>
      </w:pPr>
      <w:r>
        <w:rPr>
          <w:sz w:val="20"/>
          <w:szCs w:val="20"/>
        </w:rPr>
        <w:t>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1823"/>
        <w:gridCol w:w="3648"/>
        <w:gridCol w:w="912"/>
        <w:gridCol w:w="1907"/>
      </w:tblGrid>
      <w:tr w:rsidR="00000000">
        <w:trPr>
          <w:tblCellSpacing w:w="0" w:type="dxa"/>
        </w:trPr>
        <w:tc>
          <w:tcPr>
            <w:tcW w:w="1100" w:type="pct"/>
            <w:tcBorders>
              <w:top w:val="single" w:sz="6" w:space="0" w:color="000000"/>
              <w:left w:val="single" w:sz="6" w:space="0" w:color="000000"/>
            </w:tcBorders>
            <w:shd w:val="clear" w:color="auto" w:fill="CCEEFF"/>
            <w:hideMark/>
          </w:tcPr>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13,</w:t>
            </w:r>
            <w:r>
              <w:rPr>
                <w:sz w:val="20"/>
                <w:szCs w:val="20"/>
              </w:rPr>
              <w:t xml:space="preserve"> Fair Value Measurement (Topic</w:t>
            </w:r>
            <w:r>
              <w:rPr>
                <w:sz w:val="20"/>
                <w:szCs w:val="20"/>
              </w:rPr>
              <w:t xml:space="preserve"> </w:t>
            </w:r>
            <w:r>
              <w:rPr>
                <w:rStyle w:val="a6"/>
                <w:i w:val="0"/>
                <w:iCs w:val="0"/>
                <w:sz w:val="20"/>
                <w:szCs w:val="20"/>
              </w:rPr>
              <w:t>820</w:t>
            </w:r>
            <w:r>
              <w:rPr>
                <w:sz w:val="20"/>
                <w:szCs w:val="20"/>
              </w:rPr>
              <w:t xml:space="preserve">): Disclosure Framework – </w:t>
            </w:r>
            <w:r>
              <w:rPr>
                <w:sz w:val="20"/>
                <w:szCs w:val="20"/>
              </w:rPr>
              <w:t>Changes to the Disclosure Requirements for Fair Value Measurement</w:t>
            </w:r>
          </w:p>
          <w:p w:rsidR="00000000" w:rsidRDefault="005F676C">
            <w:pPr>
              <w:pStyle w:val="a3"/>
              <w:spacing w:before="0" w:beforeAutospacing="0" w:after="0" w:afterAutospacing="0"/>
              <w:rPr>
                <w:sz w:val="20"/>
                <w:szCs w:val="20"/>
              </w:rPr>
            </w:pPr>
            <w:r>
              <w:rPr>
                <w:sz w:val="20"/>
                <w:szCs w:val="20"/>
              </w:rPr>
              <w:t> </w:t>
            </w:r>
          </w:p>
        </w:tc>
        <w:tc>
          <w:tcPr>
            <w:tcW w:w="2200" w:type="pct"/>
            <w:tcBorders>
              <w:top w:val="single" w:sz="6" w:space="0" w:color="000000"/>
              <w:left w:val="single" w:sz="6" w:space="0" w:color="000000"/>
            </w:tcBorders>
            <w:shd w:val="clear" w:color="auto" w:fill="CCEEFF"/>
            <w:hideMark/>
          </w:tcPr>
          <w:p w:rsidR="00000000" w:rsidRDefault="005F676C">
            <w:pPr>
              <w:pStyle w:val="a3"/>
              <w:spacing w:before="0" w:beforeAutospacing="0" w:after="0" w:afterAutospacing="0"/>
              <w:jc w:val="both"/>
              <w:rPr>
                <w:sz w:val="20"/>
                <w:szCs w:val="20"/>
              </w:rPr>
            </w:pPr>
            <w:r>
              <w:rPr>
                <w:sz w:val="20"/>
                <w:szCs w:val="20"/>
              </w:rPr>
              <w:t>The amendment modifies the disclosure requirements for fair value measurements in Topic</w:t>
            </w:r>
            <w:r>
              <w:rPr>
                <w:sz w:val="20"/>
                <w:szCs w:val="20"/>
              </w:rPr>
              <w:t xml:space="preserve"> </w:t>
            </w:r>
            <w:r>
              <w:rPr>
                <w:rStyle w:val="a6"/>
                <w:i w:val="0"/>
                <w:iCs w:val="0"/>
                <w:sz w:val="20"/>
                <w:szCs w:val="20"/>
              </w:rPr>
              <w:t>820,</w:t>
            </w:r>
            <w:r>
              <w:rPr>
                <w:sz w:val="20"/>
                <w:szCs w:val="20"/>
              </w:rPr>
              <w:t xml:space="preserve"> based on the concepts in the FASB Concepts Statement, </w:t>
            </w:r>
            <w:r>
              <w:rPr>
                <w:i/>
                <w:iCs/>
                <w:sz w:val="20"/>
                <w:szCs w:val="20"/>
              </w:rPr>
              <w:t>Conceptual Framework for Financial Report</w:t>
            </w:r>
            <w:r>
              <w:rPr>
                <w:i/>
                <w:iCs/>
                <w:sz w:val="20"/>
                <w:szCs w:val="20"/>
              </w:rPr>
              <w:t>ing – Chapter</w:t>
            </w:r>
            <w:r>
              <w:rPr>
                <w:i/>
                <w:iCs/>
                <w:sz w:val="20"/>
                <w:szCs w:val="20"/>
              </w:rPr>
              <w:t xml:space="preserve"> </w:t>
            </w:r>
            <w:r>
              <w:rPr>
                <w:rStyle w:val="a6"/>
                <w:i w:val="0"/>
                <w:iCs w:val="0"/>
                <w:sz w:val="20"/>
                <w:szCs w:val="20"/>
              </w:rPr>
              <w:t>8:</w:t>
            </w:r>
            <w:r>
              <w:rPr>
                <w:i/>
                <w:iCs/>
                <w:sz w:val="20"/>
                <w:szCs w:val="20"/>
              </w:rPr>
              <w:t xml:space="preserve"> Notes to Financial Statements</w:t>
            </w:r>
            <w:r>
              <w:rPr>
                <w:sz w:val="20"/>
                <w:szCs w:val="20"/>
              </w:rPr>
              <w:t>, including the consideration of costs and benefits.</w:t>
            </w:r>
          </w:p>
        </w:tc>
        <w:tc>
          <w:tcPr>
            <w:tcW w:w="550" w:type="pct"/>
            <w:tcBorders>
              <w:top w:val="single" w:sz="6" w:space="0" w:color="000000"/>
              <w:left w:val="single" w:sz="6" w:space="0" w:color="000000"/>
            </w:tcBorders>
            <w:shd w:val="clear" w:color="auto" w:fill="CCEEFF"/>
            <w:hideMark/>
          </w:tcPr>
          <w:p w:rsidR="00000000" w:rsidRDefault="005F676C">
            <w:pPr>
              <w:pStyle w:val="a3"/>
              <w:spacing w:before="0" w:beforeAutospacing="0" w:after="0" w:afterAutospacing="0"/>
              <w:jc w:val="center"/>
              <w:rPr>
                <w:sz w:val="20"/>
                <w:szCs w:val="20"/>
              </w:rPr>
            </w:pPr>
            <w:r>
              <w:rPr>
                <w:rStyle w:val="a6"/>
                <w:i w:val="0"/>
                <w:iCs w:val="0"/>
                <w:sz w:val="20"/>
                <w:szCs w:val="20"/>
              </w:rPr>
              <w:t xml:space="preserve">January 1, 2020; </w:t>
            </w:r>
            <w:r>
              <w:rPr>
                <w:sz w:val="20"/>
                <w:szCs w:val="20"/>
              </w:rPr>
              <w:t>Early adoption permitted</w:t>
            </w:r>
          </w:p>
        </w:tc>
        <w:tc>
          <w:tcPr>
            <w:tcW w:w="1150" w:type="pct"/>
            <w:tcBorders>
              <w:top w:val="single" w:sz="6" w:space="0" w:color="000000"/>
              <w:left w:val="single" w:sz="6" w:space="0" w:color="000000"/>
              <w:bottom w:val="single" w:sz="6" w:space="0" w:color="000000"/>
              <w:right w:val="single" w:sz="6" w:space="0" w:color="000000"/>
            </w:tcBorders>
            <w:shd w:val="clear" w:color="auto" w:fill="CCEEFF"/>
            <w:hideMark/>
          </w:tcPr>
          <w:p w:rsidR="00000000" w:rsidRDefault="005F676C">
            <w:pPr>
              <w:pStyle w:val="a3"/>
              <w:spacing w:before="0" w:beforeAutospacing="0" w:after="0" w:afterAutospacing="0"/>
              <w:rPr>
                <w:sz w:val="20"/>
                <w:szCs w:val="20"/>
              </w:rPr>
            </w:pPr>
            <w:r>
              <w:rPr>
                <w:sz w:val="20"/>
                <w:szCs w:val="20"/>
              </w:rPr>
              <w:t>The adoption of this ASU is</w:t>
            </w:r>
            <w:r>
              <w:rPr>
                <w:sz w:val="20"/>
                <w:szCs w:val="20"/>
              </w:rPr>
              <w:t xml:space="preserve"> </w:t>
            </w:r>
            <w:r>
              <w:rPr>
                <w:rStyle w:val="a6"/>
                <w:i w:val="0"/>
                <w:iCs w:val="0"/>
                <w:sz w:val="20"/>
                <w:szCs w:val="20"/>
              </w:rPr>
              <w:t>not</w:t>
            </w:r>
            <w:r>
              <w:rPr>
                <w:sz w:val="20"/>
                <w:szCs w:val="20"/>
              </w:rPr>
              <w:t xml:space="preserve"> expected to have a material impact on the Company’s financial position and/or resul</w:t>
            </w:r>
            <w:r>
              <w:rPr>
                <w:sz w:val="20"/>
                <w:szCs w:val="20"/>
              </w:rPr>
              <w:t>ts of operations.</w:t>
            </w:r>
          </w:p>
        </w:tc>
      </w:tr>
      <w:tr w:rsidR="00000000">
        <w:trPr>
          <w:tblCellSpacing w:w="0" w:type="dxa"/>
        </w:trPr>
        <w:tc>
          <w:tcPr>
            <w:tcW w:w="1100" w:type="pct"/>
            <w:tcBorders>
              <w:top w:val="single" w:sz="6" w:space="0" w:color="000000"/>
              <w:left w:val="single" w:sz="6" w:space="0" w:color="000000"/>
              <w:bottom w:val="single" w:sz="6" w:space="0" w:color="000000"/>
            </w:tcBorders>
            <w:shd w:val="clear" w:color="auto" w:fill="FFFFFF"/>
            <w:hideMark/>
          </w:tcPr>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2016</w:t>
            </w:r>
            <w:r>
              <w:rPr>
                <w:sz w:val="20"/>
                <w:szCs w:val="20"/>
              </w:rPr>
              <w:t>-</w:t>
            </w:r>
            <w:r>
              <w:rPr>
                <w:rStyle w:val="a6"/>
                <w:i w:val="0"/>
                <w:iCs w:val="0"/>
                <w:sz w:val="20"/>
                <w:szCs w:val="20"/>
              </w:rPr>
              <w:t>13,</w:t>
            </w:r>
            <w:r>
              <w:rPr>
                <w:sz w:val="20"/>
                <w:szCs w:val="20"/>
              </w:rPr>
              <w:t xml:space="preserve"> Financial Instruments – Credit Losses (Topic</w:t>
            </w:r>
            <w:r>
              <w:rPr>
                <w:sz w:val="20"/>
                <w:szCs w:val="20"/>
              </w:rPr>
              <w:t xml:space="preserve"> </w:t>
            </w:r>
            <w:r>
              <w:rPr>
                <w:rStyle w:val="a6"/>
                <w:i w:val="0"/>
                <w:iCs w:val="0"/>
                <w:sz w:val="20"/>
                <w:szCs w:val="20"/>
              </w:rPr>
              <w:t>326</w:t>
            </w:r>
            <w:r>
              <w:rPr>
                <w:sz w:val="20"/>
                <w:szCs w:val="20"/>
              </w:rPr>
              <w:t>): Measurement of Credit Losses on Financial Instruments</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19,</w:t>
            </w:r>
            <w:r>
              <w:rPr>
                <w:sz w:val="20"/>
                <w:szCs w:val="20"/>
              </w:rPr>
              <w:t xml:space="preserve"> Codification Improvements to Topic</w:t>
            </w:r>
            <w:r>
              <w:rPr>
                <w:sz w:val="20"/>
                <w:szCs w:val="20"/>
              </w:rPr>
              <w:t xml:space="preserve"> </w:t>
            </w:r>
            <w:r>
              <w:rPr>
                <w:rStyle w:val="a6"/>
                <w:i w:val="0"/>
                <w:iCs w:val="0"/>
                <w:sz w:val="20"/>
                <w:szCs w:val="20"/>
              </w:rPr>
              <w:t>326,</w:t>
            </w:r>
            <w:r>
              <w:rPr>
                <w:sz w:val="20"/>
                <w:szCs w:val="20"/>
              </w:rPr>
              <w:t> Financial Instruments – Credit Losses</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2019</w:t>
            </w:r>
            <w:r>
              <w:rPr>
                <w:sz w:val="20"/>
                <w:szCs w:val="20"/>
              </w:rPr>
              <w:t>-</w:t>
            </w:r>
            <w:r>
              <w:rPr>
                <w:rStyle w:val="a6"/>
                <w:i w:val="0"/>
                <w:iCs w:val="0"/>
                <w:sz w:val="20"/>
                <w:szCs w:val="20"/>
              </w:rPr>
              <w:t>05,</w:t>
            </w:r>
            <w:r>
              <w:rPr>
                <w:sz w:val="20"/>
                <w:szCs w:val="20"/>
              </w:rPr>
              <w:t xml:space="preserve"> </w:t>
            </w:r>
            <w:r>
              <w:rPr>
                <w:sz w:val="20"/>
                <w:szCs w:val="20"/>
              </w:rPr>
              <w:t>Financial Instruments – Credit Losses (Topic</w:t>
            </w:r>
            <w:r>
              <w:rPr>
                <w:sz w:val="20"/>
                <w:szCs w:val="20"/>
              </w:rPr>
              <w:t xml:space="preserve"> </w:t>
            </w:r>
            <w:r>
              <w:rPr>
                <w:rStyle w:val="a6"/>
                <w:i w:val="0"/>
                <w:iCs w:val="0"/>
                <w:sz w:val="20"/>
                <w:szCs w:val="20"/>
              </w:rPr>
              <w:t>326</w:t>
            </w:r>
            <w:r>
              <w:rPr>
                <w:sz w:val="20"/>
                <w:szCs w:val="20"/>
              </w:rPr>
              <w:t>), Targeted Transition Relief</w:t>
            </w:r>
          </w:p>
        </w:tc>
        <w:tc>
          <w:tcPr>
            <w:tcW w:w="2200" w:type="pct"/>
            <w:tcBorders>
              <w:top w:val="single" w:sz="6" w:space="0" w:color="000000"/>
              <w:left w:val="single" w:sz="6" w:space="0" w:color="000000"/>
              <w:bottom w:val="single" w:sz="6" w:space="0" w:color="000000"/>
            </w:tcBorders>
            <w:shd w:val="clear" w:color="auto" w:fill="FFFFFF"/>
            <w:hideMark/>
          </w:tcPr>
          <w:p w:rsidR="00000000" w:rsidRDefault="005F676C">
            <w:pPr>
              <w:pStyle w:val="a3"/>
              <w:spacing w:before="0" w:beforeAutospacing="0" w:after="0" w:afterAutospacing="0"/>
              <w:jc w:val="both"/>
              <w:rPr>
                <w:sz w:val="20"/>
                <w:szCs w:val="20"/>
              </w:rPr>
            </w:pPr>
            <w:r>
              <w:rPr>
                <w:sz w:val="20"/>
                <w:szCs w:val="20"/>
              </w:rPr>
              <w:t>The new guidance introduces a new model for estimating credit losses for certain types of financial instruments, including loans receivable, held-to-maturity debt securities, and</w:t>
            </w:r>
            <w:r>
              <w:rPr>
                <w:sz w:val="20"/>
                <w:szCs w:val="20"/>
              </w:rPr>
              <w:t xml:space="preserve"> net investments in direct financing leases, amongst other financial instruments. ASU</w:t>
            </w:r>
            <w:r>
              <w:rPr>
                <w:sz w:val="20"/>
                <w:szCs w:val="20"/>
              </w:rPr>
              <w:t xml:space="preserve"> </w:t>
            </w:r>
            <w:r>
              <w:rPr>
                <w:rStyle w:val="a6"/>
                <w:i w:val="0"/>
                <w:iCs w:val="0"/>
                <w:sz w:val="20"/>
                <w:szCs w:val="20"/>
              </w:rPr>
              <w:t>2016</w:t>
            </w:r>
            <w:r>
              <w:rPr>
                <w:sz w:val="20"/>
                <w:szCs w:val="20"/>
              </w:rPr>
              <w:t>-</w:t>
            </w:r>
            <w:r>
              <w:rPr>
                <w:rStyle w:val="a6"/>
                <w:i w:val="0"/>
                <w:iCs w:val="0"/>
                <w:sz w:val="20"/>
                <w:szCs w:val="20"/>
              </w:rPr>
              <w:t>13</w:t>
            </w:r>
            <w:r>
              <w:rPr>
                <w:sz w:val="20"/>
                <w:szCs w:val="20"/>
              </w:rPr>
              <w:t xml:space="preserve"> also modifies the impairment model for available-for-sale debt securities and expands the disclosure requirements regarding an entity’s assumptions, models, and m</w:t>
            </w:r>
            <w:r>
              <w:rPr>
                <w:sz w:val="20"/>
                <w:szCs w:val="20"/>
              </w:rPr>
              <w:t>ethods for estimating the allowance for losses.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November 2018, </w:t>
            </w:r>
            <w:r>
              <w:rPr>
                <w:sz w:val="20"/>
                <w:szCs w:val="20"/>
              </w:rPr>
              <w:t>the FASB issued ASU</w:t>
            </w:r>
            <w:r>
              <w:rPr>
                <w:sz w:val="20"/>
                <w:szCs w:val="20"/>
              </w:rPr>
              <w:t xml:space="preserve"> </w:t>
            </w:r>
            <w:r>
              <w:rPr>
                <w:rStyle w:val="a6"/>
                <w:i w:val="0"/>
                <w:iCs w:val="0"/>
                <w:sz w:val="20"/>
                <w:szCs w:val="20"/>
              </w:rPr>
              <w:t>2018</w:t>
            </w:r>
            <w:r>
              <w:rPr>
                <w:sz w:val="20"/>
                <w:szCs w:val="20"/>
              </w:rPr>
              <w:t>-</w:t>
            </w:r>
            <w:r>
              <w:rPr>
                <w:rStyle w:val="a6"/>
                <w:i w:val="0"/>
                <w:iCs w:val="0"/>
                <w:sz w:val="20"/>
                <w:szCs w:val="20"/>
              </w:rPr>
              <w:t>19,</w:t>
            </w:r>
            <w:r>
              <w:rPr>
                <w:sz w:val="20"/>
                <w:szCs w:val="20"/>
              </w:rPr>
              <w:t xml:space="preserve"> which includes amendments to (i) clarify receivables arising from operating leases are within the scope of the new leasing standard (Topic</w:t>
            </w:r>
            <w:r>
              <w:rPr>
                <w:sz w:val="20"/>
                <w:szCs w:val="20"/>
              </w:rPr>
              <w:t xml:space="preserve"> </w:t>
            </w:r>
            <w:r>
              <w:rPr>
                <w:rStyle w:val="a6"/>
                <w:i w:val="0"/>
                <w:iCs w:val="0"/>
                <w:sz w:val="20"/>
                <w:szCs w:val="20"/>
              </w:rPr>
              <w:t>842</w:t>
            </w:r>
            <w:r>
              <w:rPr>
                <w:sz w:val="20"/>
                <w:szCs w:val="20"/>
              </w:rPr>
              <w:t>) discussed below</w:t>
            </w:r>
            <w:r>
              <w:rPr>
                <w:sz w:val="20"/>
                <w:szCs w:val="20"/>
              </w:rPr>
              <w:t xml:space="preserve"> and (ii) align the implementation date for nonpublic entities’ annual financial statements with the implementation date for their interim financial statements. Early adoption is permitted as of the original effective date.</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In</w:t>
            </w:r>
            <w:r>
              <w:rPr>
                <w:sz w:val="20"/>
                <w:szCs w:val="20"/>
              </w:rPr>
              <w:t> </w:t>
            </w:r>
            <w:r>
              <w:rPr>
                <w:rStyle w:val="a6"/>
                <w:i w:val="0"/>
                <w:iCs w:val="0"/>
                <w:sz w:val="20"/>
                <w:szCs w:val="20"/>
              </w:rPr>
              <w:t xml:space="preserve"> May</w:t>
            </w:r>
            <w:r>
              <w:rPr>
                <w:rStyle w:val="a6"/>
                <w:i w:val="0"/>
                <w:iCs w:val="0"/>
                <w:sz w:val="20"/>
                <w:szCs w:val="20"/>
              </w:rPr>
              <w:t> </w:t>
            </w:r>
            <w:r>
              <w:rPr>
                <w:rStyle w:val="a6"/>
                <w:i w:val="0"/>
                <w:iCs w:val="0"/>
                <w:sz w:val="20"/>
                <w:szCs w:val="20"/>
              </w:rPr>
              <w:t>2019,</w:t>
            </w:r>
            <w:r>
              <w:rPr>
                <w:sz w:val="20"/>
                <w:szCs w:val="20"/>
              </w:rPr>
              <w:t xml:space="preserve"> the FASB issued </w:t>
            </w:r>
            <w:r>
              <w:rPr>
                <w:sz w:val="20"/>
                <w:szCs w:val="20"/>
              </w:rPr>
              <w:t>ASU</w:t>
            </w:r>
            <w:r>
              <w:rPr>
                <w:sz w:val="20"/>
                <w:szCs w:val="20"/>
              </w:rPr>
              <w:t> </w:t>
            </w:r>
            <w:r>
              <w:rPr>
                <w:rStyle w:val="a6"/>
                <w:i w:val="0"/>
                <w:iCs w:val="0"/>
                <w:sz w:val="20"/>
                <w:szCs w:val="20"/>
              </w:rPr>
              <w:t>2019</w:t>
            </w:r>
            <w:r>
              <w:rPr>
                <w:sz w:val="20"/>
                <w:szCs w:val="20"/>
              </w:rPr>
              <w:t>-</w:t>
            </w:r>
            <w:r>
              <w:rPr>
                <w:rStyle w:val="a6"/>
                <w:i w:val="0"/>
                <w:iCs w:val="0"/>
                <w:sz w:val="20"/>
                <w:szCs w:val="20"/>
              </w:rPr>
              <w:t>05</w:t>
            </w:r>
            <w:r>
              <w:rPr>
                <w:sz w:val="20"/>
                <w:szCs w:val="20"/>
              </w:rPr>
              <w:t> which amends ASU</w:t>
            </w:r>
            <w:r>
              <w:rPr>
                <w:sz w:val="20"/>
                <w:szCs w:val="20"/>
              </w:rPr>
              <w:t> </w:t>
            </w:r>
            <w:r>
              <w:rPr>
                <w:rStyle w:val="a6"/>
                <w:i w:val="0"/>
                <w:iCs w:val="0"/>
                <w:sz w:val="20"/>
                <w:szCs w:val="20"/>
              </w:rPr>
              <w:t>2016</w:t>
            </w:r>
            <w:r>
              <w:rPr>
                <w:sz w:val="20"/>
                <w:szCs w:val="20"/>
              </w:rPr>
              <w:t>-</w:t>
            </w:r>
            <w:r>
              <w:rPr>
                <w:rStyle w:val="a6"/>
                <w:i w:val="0"/>
                <w:iCs w:val="0"/>
                <w:sz w:val="20"/>
                <w:szCs w:val="20"/>
              </w:rPr>
              <w:t>13</w:t>
            </w:r>
            <w:r>
              <w:rPr>
                <w:sz w:val="20"/>
                <w:szCs w:val="20"/>
              </w:rPr>
              <w:t xml:space="preserve"> to allow companies to irrevocably elect, upon adoption of ASU</w:t>
            </w:r>
            <w:r>
              <w:rPr>
                <w:sz w:val="20"/>
                <w:szCs w:val="20"/>
              </w:rPr>
              <w:t xml:space="preserve"> </w:t>
            </w:r>
            <w:r>
              <w:rPr>
                <w:rStyle w:val="a6"/>
                <w:i w:val="0"/>
                <w:iCs w:val="0"/>
                <w:sz w:val="20"/>
                <w:szCs w:val="20"/>
              </w:rPr>
              <w:t>2016</w:t>
            </w:r>
            <w:r>
              <w:rPr>
                <w:sz w:val="20"/>
                <w:szCs w:val="20"/>
              </w:rPr>
              <w:t>-</w:t>
            </w:r>
            <w:r>
              <w:rPr>
                <w:rStyle w:val="a6"/>
                <w:i w:val="0"/>
                <w:iCs w:val="0"/>
                <w:sz w:val="20"/>
                <w:szCs w:val="20"/>
              </w:rPr>
              <w:t>13,</w:t>
            </w:r>
            <w:r>
              <w:rPr>
                <w:sz w:val="20"/>
                <w:szCs w:val="20"/>
              </w:rPr>
              <w:t xml:space="preserve"> the fair value option on financial instruments that (i) were previously recorded at amortized cost and (ii) are within the scope of ASC</w:t>
            </w:r>
            <w:r>
              <w:rPr>
                <w:sz w:val="20"/>
                <w:szCs w:val="20"/>
              </w:rPr>
              <w:t xml:space="preserve"> </w:t>
            </w:r>
            <w:r>
              <w:rPr>
                <w:rStyle w:val="a6"/>
                <w:i w:val="0"/>
                <w:iCs w:val="0"/>
                <w:sz w:val="20"/>
                <w:szCs w:val="20"/>
              </w:rPr>
              <w:t>326</w:t>
            </w:r>
            <w:r>
              <w:rPr>
                <w:sz w:val="20"/>
                <w:szCs w:val="20"/>
              </w:rPr>
              <w:t>-</w:t>
            </w:r>
            <w:r>
              <w:rPr>
                <w:rStyle w:val="a6"/>
                <w:i w:val="0"/>
                <w:iCs w:val="0"/>
                <w:sz w:val="20"/>
                <w:szCs w:val="20"/>
              </w:rPr>
              <w:t>203</w:t>
            </w:r>
            <w:r>
              <w:rPr>
                <w:sz w:val="20"/>
                <w:szCs w:val="20"/>
              </w:rPr>
              <w:t xml:space="preserve"> if t</w:t>
            </w:r>
            <w:r>
              <w:rPr>
                <w:sz w:val="20"/>
                <w:szCs w:val="20"/>
              </w:rPr>
              <w:t>he instruments are eligible for the fair value option under ASC</w:t>
            </w:r>
            <w:r>
              <w:rPr>
                <w:sz w:val="20"/>
                <w:szCs w:val="20"/>
              </w:rPr>
              <w:t xml:space="preserve"> </w:t>
            </w:r>
            <w:r>
              <w:rPr>
                <w:rStyle w:val="a6"/>
                <w:i w:val="0"/>
                <w:iCs w:val="0"/>
                <w:sz w:val="20"/>
                <w:szCs w:val="20"/>
              </w:rPr>
              <w:t>825</w:t>
            </w:r>
            <w:r>
              <w:rPr>
                <w:sz w:val="20"/>
                <w:szCs w:val="20"/>
              </w:rPr>
              <w:t>-</w:t>
            </w:r>
            <w:r>
              <w:rPr>
                <w:rStyle w:val="a6"/>
                <w:i w:val="0"/>
                <w:iCs w:val="0"/>
                <w:sz w:val="20"/>
                <w:szCs w:val="20"/>
              </w:rPr>
              <w:t>10.4.</w:t>
            </w:r>
            <w:r>
              <w:rPr>
                <w:sz w:val="20"/>
                <w:szCs w:val="20"/>
              </w:rPr>
              <w:t xml:space="preserve"> The fair value option election does</w:t>
            </w:r>
            <w:r>
              <w:rPr>
                <w:sz w:val="20"/>
                <w:szCs w:val="20"/>
              </w:rPr>
              <w:t xml:space="preserve"> </w:t>
            </w:r>
            <w:r>
              <w:rPr>
                <w:rStyle w:val="a6"/>
                <w:i w:val="0"/>
                <w:iCs w:val="0"/>
                <w:sz w:val="20"/>
                <w:szCs w:val="20"/>
              </w:rPr>
              <w:t>not</w:t>
            </w:r>
            <w:r>
              <w:rPr>
                <w:sz w:val="20"/>
                <w:szCs w:val="20"/>
              </w:rPr>
              <w:t xml:space="preserve"> apply to held-to-maturity debt securities. Entities are required to make this election on an instrument-by-instrument basis. These amendments </w:t>
            </w:r>
            <w:r>
              <w:rPr>
                <w:sz w:val="20"/>
                <w:szCs w:val="20"/>
              </w:rPr>
              <w:t>should be applied on a modified-retrospective basis by means of a cumulative-effect adjustment to the opening balance of retained earnings balance in the statement of financial position as of the date that an entity adopted the amendments in ASU</w:t>
            </w:r>
            <w:r>
              <w:rPr>
                <w:sz w:val="20"/>
                <w:szCs w:val="20"/>
              </w:rPr>
              <w:t xml:space="preserve"> </w:t>
            </w:r>
            <w:r>
              <w:rPr>
                <w:rStyle w:val="a6"/>
                <w:i w:val="0"/>
                <w:iCs w:val="0"/>
                <w:sz w:val="20"/>
                <w:szCs w:val="20"/>
              </w:rPr>
              <w:t>2016</w:t>
            </w:r>
            <w:r>
              <w:rPr>
                <w:sz w:val="20"/>
                <w:szCs w:val="20"/>
              </w:rPr>
              <w:t>-</w:t>
            </w:r>
            <w:r>
              <w:rPr>
                <w:rStyle w:val="a6"/>
                <w:i w:val="0"/>
                <w:iCs w:val="0"/>
                <w:sz w:val="20"/>
                <w:szCs w:val="20"/>
              </w:rPr>
              <w:t>13.</w:t>
            </w:r>
            <w:r>
              <w:rPr>
                <w:sz w:val="20"/>
                <w:szCs w:val="20"/>
              </w:rPr>
              <w:t xml:space="preserve"> Certain disclosures are required. The effective date will be the same as the effective date in ASU</w:t>
            </w:r>
            <w:r>
              <w:rPr>
                <w:sz w:val="20"/>
                <w:szCs w:val="20"/>
              </w:rPr>
              <w:t xml:space="preserve"> </w:t>
            </w:r>
            <w:r>
              <w:rPr>
                <w:rStyle w:val="a6"/>
                <w:i w:val="0"/>
                <w:iCs w:val="0"/>
                <w:sz w:val="20"/>
                <w:szCs w:val="20"/>
              </w:rPr>
              <w:t>2016</w:t>
            </w:r>
            <w:r>
              <w:rPr>
                <w:sz w:val="20"/>
                <w:szCs w:val="20"/>
              </w:rPr>
              <w:t>-</w:t>
            </w:r>
            <w:r>
              <w:rPr>
                <w:rStyle w:val="a6"/>
                <w:i w:val="0"/>
                <w:iCs w:val="0"/>
                <w:sz w:val="20"/>
                <w:szCs w:val="20"/>
              </w:rPr>
              <w:t>13.</w:t>
            </w:r>
            <w:r>
              <w:rPr>
                <w:sz w:val="20"/>
                <w:szCs w:val="20"/>
              </w:rPr>
              <w:t> </w:t>
            </w:r>
          </w:p>
          <w:p w:rsidR="00000000" w:rsidRDefault="005F676C">
            <w:pPr>
              <w:pStyle w:val="a3"/>
              <w:spacing w:before="0" w:beforeAutospacing="0" w:after="0" w:afterAutospacing="0"/>
              <w:jc w:val="both"/>
              <w:rPr>
                <w:sz w:val="20"/>
                <w:szCs w:val="20"/>
              </w:rPr>
            </w:pPr>
            <w:r>
              <w:rPr>
                <w:sz w:val="20"/>
                <w:szCs w:val="20"/>
              </w:rPr>
              <w:t> </w:t>
            </w:r>
          </w:p>
        </w:tc>
        <w:tc>
          <w:tcPr>
            <w:tcW w:w="550" w:type="pct"/>
            <w:tcBorders>
              <w:top w:val="single" w:sz="6" w:space="0" w:color="000000"/>
              <w:left w:val="single" w:sz="6" w:space="0" w:color="000000"/>
              <w:bottom w:val="single" w:sz="6" w:space="0" w:color="000000"/>
            </w:tcBorders>
            <w:shd w:val="clear" w:color="auto" w:fill="FFFFFF"/>
            <w:hideMark/>
          </w:tcPr>
          <w:p w:rsidR="00000000" w:rsidRDefault="005F676C">
            <w:pPr>
              <w:pStyle w:val="a3"/>
              <w:spacing w:before="0" w:beforeAutospacing="0" w:after="0" w:afterAutospacing="0"/>
              <w:jc w:val="center"/>
              <w:rPr>
                <w:sz w:val="20"/>
                <w:szCs w:val="20"/>
              </w:rPr>
            </w:pPr>
            <w:r>
              <w:rPr>
                <w:rStyle w:val="a6"/>
                <w:i w:val="0"/>
                <w:iCs w:val="0"/>
                <w:sz w:val="20"/>
                <w:szCs w:val="20"/>
              </w:rPr>
              <w:t xml:space="preserve">January 1, 2020; </w:t>
            </w:r>
            <w:r>
              <w:rPr>
                <w:sz w:val="20"/>
                <w:szCs w:val="20"/>
              </w:rPr>
              <w:t>Early adoption permitted</w:t>
            </w:r>
          </w:p>
        </w:tc>
        <w:tc>
          <w:tcPr>
            <w:tcW w:w="1150" w:type="pct"/>
            <w:tcBorders>
              <w:left w:val="single" w:sz="6" w:space="0" w:color="000000"/>
              <w:bottom w:val="single" w:sz="6" w:space="0" w:color="000000"/>
              <w:right w:val="single" w:sz="6" w:space="0" w:color="000000"/>
            </w:tcBorders>
            <w:shd w:val="clear" w:color="auto" w:fill="FFFFFF"/>
            <w:hideMark/>
          </w:tcPr>
          <w:p w:rsidR="00000000" w:rsidRDefault="005F676C">
            <w:pPr>
              <w:pStyle w:val="a3"/>
              <w:spacing w:before="0" w:beforeAutospacing="0" w:after="0" w:afterAutospacing="0"/>
              <w:rPr>
                <w:sz w:val="20"/>
                <w:szCs w:val="20"/>
              </w:rPr>
            </w:pPr>
            <w:r>
              <w:rPr>
                <w:sz w:val="20"/>
                <w:szCs w:val="20"/>
              </w:rPr>
              <w:t>The Company is still assessing the impact on its financial position and/or results of operations.</w:t>
            </w:r>
          </w:p>
        </w:tc>
      </w:tr>
    </w:tbl>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following ASUs to the FASB’s ASC have been adopted by the Company as of the date listed:</w:t>
      </w:r>
    </w:p>
    <w:p w:rsidR="00000000" w:rsidRDefault="005F676C">
      <w:pPr>
        <w:pStyle w:val="a3"/>
        <w:spacing w:before="0" w:beforeAutospacing="0" w:after="0" w:afterAutospacing="0"/>
        <w:rPr>
          <w:sz w:val="20"/>
          <w:szCs w:val="20"/>
        </w:rPr>
      </w:pPr>
      <w:r>
        <w:rPr>
          <w:i/>
          <w:iCs/>
          <w:sz w:val="20"/>
          <w:szCs w:val="20"/>
        </w:rPr>
        <w:t>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2023"/>
        <w:gridCol w:w="3581"/>
        <w:gridCol w:w="849"/>
        <w:gridCol w:w="1837"/>
      </w:tblGrid>
      <w:tr w:rsidR="00000000">
        <w:trPr>
          <w:tblCellSpacing w:w="0" w:type="dxa"/>
        </w:trPr>
        <w:tc>
          <w:tcPr>
            <w:tcW w:w="1100" w:type="pct"/>
            <w:tcBorders>
              <w:top w:val="single" w:sz="6" w:space="0" w:color="000000"/>
              <w:left w:val="single" w:sz="6" w:space="0" w:color="000000"/>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ASU</w:t>
            </w:r>
          </w:p>
        </w:tc>
        <w:tc>
          <w:tcPr>
            <w:tcW w:w="2200" w:type="pct"/>
            <w:tcBorders>
              <w:top w:val="single" w:sz="6" w:space="0" w:color="000000"/>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Description</w:t>
            </w:r>
          </w:p>
        </w:tc>
        <w:tc>
          <w:tcPr>
            <w:tcW w:w="550" w:type="pct"/>
            <w:tcBorders>
              <w:top w:val="single" w:sz="6" w:space="0" w:color="000000"/>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Adoption Date</w:t>
            </w:r>
          </w:p>
        </w:tc>
        <w:tc>
          <w:tcPr>
            <w:tcW w:w="1150" w:type="pct"/>
            <w:tcBorders>
              <w:top w:val="single" w:sz="6" w:space="0" w:color="000000"/>
              <w:bottom w:val="single" w:sz="6" w:space="0" w:color="000000"/>
              <w:right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Effect on the financial statements or other significant matters</w:t>
            </w:r>
          </w:p>
        </w:tc>
      </w:tr>
      <w:tr w:rsidR="00000000">
        <w:trPr>
          <w:tblCellSpacing w:w="0" w:type="dxa"/>
        </w:trPr>
        <w:tc>
          <w:tcPr>
            <w:tcW w:w="1100" w:type="pct"/>
            <w:tcBorders>
              <w:left w:val="single" w:sz="6" w:space="0" w:color="000000"/>
              <w:bottom w:val="single" w:sz="6" w:space="0" w:color="000000"/>
              <w:right w:val="single" w:sz="6" w:space="0" w:color="000000"/>
            </w:tcBorders>
            <w:shd w:val="clear" w:color="auto" w:fill="CCEEFF"/>
            <w:hideMark/>
          </w:tcPr>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2019</w:t>
            </w:r>
            <w:r>
              <w:rPr>
                <w:sz w:val="20"/>
                <w:szCs w:val="20"/>
              </w:rPr>
              <w:t>-</w:t>
            </w:r>
            <w:r>
              <w:rPr>
                <w:rStyle w:val="a6"/>
                <w:i w:val="0"/>
                <w:iCs w:val="0"/>
                <w:sz w:val="20"/>
                <w:szCs w:val="20"/>
              </w:rPr>
              <w:t>07,</w:t>
            </w:r>
            <w:r>
              <w:rPr>
                <w:sz w:val="20"/>
                <w:szCs w:val="20"/>
              </w:rPr>
              <w:t xml:space="preserve"> Codification Up</w:t>
            </w:r>
            <w:r>
              <w:rPr>
                <w:sz w:val="20"/>
                <w:szCs w:val="20"/>
              </w:rPr>
              <w:t>dates to SEC Sections – Amendments to SEC Paragraphs Pursuant to SEC Final Rule Releases</w:t>
            </w:r>
            <w:r>
              <w:rPr>
                <w:sz w:val="20"/>
                <w:szCs w:val="20"/>
              </w:rPr>
              <w:t xml:space="preserve"> </w:t>
            </w:r>
            <w:r>
              <w:rPr>
                <w:rStyle w:val="a6"/>
                <w:i w:val="0"/>
                <w:iCs w:val="0"/>
                <w:sz w:val="20"/>
                <w:szCs w:val="20"/>
              </w:rPr>
              <w:t>No.</w:t>
            </w:r>
            <w:r>
              <w:rPr>
                <w:sz w:val="20"/>
                <w:szCs w:val="20"/>
              </w:rPr>
              <w:t xml:space="preserve"> </w:t>
            </w:r>
            <w:r>
              <w:rPr>
                <w:rStyle w:val="a6"/>
                <w:i w:val="0"/>
                <w:iCs w:val="0"/>
                <w:sz w:val="20"/>
                <w:szCs w:val="20"/>
              </w:rPr>
              <w:t>33</w:t>
            </w:r>
            <w:r>
              <w:rPr>
                <w:sz w:val="20"/>
                <w:szCs w:val="20"/>
              </w:rPr>
              <w:t>-</w:t>
            </w:r>
            <w:r>
              <w:rPr>
                <w:rStyle w:val="a6"/>
                <w:i w:val="0"/>
                <w:iCs w:val="0"/>
                <w:sz w:val="20"/>
                <w:szCs w:val="20"/>
              </w:rPr>
              <w:t>10532,</w:t>
            </w:r>
            <w:r>
              <w:rPr>
                <w:sz w:val="20"/>
                <w:szCs w:val="20"/>
              </w:rPr>
              <w:t xml:space="preserve"> Disclosure Update and Simplification, and Nos.</w:t>
            </w:r>
            <w:r>
              <w:rPr>
                <w:sz w:val="20"/>
                <w:szCs w:val="20"/>
              </w:rPr>
              <w:t xml:space="preserve"> </w:t>
            </w:r>
            <w:r>
              <w:rPr>
                <w:rStyle w:val="a6"/>
                <w:i w:val="0"/>
                <w:iCs w:val="0"/>
                <w:sz w:val="20"/>
                <w:szCs w:val="20"/>
              </w:rPr>
              <w:t>33</w:t>
            </w:r>
            <w:r>
              <w:rPr>
                <w:sz w:val="20"/>
                <w:szCs w:val="20"/>
              </w:rPr>
              <w:t>-</w:t>
            </w:r>
            <w:r>
              <w:rPr>
                <w:rStyle w:val="a6"/>
                <w:i w:val="0"/>
                <w:iCs w:val="0"/>
                <w:sz w:val="20"/>
                <w:szCs w:val="20"/>
              </w:rPr>
              <w:t>10231</w:t>
            </w:r>
            <w:r>
              <w:rPr>
                <w:sz w:val="20"/>
                <w:szCs w:val="20"/>
              </w:rPr>
              <w:t xml:space="preserve"> and</w:t>
            </w:r>
            <w:r>
              <w:rPr>
                <w:sz w:val="20"/>
                <w:szCs w:val="20"/>
              </w:rPr>
              <w:t xml:space="preserve"> </w:t>
            </w:r>
            <w:r>
              <w:rPr>
                <w:rStyle w:val="a6"/>
                <w:i w:val="0"/>
                <w:iCs w:val="0"/>
                <w:sz w:val="20"/>
                <w:szCs w:val="20"/>
              </w:rPr>
              <w:t>33</w:t>
            </w:r>
            <w:r>
              <w:rPr>
                <w:sz w:val="20"/>
                <w:szCs w:val="20"/>
              </w:rPr>
              <w:t>-</w:t>
            </w:r>
            <w:r>
              <w:rPr>
                <w:rStyle w:val="a6"/>
                <w:i w:val="0"/>
                <w:iCs w:val="0"/>
                <w:sz w:val="20"/>
                <w:szCs w:val="20"/>
              </w:rPr>
              <w:t>10442,</w:t>
            </w:r>
            <w:r>
              <w:rPr>
                <w:sz w:val="20"/>
                <w:szCs w:val="20"/>
              </w:rPr>
              <w:t> Investment Company Reporting Modernization, and Miscellaneous Updates</w:t>
            </w:r>
          </w:p>
        </w:tc>
        <w:tc>
          <w:tcPr>
            <w:tcW w:w="2200" w:type="pct"/>
            <w:tcBorders>
              <w:bottom w:val="single" w:sz="6" w:space="0" w:color="000000"/>
              <w:right w:val="single" w:sz="6" w:space="0" w:color="000000"/>
            </w:tcBorders>
            <w:shd w:val="clear" w:color="auto" w:fill="CCEEFF"/>
            <w:hideMark/>
          </w:tcPr>
          <w:p w:rsidR="00000000" w:rsidRDefault="005F676C">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July 2019,</w:t>
            </w:r>
            <w:r>
              <w:rPr>
                <w:rStyle w:val="a6"/>
                <w:i w:val="0"/>
                <w:iCs w:val="0"/>
                <w:sz w:val="20"/>
                <w:szCs w:val="20"/>
              </w:rPr>
              <w:t xml:space="preserve"> </w:t>
            </w:r>
            <w:r>
              <w:rPr>
                <w:sz w:val="20"/>
                <w:szCs w:val="20"/>
              </w:rPr>
              <w:t>the FASB issued ASU</w:t>
            </w:r>
            <w:r>
              <w:rPr>
                <w:sz w:val="20"/>
                <w:szCs w:val="20"/>
              </w:rPr>
              <w:t xml:space="preserve"> </w:t>
            </w:r>
            <w:r>
              <w:rPr>
                <w:rStyle w:val="a6"/>
                <w:i w:val="0"/>
                <w:iCs w:val="0"/>
                <w:sz w:val="20"/>
                <w:szCs w:val="20"/>
              </w:rPr>
              <w:t>2019</w:t>
            </w:r>
            <w:r>
              <w:rPr>
                <w:sz w:val="20"/>
                <w:szCs w:val="20"/>
              </w:rPr>
              <w:t>-</w:t>
            </w:r>
            <w:r>
              <w:rPr>
                <w:rStyle w:val="a6"/>
                <w:i w:val="0"/>
                <w:iCs w:val="0"/>
                <w:sz w:val="20"/>
                <w:szCs w:val="20"/>
              </w:rPr>
              <w:t>07</w:t>
            </w:r>
            <w:r>
              <w:rPr>
                <w:sz w:val="20"/>
                <w:szCs w:val="20"/>
              </w:rPr>
              <w:t xml:space="preserve"> which clarifies or improves the disclosure and presentation requirements of a variety of codification topics by aligning them with the SEC’s regulations, thereby eliminating redundancies and making the codification easier to ap</w:t>
            </w:r>
            <w:r>
              <w:rPr>
                <w:sz w:val="20"/>
                <w:szCs w:val="20"/>
              </w:rPr>
              <w:t>ply. </w:t>
            </w:r>
          </w:p>
        </w:tc>
        <w:tc>
          <w:tcPr>
            <w:tcW w:w="550" w:type="pct"/>
            <w:tcBorders>
              <w:bottom w:val="single" w:sz="6" w:space="0" w:color="000000"/>
              <w:right w:val="single" w:sz="6" w:space="0" w:color="000000"/>
            </w:tcBorders>
            <w:shd w:val="clear" w:color="auto" w:fill="CCEEFF"/>
            <w:hideMark/>
          </w:tcPr>
          <w:p w:rsidR="00000000" w:rsidRDefault="005F676C">
            <w:pPr>
              <w:pStyle w:val="a3"/>
              <w:spacing w:before="0" w:beforeAutospacing="0" w:after="0" w:afterAutospacing="0"/>
              <w:jc w:val="center"/>
              <w:rPr>
                <w:sz w:val="20"/>
                <w:szCs w:val="20"/>
              </w:rPr>
            </w:pPr>
            <w:r>
              <w:rPr>
                <w:sz w:val="20"/>
                <w:szCs w:val="20"/>
              </w:rPr>
              <w:t xml:space="preserve">Effective upon issuance </w:t>
            </w:r>
            <w:r>
              <w:rPr>
                <w:sz w:val="20"/>
                <w:szCs w:val="20"/>
              </w:rPr>
              <w:t>(</w:t>
            </w:r>
            <w:r>
              <w:rPr>
                <w:rStyle w:val="a6"/>
                <w:i w:val="0"/>
                <w:iCs w:val="0"/>
                <w:sz w:val="20"/>
                <w:szCs w:val="20"/>
              </w:rPr>
              <w:t xml:space="preserve"> July 2019)</w:t>
            </w:r>
          </w:p>
        </w:tc>
        <w:tc>
          <w:tcPr>
            <w:tcW w:w="1150" w:type="pct"/>
            <w:tcBorders>
              <w:bottom w:val="single" w:sz="6" w:space="0" w:color="000000"/>
              <w:right w:val="single" w:sz="6" w:space="0" w:color="000000"/>
            </w:tcBorders>
            <w:shd w:val="clear" w:color="auto" w:fill="CCEEFF"/>
            <w:hideMark/>
          </w:tcPr>
          <w:p w:rsidR="00000000" w:rsidRDefault="005F676C">
            <w:pPr>
              <w:pStyle w:val="a3"/>
              <w:spacing w:before="0" w:beforeAutospacing="0" w:after="0" w:afterAutospacing="0"/>
              <w:rPr>
                <w:sz w:val="20"/>
                <w:szCs w:val="20"/>
              </w:rPr>
            </w:pPr>
            <w:r>
              <w:rPr>
                <w:sz w:val="20"/>
                <w:szCs w:val="20"/>
              </w:rPr>
              <w:t>The eliminated or amended disclosures did</w:t>
            </w:r>
            <w:r>
              <w:rPr>
                <w:sz w:val="20"/>
                <w:szCs w:val="20"/>
              </w:rPr>
              <w:t xml:space="preserve"> </w:t>
            </w:r>
            <w:r>
              <w:rPr>
                <w:rStyle w:val="a6"/>
                <w:i w:val="0"/>
                <w:iCs w:val="0"/>
                <w:sz w:val="20"/>
                <w:szCs w:val="20"/>
              </w:rPr>
              <w:t>not</w:t>
            </w:r>
            <w:r>
              <w:rPr>
                <w:sz w:val="20"/>
                <w:szCs w:val="20"/>
              </w:rPr>
              <w:t xml:space="preserve"> have a material impact to the Company’s Condensed Consolidated Financial Statements.</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jc w:val="center"/>
        <w:rPr>
          <w:rFonts w:eastAsia="Times New Roman"/>
          <w:sz w:val="20"/>
          <w:szCs w:val="20"/>
        </w:rPr>
      </w:pPr>
      <w:r>
        <w:rPr>
          <w:rFonts w:eastAsia="Times New Roman"/>
          <w:sz w:val="20"/>
          <w:szCs w:val="20"/>
        </w:rPr>
        <w:t xml:space="preserve">12 </w:t>
      </w:r>
    </w:p>
    <w:p w:rsidR="00000000" w:rsidRDefault="005F676C">
      <w:pPr>
        <w:rPr>
          <w:rFonts w:eastAsia="Times New Roman"/>
          <w:sz w:val="20"/>
          <w:szCs w:val="20"/>
        </w:rPr>
      </w:pPr>
      <w:r>
        <w:rPr>
          <w:rFonts w:eastAsia="Times New Roman"/>
          <w:sz w:val="20"/>
          <w:szCs w:val="20"/>
        </w:rPr>
        <w:pict>
          <v:rect id="_x0000_i1040" style="width:415.3pt;height:1.5pt" o:hralign="center" o:hrstd="t" o:hrnoshade="t" o:hr="t" fillcolor="black" stroked="f"/>
        </w:pict>
      </w:r>
    </w:p>
    <w:p w:rsidR="00000000" w:rsidRDefault="005F676C">
      <w:pPr>
        <w:rPr>
          <w:rFonts w:eastAsia="Times New Roman"/>
          <w:sz w:val="20"/>
          <w:szCs w:val="20"/>
        </w:rPr>
      </w:pPr>
      <w:hyperlink w:anchor="toc" w:history="1">
        <w:r>
          <w:rPr>
            <w:rStyle w:val="a4"/>
            <w:rFonts w:eastAsia="Times New Roman"/>
            <w:sz w:val="20"/>
            <w:szCs w:val="20"/>
          </w:rPr>
          <w:t>Table of Conte</w:t>
        </w:r>
        <w:r>
          <w:rPr>
            <w:rStyle w:val="a4"/>
            <w:rFonts w:eastAsia="Times New Roman"/>
            <w:sz w:val="20"/>
            <w:szCs w:val="20"/>
          </w:rPr>
          <w:t>nts</w:t>
        </w:r>
      </w:hyperlink>
    </w:p>
    <w:p w:rsidR="00000000" w:rsidRDefault="005F676C">
      <w:pPr>
        <w:pStyle w:val="a3"/>
        <w:spacing w:before="0" w:beforeAutospacing="0" w:after="0" w:afterAutospacing="0"/>
        <w:rPr>
          <w:sz w:val="20"/>
          <w:szCs w:val="20"/>
        </w:rPr>
      </w:pPr>
      <w:r>
        <w:rPr>
          <w:sz w:val="20"/>
          <w:szCs w:val="20"/>
        </w:rPr>
        <w:t> </w:t>
      </w:r>
    </w:p>
    <w:tbl>
      <w:tblPr>
        <w:tblW w:w="5000" w:type="pct"/>
        <w:tblCellSpacing w:w="0" w:type="dxa"/>
        <w:tblCellMar>
          <w:top w:w="24" w:type="dxa"/>
          <w:left w:w="24" w:type="dxa"/>
          <w:bottom w:w="24" w:type="dxa"/>
          <w:right w:w="24" w:type="dxa"/>
        </w:tblCellMar>
        <w:tblLook w:val="04A0" w:firstRow="1" w:lastRow="0" w:firstColumn="1" w:lastColumn="0" w:noHBand="0" w:noVBand="1"/>
      </w:tblPr>
      <w:tblGrid>
        <w:gridCol w:w="1823"/>
        <w:gridCol w:w="3648"/>
        <w:gridCol w:w="912"/>
        <w:gridCol w:w="1907"/>
      </w:tblGrid>
      <w:tr w:rsidR="00000000">
        <w:trPr>
          <w:tblCellSpacing w:w="0" w:type="dxa"/>
        </w:trPr>
        <w:tc>
          <w:tcPr>
            <w:tcW w:w="1100" w:type="pct"/>
            <w:tcBorders>
              <w:top w:val="single" w:sz="6" w:space="0" w:color="000000"/>
              <w:left w:val="single" w:sz="6" w:space="0" w:color="000000"/>
              <w:bottom w:val="single" w:sz="6" w:space="0" w:color="000000"/>
              <w:right w:val="single" w:sz="6" w:space="0" w:color="000000"/>
            </w:tcBorders>
            <w:shd w:val="clear" w:color="auto" w:fill="FFFFFF"/>
            <w:hideMark/>
          </w:tcPr>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2016</w:t>
            </w:r>
            <w:r>
              <w:rPr>
                <w:sz w:val="20"/>
                <w:szCs w:val="20"/>
              </w:rPr>
              <w:t>-</w:t>
            </w:r>
            <w:r>
              <w:rPr>
                <w:rStyle w:val="a6"/>
                <w:i w:val="0"/>
                <w:iCs w:val="0"/>
                <w:sz w:val="20"/>
                <w:szCs w:val="20"/>
              </w:rPr>
              <w:t>02,</w:t>
            </w:r>
            <w:r>
              <w:rPr>
                <w:sz w:val="20"/>
                <w:szCs w:val="20"/>
              </w:rPr>
              <w:t xml:space="preserve"> Leases (Topic</w:t>
            </w:r>
            <w:r>
              <w:rPr>
                <w:sz w:val="20"/>
                <w:szCs w:val="20"/>
              </w:rPr>
              <w:t xml:space="preserve"> </w:t>
            </w:r>
            <w:r>
              <w:rPr>
                <w:rStyle w:val="a6"/>
                <w:i w:val="0"/>
                <w:iCs w:val="0"/>
                <w:sz w:val="20"/>
                <w:szCs w:val="20"/>
              </w:rPr>
              <w:t>842</w:t>
            </w:r>
            <w:r>
              <w:rPr>
                <w:sz w:val="20"/>
                <w:szCs w:val="20"/>
              </w:rPr>
              <w:t>)</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01,</w:t>
            </w:r>
            <w:r>
              <w:rPr>
                <w:sz w:val="20"/>
                <w:szCs w:val="20"/>
              </w:rPr>
              <w:t xml:space="preserve"> Leases (Topic</w:t>
            </w:r>
            <w:r>
              <w:rPr>
                <w:sz w:val="20"/>
                <w:szCs w:val="20"/>
              </w:rPr>
              <w:t xml:space="preserve"> </w:t>
            </w:r>
            <w:r>
              <w:rPr>
                <w:rStyle w:val="a6"/>
                <w:i w:val="0"/>
                <w:iCs w:val="0"/>
                <w:sz w:val="20"/>
                <w:szCs w:val="20"/>
              </w:rPr>
              <w:t>842</w:t>
            </w:r>
            <w:r>
              <w:rPr>
                <w:sz w:val="20"/>
                <w:szCs w:val="20"/>
              </w:rPr>
              <w:t>): Land Easement Practical Expedient for Transition to Topic</w:t>
            </w:r>
            <w:r>
              <w:rPr>
                <w:sz w:val="20"/>
                <w:szCs w:val="20"/>
              </w:rPr>
              <w:t xml:space="preserve"> </w:t>
            </w:r>
            <w:r>
              <w:rPr>
                <w:rStyle w:val="a6"/>
                <w:i w:val="0"/>
                <w:iCs w:val="0"/>
                <w:sz w:val="20"/>
                <w:szCs w:val="20"/>
              </w:rPr>
              <w:t>842</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10,</w:t>
            </w:r>
            <w:r>
              <w:rPr>
                <w:sz w:val="20"/>
                <w:szCs w:val="20"/>
              </w:rPr>
              <w:t xml:space="preserve"> Codification Improvements to Topic</w:t>
            </w:r>
            <w:r>
              <w:rPr>
                <w:sz w:val="20"/>
                <w:szCs w:val="20"/>
              </w:rPr>
              <w:t xml:space="preserve"> </w:t>
            </w:r>
            <w:r>
              <w:rPr>
                <w:rStyle w:val="a6"/>
                <w:i w:val="0"/>
                <w:iCs w:val="0"/>
                <w:sz w:val="20"/>
                <w:szCs w:val="20"/>
              </w:rPr>
              <w:t>842,</w:t>
            </w:r>
            <w:r>
              <w:rPr>
                <w:sz w:val="20"/>
                <w:szCs w:val="20"/>
              </w:rPr>
              <w:t xml:space="preserve"> Leases</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11,</w:t>
            </w:r>
            <w:r>
              <w:rPr>
                <w:sz w:val="20"/>
                <w:szCs w:val="20"/>
              </w:rPr>
              <w:t xml:space="preserve"> </w:t>
            </w:r>
            <w:r>
              <w:rPr>
                <w:sz w:val="20"/>
                <w:szCs w:val="20"/>
              </w:rPr>
              <w:t>Leases (Topic</w:t>
            </w:r>
            <w:r>
              <w:rPr>
                <w:sz w:val="20"/>
                <w:szCs w:val="20"/>
              </w:rPr>
              <w:t xml:space="preserve"> </w:t>
            </w:r>
            <w:r>
              <w:rPr>
                <w:rStyle w:val="a6"/>
                <w:i w:val="0"/>
                <w:iCs w:val="0"/>
                <w:sz w:val="20"/>
                <w:szCs w:val="20"/>
              </w:rPr>
              <w:t>842</w:t>
            </w:r>
            <w:r>
              <w:rPr>
                <w:sz w:val="20"/>
                <w:szCs w:val="20"/>
              </w:rPr>
              <w:t>): Targeted Improvements</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2018</w:t>
            </w:r>
            <w:r>
              <w:rPr>
                <w:sz w:val="20"/>
                <w:szCs w:val="20"/>
              </w:rPr>
              <w:t>-</w:t>
            </w:r>
            <w:r>
              <w:rPr>
                <w:rStyle w:val="a6"/>
                <w:i w:val="0"/>
                <w:iCs w:val="0"/>
                <w:sz w:val="20"/>
                <w:szCs w:val="20"/>
              </w:rPr>
              <w:t>20,</w:t>
            </w:r>
            <w:r>
              <w:rPr>
                <w:sz w:val="20"/>
                <w:szCs w:val="20"/>
              </w:rPr>
              <w:t xml:space="preserve"> Leases (Topic</w:t>
            </w:r>
            <w:r>
              <w:rPr>
                <w:sz w:val="20"/>
                <w:szCs w:val="20"/>
              </w:rPr>
              <w:t xml:space="preserve"> </w:t>
            </w:r>
            <w:r>
              <w:rPr>
                <w:rStyle w:val="a6"/>
                <w:i w:val="0"/>
                <w:iCs w:val="0"/>
                <w:sz w:val="20"/>
                <w:szCs w:val="20"/>
              </w:rPr>
              <w:t>842</w:t>
            </w:r>
            <w:r>
              <w:rPr>
                <w:sz w:val="20"/>
                <w:szCs w:val="20"/>
              </w:rPr>
              <w:t>): Narrow-Scope Improvements for Lessors</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ASU</w:t>
            </w:r>
            <w:r>
              <w:rPr>
                <w:sz w:val="20"/>
                <w:szCs w:val="20"/>
              </w:rPr>
              <w:t xml:space="preserve"> </w:t>
            </w:r>
            <w:r>
              <w:rPr>
                <w:rStyle w:val="a6"/>
                <w:i w:val="0"/>
                <w:iCs w:val="0"/>
                <w:sz w:val="20"/>
                <w:szCs w:val="20"/>
              </w:rPr>
              <w:t>2019</w:t>
            </w:r>
            <w:r>
              <w:rPr>
                <w:sz w:val="20"/>
                <w:szCs w:val="20"/>
              </w:rPr>
              <w:t>-</w:t>
            </w:r>
            <w:r>
              <w:rPr>
                <w:rStyle w:val="a6"/>
                <w:i w:val="0"/>
                <w:iCs w:val="0"/>
                <w:sz w:val="20"/>
                <w:szCs w:val="20"/>
              </w:rPr>
              <w:t>01,</w:t>
            </w:r>
            <w:r>
              <w:rPr>
                <w:sz w:val="20"/>
                <w:szCs w:val="20"/>
              </w:rPr>
              <w:t xml:space="preserve"> Leases (Topic</w:t>
            </w:r>
            <w:r>
              <w:rPr>
                <w:sz w:val="20"/>
                <w:szCs w:val="20"/>
              </w:rPr>
              <w:t xml:space="preserve"> </w:t>
            </w:r>
            <w:r>
              <w:rPr>
                <w:rStyle w:val="a6"/>
                <w:i w:val="0"/>
                <w:iCs w:val="0"/>
                <w:sz w:val="20"/>
                <w:szCs w:val="20"/>
              </w:rPr>
              <w:t>842</w:t>
            </w:r>
            <w:r>
              <w:rPr>
                <w:sz w:val="20"/>
                <w:szCs w:val="20"/>
              </w:rPr>
              <w:t>): Codification Improvements</w:t>
            </w:r>
          </w:p>
        </w:tc>
        <w:tc>
          <w:tcPr>
            <w:tcW w:w="2200" w:type="pct"/>
            <w:tcBorders>
              <w:top w:val="single" w:sz="6" w:space="0" w:color="000000"/>
              <w:bottom w:val="single" w:sz="6" w:space="0" w:color="000000"/>
              <w:right w:val="single" w:sz="6" w:space="0" w:color="000000"/>
            </w:tcBorders>
            <w:shd w:val="clear" w:color="auto" w:fill="FFFFFF"/>
            <w:hideMark/>
          </w:tcPr>
          <w:p w:rsidR="00000000" w:rsidRDefault="005F676C">
            <w:pPr>
              <w:pStyle w:val="a3"/>
              <w:spacing w:before="0" w:beforeAutospacing="0" w:after="0" w:afterAutospacing="0"/>
              <w:jc w:val="both"/>
              <w:rPr>
                <w:sz w:val="20"/>
                <w:szCs w:val="20"/>
              </w:rPr>
            </w:pPr>
            <w:r>
              <w:rPr>
                <w:sz w:val="20"/>
                <w:szCs w:val="20"/>
              </w:rPr>
              <w:t>This ASU sets out the principles for the recognition, measurement, presentation and disclosure of leases for both parties to a contract (i.e. lessees and lessors). The new standard requires lessees to apply a dual approach, classifying leases as either fin</w:t>
            </w:r>
            <w:r>
              <w:rPr>
                <w:sz w:val="20"/>
                <w:szCs w:val="20"/>
              </w:rPr>
              <w:t>ance or operating leases based on the principle of whether or</w:t>
            </w:r>
            <w:r>
              <w:rPr>
                <w:sz w:val="20"/>
                <w:szCs w:val="20"/>
              </w:rPr>
              <w:t xml:space="preserve"> </w:t>
            </w:r>
            <w:r>
              <w:rPr>
                <w:rStyle w:val="a6"/>
                <w:i w:val="0"/>
                <w:iCs w:val="0"/>
                <w:sz w:val="20"/>
                <w:szCs w:val="20"/>
              </w:rPr>
              <w:t>not</w:t>
            </w:r>
            <w:r>
              <w:rPr>
                <w:sz w:val="20"/>
                <w:szCs w:val="20"/>
              </w:rPr>
              <w:t xml:space="preserve"> the lease is effectively a financed purchase by the lessee. This classification will determine whether lease expense is recognized based on an effective interest method or on a straight-line</w:t>
            </w:r>
            <w:r>
              <w:rPr>
                <w:sz w:val="20"/>
                <w:szCs w:val="20"/>
              </w:rPr>
              <w:t xml:space="preserve"> basis over the term of the lease. A lessee is also required to record a right-of-use asset and a lease liability for all leases with a term of greater than</w:t>
            </w:r>
            <w:r>
              <w:rPr>
                <w:sz w:val="20"/>
                <w:szCs w:val="20"/>
              </w:rPr>
              <w:t xml:space="preserve"> </w:t>
            </w:r>
            <w:r>
              <w:rPr>
                <w:rStyle w:val="a6"/>
                <w:i w:val="0"/>
                <w:iCs w:val="0"/>
                <w:sz w:val="20"/>
                <w:szCs w:val="20"/>
              </w:rPr>
              <w:t>12</w:t>
            </w:r>
            <w:r>
              <w:rPr>
                <w:sz w:val="20"/>
                <w:szCs w:val="20"/>
              </w:rPr>
              <w:t xml:space="preserve"> months regardless of their classification. Leases with a term of</w:t>
            </w:r>
            <w:r>
              <w:rPr>
                <w:sz w:val="20"/>
                <w:szCs w:val="20"/>
              </w:rPr>
              <w:t xml:space="preserve"> </w:t>
            </w:r>
            <w:r>
              <w:rPr>
                <w:rStyle w:val="a6"/>
                <w:i w:val="0"/>
                <w:iCs w:val="0"/>
                <w:sz w:val="20"/>
                <w:szCs w:val="20"/>
              </w:rPr>
              <w:t>12</w:t>
            </w:r>
            <w:r>
              <w:rPr>
                <w:sz w:val="20"/>
                <w:szCs w:val="20"/>
              </w:rPr>
              <w:t xml:space="preserve"> months or less will be accou</w:t>
            </w:r>
            <w:r>
              <w:rPr>
                <w:sz w:val="20"/>
                <w:szCs w:val="20"/>
              </w:rPr>
              <w:t>nted for similar to existing guidance for operating leases today. The new standard requires lessors to account for leases using an approach that is substantially equivalent to existing guidance for sales-type leases, direct financing leases and operating l</w:t>
            </w:r>
            <w:r>
              <w:rPr>
                <w:sz w:val="20"/>
                <w:szCs w:val="20"/>
              </w:rPr>
              <w:t>eases. ASU</w:t>
            </w:r>
            <w:r>
              <w:rPr>
                <w:sz w:val="20"/>
                <w:szCs w:val="20"/>
              </w:rPr>
              <w:t xml:space="preserve"> </w:t>
            </w:r>
            <w:r>
              <w:rPr>
                <w:rStyle w:val="a6"/>
                <w:i w:val="0"/>
                <w:iCs w:val="0"/>
                <w:sz w:val="20"/>
                <w:szCs w:val="20"/>
              </w:rPr>
              <w:t>2016</w:t>
            </w:r>
            <w:r>
              <w:rPr>
                <w:sz w:val="20"/>
                <w:szCs w:val="20"/>
              </w:rPr>
              <w:t>-</w:t>
            </w:r>
            <w:r>
              <w:rPr>
                <w:rStyle w:val="a6"/>
                <w:i w:val="0"/>
                <w:iCs w:val="0"/>
                <w:sz w:val="20"/>
                <w:szCs w:val="20"/>
              </w:rPr>
              <w:t>02</w:t>
            </w:r>
            <w:r>
              <w:rPr>
                <w:sz w:val="20"/>
                <w:szCs w:val="20"/>
              </w:rPr>
              <w:t xml:space="preserve"> supersedes the previous leases standard, Leases (Topic</w:t>
            </w:r>
            <w:r>
              <w:rPr>
                <w:sz w:val="20"/>
                <w:szCs w:val="20"/>
              </w:rPr>
              <w:t xml:space="preserve"> </w:t>
            </w:r>
            <w:r>
              <w:rPr>
                <w:rStyle w:val="a6"/>
                <w:i w:val="0"/>
                <w:iCs w:val="0"/>
                <w:sz w:val="20"/>
                <w:szCs w:val="20"/>
              </w:rPr>
              <w:t>840</w:t>
            </w:r>
            <w:r>
              <w:rPr>
                <w:sz w:val="20"/>
                <w:szCs w:val="20"/>
              </w:rPr>
              <w:t>).</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January 2018, </w:t>
            </w:r>
            <w:r>
              <w:rPr>
                <w:sz w:val="20"/>
                <w:szCs w:val="20"/>
              </w:rPr>
              <w:t>the FASB issued ASU</w:t>
            </w:r>
            <w:r>
              <w:rPr>
                <w:sz w:val="20"/>
                <w:szCs w:val="20"/>
              </w:rPr>
              <w:t xml:space="preserve"> </w:t>
            </w:r>
            <w:r>
              <w:rPr>
                <w:rStyle w:val="a6"/>
                <w:i w:val="0"/>
                <w:iCs w:val="0"/>
                <w:sz w:val="20"/>
                <w:szCs w:val="20"/>
              </w:rPr>
              <w:t>2018</w:t>
            </w:r>
            <w:r>
              <w:rPr>
                <w:sz w:val="20"/>
                <w:szCs w:val="20"/>
              </w:rPr>
              <w:t>-</w:t>
            </w:r>
            <w:r>
              <w:rPr>
                <w:rStyle w:val="a6"/>
                <w:i w:val="0"/>
                <w:iCs w:val="0"/>
                <w:sz w:val="20"/>
                <w:szCs w:val="20"/>
              </w:rPr>
              <w:t>01,</w:t>
            </w:r>
            <w:r>
              <w:rPr>
                <w:sz w:val="20"/>
                <w:szCs w:val="20"/>
              </w:rPr>
              <w:t xml:space="preserve"> which includes amendments to clarify that land easements are within the scope of the new leasing standard (Topic</w:t>
            </w:r>
            <w:r>
              <w:rPr>
                <w:sz w:val="20"/>
                <w:szCs w:val="20"/>
              </w:rPr>
              <w:t xml:space="preserve"> </w:t>
            </w:r>
            <w:r>
              <w:rPr>
                <w:rStyle w:val="a6"/>
                <w:i w:val="0"/>
                <w:iCs w:val="0"/>
                <w:sz w:val="20"/>
                <w:szCs w:val="20"/>
              </w:rPr>
              <w:t>842</w:t>
            </w:r>
            <w:r>
              <w:rPr>
                <w:sz w:val="20"/>
                <w:szCs w:val="20"/>
              </w:rPr>
              <w:t>) and provid</w:t>
            </w:r>
            <w:r>
              <w:rPr>
                <w:sz w:val="20"/>
                <w:szCs w:val="20"/>
              </w:rPr>
              <w:t>e an optional transition practical expedient to</w:t>
            </w:r>
            <w:r>
              <w:rPr>
                <w:sz w:val="20"/>
                <w:szCs w:val="20"/>
              </w:rPr>
              <w:t xml:space="preserve"> </w:t>
            </w:r>
            <w:r>
              <w:rPr>
                <w:rStyle w:val="a6"/>
                <w:i w:val="0"/>
                <w:iCs w:val="0"/>
                <w:sz w:val="20"/>
                <w:szCs w:val="20"/>
              </w:rPr>
              <w:t>not</w:t>
            </w:r>
            <w:r>
              <w:rPr>
                <w:sz w:val="20"/>
                <w:szCs w:val="20"/>
              </w:rPr>
              <w:t xml:space="preserve"> evaluate whether existing and expired land easements that were</w:t>
            </w:r>
            <w:r>
              <w:rPr>
                <w:sz w:val="20"/>
                <w:szCs w:val="20"/>
              </w:rPr>
              <w:t xml:space="preserve"> </w:t>
            </w:r>
            <w:r>
              <w:rPr>
                <w:rStyle w:val="a6"/>
                <w:i w:val="0"/>
                <w:iCs w:val="0"/>
                <w:sz w:val="20"/>
                <w:szCs w:val="20"/>
              </w:rPr>
              <w:t>not</w:t>
            </w:r>
            <w:r>
              <w:rPr>
                <w:sz w:val="20"/>
                <w:szCs w:val="20"/>
              </w:rPr>
              <w:t xml:space="preserve"> previously accounted for as leases under current lease guidance in Topic</w:t>
            </w:r>
            <w:r>
              <w:rPr>
                <w:sz w:val="20"/>
                <w:szCs w:val="20"/>
              </w:rPr>
              <w:t xml:space="preserve"> </w:t>
            </w:r>
            <w:r>
              <w:rPr>
                <w:rStyle w:val="a6"/>
                <w:i w:val="0"/>
                <w:iCs w:val="0"/>
                <w:sz w:val="20"/>
                <w:szCs w:val="20"/>
              </w:rPr>
              <w:t>840</w:t>
            </w:r>
            <w:r>
              <w:rPr>
                <w:sz w:val="20"/>
                <w:szCs w:val="20"/>
              </w:rPr>
              <w:t xml:space="preserve"> are to be accounted for or contain leases under Topic</w:t>
            </w:r>
            <w:r>
              <w:rPr>
                <w:sz w:val="20"/>
                <w:szCs w:val="20"/>
              </w:rPr>
              <w:t xml:space="preserve"> </w:t>
            </w:r>
            <w:r>
              <w:rPr>
                <w:rStyle w:val="a6"/>
                <w:i w:val="0"/>
                <w:iCs w:val="0"/>
                <w:sz w:val="20"/>
                <w:szCs w:val="20"/>
              </w:rPr>
              <w:t>842.</w:t>
            </w:r>
            <w:r>
              <w:rPr>
                <w:sz w:val="20"/>
                <w:szCs w:val="20"/>
              </w:rPr>
              <w:t> E</w:t>
            </w:r>
            <w:r>
              <w:rPr>
                <w:sz w:val="20"/>
                <w:szCs w:val="20"/>
              </w:rPr>
              <w:t>arly adoption is permitted as of the original effective date.</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July 2018, </w:t>
            </w:r>
            <w:r>
              <w:rPr>
                <w:sz w:val="20"/>
                <w:szCs w:val="20"/>
              </w:rPr>
              <w:t>the FASB issued ASU</w:t>
            </w:r>
            <w:r>
              <w:rPr>
                <w:sz w:val="20"/>
                <w:szCs w:val="20"/>
              </w:rPr>
              <w:t xml:space="preserve"> </w:t>
            </w:r>
            <w:r>
              <w:rPr>
                <w:rStyle w:val="a6"/>
                <w:i w:val="0"/>
                <w:iCs w:val="0"/>
                <w:sz w:val="20"/>
                <w:szCs w:val="20"/>
              </w:rPr>
              <w:t>2018</w:t>
            </w:r>
            <w:r>
              <w:rPr>
                <w:sz w:val="20"/>
                <w:szCs w:val="20"/>
              </w:rPr>
              <w:t>-</w:t>
            </w:r>
            <w:r>
              <w:rPr>
                <w:rStyle w:val="a6"/>
                <w:i w:val="0"/>
                <w:iCs w:val="0"/>
                <w:sz w:val="20"/>
                <w:szCs w:val="20"/>
              </w:rPr>
              <w:t>10,</w:t>
            </w:r>
            <w:r>
              <w:rPr>
                <w:sz w:val="20"/>
                <w:szCs w:val="20"/>
              </w:rPr>
              <w:t xml:space="preserve"> which includes amendments to clarify certain aspects of the new leasing standard. These amendments address the rate implicit in the lease, impairment</w:t>
            </w:r>
            <w:r>
              <w:rPr>
                <w:sz w:val="20"/>
                <w:szCs w:val="20"/>
              </w:rPr>
              <w:t xml:space="preserve"> of the net investment in the lease, lessee reassessment of lease classification, lessor reassessment of lease term and purchase options, variable payments that depend on an index or rate and certain transition adjustments.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Additionally, during</w:t>
            </w:r>
            <w:r>
              <w:rPr>
                <w:sz w:val="20"/>
                <w:szCs w:val="20"/>
              </w:rPr>
              <w:t xml:space="preserve"> </w:t>
            </w:r>
            <w:r>
              <w:rPr>
                <w:rStyle w:val="a6"/>
                <w:i w:val="0"/>
                <w:iCs w:val="0"/>
                <w:sz w:val="20"/>
                <w:szCs w:val="20"/>
              </w:rPr>
              <w:t>July 201</w:t>
            </w:r>
            <w:r>
              <w:rPr>
                <w:rStyle w:val="a6"/>
                <w:i w:val="0"/>
                <w:iCs w:val="0"/>
                <w:sz w:val="20"/>
                <w:szCs w:val="20"/>
              </w:rPr>
              <w:t xml:space="preserve">8, </w:t>
            </w:r>
            <w:r>
              <w:rPr>
                <w:sz w:val="20"/>
                <w:szCs w:val="20"/>
              </w:rPr>
              <w:t>the FASB issued ASU</w:t>
            </w:r>
            <w:r>
              <w:rPr>
                <w:sz w:val="20"/>
                <w:szCs w:val="20"/>
              </w:rPr>
              <w:t xml:space="preserve"> </w:t>
            </w:r>
            <w:r>
              <w:rPr>
                <w:rStyle w:val="a6"/>
                <w:i w:val="0"/>
                <w:iCs w:val="0"/>
                <w:sz w:val="20"/>
                <w:szCs w:val="20"/>
              </w:rPr>
              <w:t>2018</w:t>
            </w:r>
            <w:r>
              <w:rPr>
                <w:sz w:val="20"/>
                <w:szCs w:val="20"/>
              </w:rPr>
              <w:t>-</w:t>
            </w:r>
            <w:r>
              <w:rPr>
                <w:rStyle w:val="a6"/>
                <w:i w:val="0"/>
                <w:iCs w:val="0"/>
                <w:sz w:val="20"/>
                <w:szCs w:val="20"/>
              </w:rPr>
              <w:t>11,</w:t>
            </w:r>
            <w:r>
              <w:rPr>
                <w:sz w:val="20"/>
                <w:szCs w:val="20"/>
              </w:rPr>
              <w:t xml:space="preserve"> which includes (i) an additional transition method to provide transition relief on comparative reporting at adoption and (ii) an amendment to provide lessors with a practical expedient to combine lease and non-lease componen</w:t>
            </w:r>
            <w:r>
              <w:rPr>
                <w:sz w:val="20"/>
                <w:szCs w:val="20"/>
              </w:rPr>
              <w:t>ts of a contract if certain criteria are met. Under the transition option, companies can opt to</w:t>
            </w:r>
            <w:r>
              <w:rPr>
                <w:sz w:val="20"/>
                <w:szCs w:val="20"/>
              </w:rPr>
              <w:t xml:space="preserve"> </w:t>
            </w:r>
            <w:r>
              <w:rPr>
                <w:rStyle w:val="a6"/>
                <w:i w:val="0"/>
                <w:iCs w:val="0"/>
                <w:sz w:val="20"/>
                <w:szCs w:val="20"/>
              </w:rPr>
              <w:t>not</w:t>
            </w:r>
            <w:r>
              <w:rPr>
                <w:sz w:val="20"/>
                <w:szCs w:val="20"/>
              </w:rPr>
              <w:t xml:space="preserve"> apply the new guidance, including its disclosure requirements, in the comparative periods they present in their financial statements in the year of adoption</w:t>
            </w:r>
            <w:r>
              <w:rPr>
                <w:sz w:val="20"/>
                <w:szCs w:val="20"/>
              </w:rPr>
              <w:t>. The practical expedient allows lessors to elect, by class of underlying asset, to combine non-lease and associated lease components when certain criteria are met and requires them to account for the combined component in accordance with new revenue stand</w:t>
            </w:r>
            <w:r>
              <w:rPr>
                <w:sz w:val="20"/>
                <w:szCs w:val="20"/>
              </w:rPr>
              <w:t>ard (Topic</w:t>
            </w:r>
            <w:r>
              <w:rPr>
                <w:sz w:val="20"/>
                <w:szCs w:val="20"/>
              </w:rPr>
              <w:t xml:space="preserve"> </w:t>
            </w:r>
            <w:r>
              <w:rPr>
                <w:rStyle w:val="a6"/>
                <w:i w:val="0"/>
                <w:iCs w:val="0"/>
                <w:sz w:val="20"/>
                <w:szCs w:val="20"/>
              </w:rPr>
              <w:t>606</w:t>
            </w:r>
            <w:r>
              <w:rPr>
                <w:sz w:val="20"/>
                <w:szCs w:val="20"/>
              </w:rPr>
              <w:t>) if the non-lease components are the predominant component; conversely, if a lessor determines that the lease components are the predominant component, it requires them to account for the combined component as an operating lease in accordanc</w:t>
            </w:r>
            <w:r>
              <w:rPr>
                <w:sz w:val="20"/>
                <w:szCs w:val="20"/>
              </w:rPr>
              <w:t>e with the new leasing standard (Topic</w:t>
            </w:r>
            <w:r>
              <w:rPr>
                <w:sz w:val="20"/>
                <w:szCs w:val="20"/>
              </w:rPr>
              <w:t xml:space="preserve"> </w:t>
            </w:r>
            <w:r>
              <w:rPr>
                <w:rStyle w:val="a6"/>
                <w:i w:val="0"/>
                <w:iCs w:val="0"/>
                <w:sz w:val="20"/>
                <w:szCs w:val="20"/>
              </w:rPr>
              <w:t>842</w:t>
            </w:r>
            <w:r>
              <w:rPr>
                <w:sz w:val="20"/>
                <w:szCs w:val="20"/>
              </w:rPr>
              <w:t>).</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December 2018, </w:t>
            </w:r>
            <w:r>
              <w:rPr>
                <w:sz w:val="20"/>
                <w:szCs w:val="20"/>
              </w:rPr>
              <w:t>the FASB issued ASU</w:t>
            </w:r>
            <w:r>
              <w:rPr>
                <w:sz w:val="20"/>
                <w:szCs w:val="20"/>
              </w:rPr>
              <w:t xml:space="preserve"> </w:t>
            </w:r>
            <w:r>
              <w:rPr>
                <w:rStyle w:val="a6"/>
                <w:i w:val="0"/>
                <w:iCs w:val="0"/>
                <w:sz w:val="20"/>
                <w:szCs w:val="20"/>
              </w:rPr>
              <w:t>2018</w:t>
            </w:r>
            <w:r>
              <w:rPr>
                <w:sz w:val="20"/>
                <w:szCs w:val="20"/>
              </w:rPr>
              <w:t>-</w:t>
            </w:r>
            <w:r>
              <w:rPr>
                <w:rStyle w:val="a6"/>
                <w:i w:val="0"/>
                <w:iCs w:val="0"/>
                <w:sz w:val="20"/>
                <w:szCs w:val="20"/>
              </w:rPr>
              <w:t>20,</w:t>
            </w:r>
            <w:r>
              <w:rPr>
                <w:sz w:val="20"/>
                <w:szCs w:val="20"/>
              </w:rPr>
              <w:t xml:space="preserve"> which includes narrow-scope improvements for lessors. The FASB amended the new leasing standard to allow lessors to make an accounting policy election</w:t>
            </w:r>
            <w:r>
              <w:rPr>
                <w:sz w:val="20"/>
                <w:szCs w:val="20"/>
              </w:rPr>
              <w:t xml:space="preserve"> </w:t>
            </w:r>
            <w:r>
              <w:rPr>
                <w:rStyle w:val="a6"/>
                <w:i w:val="0"/>
                <w:iCs w:val="0"/>
                <w:sz w:val="20"/>
                <w:szCs w:val="20"/>
              </w:rPr>
              <w:t>not</w:t>
            </w:r>
            <w:r>
              <w:rPr>
                <w:sz w:val="20"/>
                <w:szCs w:val="20"/>
              </w:rPr>
              <w:t xml:space="preserve"> to eval</w:t>
            </w:r>
            <w:r>
              <w:rPr>
                <w:sz w:val="20"/>
                <w:szCs w:val="20"/>
              </w:rPr>
              <w:t>uate whether sales taxes and similar taxes imposed by a governmental authority on a specific lease revenue-producing transaction are the primary obligation of the lessor as owner of the underlying leased asset. The amendments also require a lessor to exclu</w:t>
            </w:r>
            <w:r>
              <w:rPr>
                <w:sz w:val="20"/>
                <w:szCs w:val="20"/>
              </w:rPr>
              <w:t>de lessor costs paid directly by a lessee to</w:t>
            </w:r>
            <w:r>
              <w:rPr>
                <w:sz w:val="20"/>
                <w:szCs w:val="20"/>
              </w:rPr>
              <w:t xml:space="preserve"> </w:t>
            </w:r>
            <w:r>
              <w:rPr>
                <w:rStyle w:val="a6"/>
                <w:i w:val="0"/>
                <w:iCs w:val="0"/>
                <w:sz w:val="20"/>
                <w:szCs w:val="20"/>
              </w:rPr>
              <w:t>third</w:t>
            </w:r>
            <w:r>
              <w:rPr>
                <w:sz w:val="20"/>
                <w:szCs w:val="20"/>
              </w:rPr>
              <w:t xml:space="preserve"> parties on the lessor’s behalf from variable payments and include lessor costs that are paid by the lessor and reimbursed by the lessee in the measurement of variable lease revenue and the associated expen</w:t>
            </w:r>
            <w:r>
              <w:rPr>
                <w:sz w:val="20"/>
                <w:szCs w:val="20"/>
              </w:rPr>
              <w:t>se. In addition, the amendments clarify that when lessors allocate variable payments to lease and non-lease components they are required to follow the recognition guidance in the new leasing standard for the lease component and other applicable guidance, s</w:t>
            </w:r>
            <w:r>
              <w:rPr>
                <w:sz w:val="20"/>
                <w:szCs w:val="20"/>
              </w:rPr>
              <w:t>uch as the new revenue standard, for the non-lease component.</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In</w:t>
            </w:r>
            <w:r>
              <w:rPr>
                <w:sz w:val="20"/>
                <w:szCs w:val="20"/>
              </w:rPr>
              <w:t xml:space="preserve"> </w:t>
            </w:r>
            <w:r>
              <w:rPr>
                <w:rStyle w:val="a6"/>
                <w:i w:val="0"/>
                <w:iCs w:val="0"/>
                <w:sz w:val="20"/>
                <w:szCs w:val="20"/>
              </w:rPr>
              <w:t xml:space="preserve">February 2019, </w:t>
            </w:r>
            <w:r>
              <w:rPr>
                <w:sz w:val="20"/>
                <w:szCs w:val="20"/>
              </w:rPr>
              <w:t>the FASB issued ASU</w:t>
            </w:r>
            <w:r>
              <w:rPr>
                <w:sz w:val="20"/>
                <w:szCs w:val="20"/>
              </w:rPr>
              <w:t xml:space="preserve"> </w:t>
            </w:r>
            <w:r>
              <w:rPr>
                <w:rStyle w:val="a6"/>
                <w:i w:val="0"/>
                <w:iCs w:val="0"/>
                <w:sz w:val="20"/>
                <w:szCs w:val="20"/>
              </w:rPr>
              <w:t>2019</w:t>
            </w:r>
            <w:r>
              <w:rPr>
                <w:sz w:val="20"/>
                <w:szCs w:val="20"/>
              </w:rPr>
              <w:t>-</w:t>
            </w:r>
            <w:r>
              <w:rPr>
                <w:rStyle w:val="a6"/>
                <w:i w:val="0"/>
                <w:iCs w:val="0"/>
                <w:sz w:val="20"/>
                <w:szCs w:val="20"/>
              </w:rPr>
              <w:t>01,</w:t>
            </w:r>
            <w:r>
              <w:rPr>
                <w:sz w:val="20"/>
                <w:szCs w:val="20"/>
              </w:rPr>
              <w:t xml:space="preserve"> which includes amendments to address the following:</w:t>
            </w:r>
          </w:p>
          <w:p w:rsidR="00000000" w:rsidRDefault="005F676C">
            <w:pPr>
              <w:pStyle w:val="a3"/>
              <w:spacing w:before="0" w:beforeAutospacing="0" w:after="0" w:afterAutospacing="0"/>
              <w:jc w:val="both"/>
              <w:rPr>
                <w:sz w:val="20"/>
                <w:szCs w:val="20"/>
              </w:rPr>
            </w:pPr>
            <w:r>
              <w:rPr>
                <w:sz w:val="20"/>
                <w:szCs w:val="20"/>
              </w:rPr>
              <w:t>(i)Determining the fair value of the underlying asset by lessors that are</w:t>
            </w:r>
            <w:r>
              <w:rPr>
                <w:sz w:val="20"/>
                <w:szCs w:val="20"/>
              </w:rPr>
              <w:t xml:space="preserve"> </w:t>
            </w:r>
            <w:r>
              <w:rPr>
                <w:rStyle w:val="a6"/>
                <w:i w:val="0"/>
                <w:iCs w:val="0"/>
                <w:sz w:val="20"/>
                <w:szCs w:val="20"/>
              </w:rPr>
              <w:t>not</w:t>
            </w:r>
            <w:r>
              <w:rPr>
                <w:sz w:val="20"/>
                <w:szCs w:val="20"/>
              </w:rPr>
              <w:t xml:space="preserve"> manufacturers o</w:t>
            </w:r>
            <w:r>
              <w:rPr>
                <w:sz w:val="20"/>
                <w:szCs w:val="20"/>
              </w:rPr>
              <w:t>r dealers;</w:t>
            </w:r>
          </w:p>
          <w:p w:rsidR="00000000" w:rsidRDefault="005F676C">
            <w:pPr>
              <w:pStyle w:val="a3"/>
              <w:spacing w:before="0" w:beforeAutospacing="0" w:after="0" w:afterAutospacing="0"/>
              <w:ind w:left="360" w:hanging="360"/>
              <w:jc w:val="both"/>
              <w:rPr>
                <w:sz w:val="20"/>
                <w:szCs w:val="20"/>
              </w:rPr>
            </w:pPr>
            <w:r>
              <w:rPr>
                <w:sz w:val="20"/>
                <w:szCs w:val="20"/>
              </w:rPr>
              <w:t>(ii)Presentation on the statement of cash flows for sales-type and direct financing leases; and</w:t>
            </w:r>
          </w:p>
          <w:p w:rsidR="00000000" w:rsidRDefault="005F676C">
            <w:pPr>
              <w:pStyle w:val="a3"/>
              <w:spacing w:before="0" w:beforeAutospacing="0" w:after="0" w:afterAutospacing="0"/>
              <w:ind w:left="360" w:hanging="360"/>
              <w:jc w:val="both"/>
              <w:rPr>
                <w:sz w:val="20"/>
                <w:szCs w:val="20"/>
              </w:rPr>
            </w:pPr>
            <w:r>
              <w:rPr>
                <w:sz w:val="20"/>
                <w:szCs w:val="20"/>
              </w:rPr>
              <w:t>(iii)Transition disclosures related to Topic</w:t>
            </w:r>
            <w:r>
              <w:rPr>
                <w:sz w:val="20"/>
                <w:szCs w:val="20"/>
              </w:rPr>
              <w:t xml:space="preserve"> </w:t>
            </w:r>
            <w:r>
              <w:rPr>
                <w:rStyle w:val="a6"/>
                <w:i w:val="0"/>
                <w:iCs w:val="0"/>
                <w:sz w:val="20"/>
                <w:szCs w:val="20"/>
              </w:rPr>
              <w:t>250,</w:t>
            </w:r>
            <w:r>
              <w:rPr>
                <w:sz w:val="20"/>
                <w:szCs w:val="20"/>
              </w:rPr>
              <w:t xml:space="preserve"> Accounting Changes and Error Corrections.</w:t>
            </w:r>
          </w:p>
        </w:tc>
        <w:tc>
          <w:tcPr>
            <w:tcW w:w="550" w:type="pct"/>
            <w:tcBorders>
              <w:top w:val="single" w:sz="6" w:space="0" w:color="000000"/>
              <w:bottom w:val="single" w:sz="6" w:space="0" w:color="000000"/>
              <w:right w:val="single" w:sz="6" w:space="0" w:color="000000"/>
            </w:tcBorders>
            <w:shd w:val="clear" w:color="auto" w:fill="FFFFFF"/>
            <w:hideMark/>
          </w:tcPr>
          <w:p w:rsidR="00000000" w:rsidRDefault="005F676C">
            <w:pPr>
              <w:pStyle w:val="a3"/>
              <w:spacing w:before="0" w:beforeAutospacing="0" w:after="0" w:afterAutospacing="0"/>
              <w:jc w:val="center"/>
              <w:rPr>
                <w:sz w:val="20"/>
                <w:szCs w:val="20"/>
              </w:rPr>
            </w:pPr>
            <w:r>
              <w:rPr>
                <w:rStyle w:val="a6"/>
                <w:i w:val="0"/>
                <w:iCs w:val="0"/>
                <w:sz w:val="20"/>
                <w:szCs w:val="20"/>
              </w:rPr>
              <w:t>January 1, 2019</w:t>
            </w:r>
          </w:p>
        </w:tc>
        <w:tc>
          <w:tcPr>
            <w:tcW w:w="1150" w:type="pct"/>
            <w:tcBorders>
              <w:top w:val="single" w:sz="6" w:space="0" w:color="000000"/>
              <w:bottom w:val="single" w:sz="6" w:space="0" w:color="000000"/>
              <w:right w:val="single" w:sz="6" w:space="0" w:color="000000"/>
            </w:tcBorders>
            <w:shd w:val="clear" w:color="auto" w:fill="FFFFFF"/>
            <w:hideMark/>
          </w:tcPr>
          <w:p w:rsidR="00000000" w:rsidRDefault="005F676C">
            <w:pPr>
              <w:pStyle w:val="a3"/>
              <w:spacing w:before="0" w:beforeAutospacing="0" w:after="0" w:afterAutospacing="0"/>
              <w:rPr>
                <w:sz w:val="20"/>
                <w:szCs w:val="20"/>
              </w:rPr>
            </w:pPr>
            <w:r>
              <w:rPr>
                <w:sz w:val="20"/>
                <w:szCs w:val="20"/>
              </w:rPr>
              <w:t>The Company adopted this standard using t</w:t>
            </w:r>
            <w:r>
              <w:rPr>
                <w:sz w:val="20"/>
                <w:szCs w:val="20"/>
              </w:rPr>
              <w:t>he modified retrospective approach.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The Company has identified certain leases and accounting policies which the adoption impacted, including its ground leases, administrative office leases, initial leasing costs and non-lease components.</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See above for further details.</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jc w:val="center"/>
        <w:divId w:val="1938057086"/>
        <w:rPr>
          <w:rFonts w:eastAsia="Times New Roman"/>
          <w:sz w:val="20"/>
          <w:szCs w:val="20"/>
        </w:rPr>
      </w:pPr>
      <w:r>
        <w:rPr>
          <w:rFonts w:eastAsia="Times New Roman"/>
          <w:sz w:val="20"/>
          <w:szCs w:val="20"/>
        </w:rPr>
        <w:t xml:space="preserve">13 </w:t>
      </w:r>
    </w:p>
    <w:p w:rsidR="00000000" w:rsidRDefault="005F676C">
      <w:pPr>
        <w:divId w:val="1938057086"/>
        <w:rPr>
          <w:rFonts w:eastAsia="Times New Roman"/>
          <w:sz w:val="20"/>
          <w:szCs w:val="20"/>
        </w:rPr>
      </w:pPr>
      <w:r>
        <w:rPr>
          <w:rFonts w:eastAsia="Times New Roman"/>
          <w:sz w:val="20"/>
          <w:szCs w:val="20"/>
        </w:rPr>
        <w:pict>
          <v:rect id="_x0000_i1041" style="width:0;height:1.5pt" o:hralign="center" o:hrstd="t" o:hr="t" fillcolor="#a0a0a0" stroked="f"/>
        </w:pict>
      </w:r>
    </w:p>
    <w:p w:rsidR="00000000" w:rsidRDefault="005F676C">
      <w:pPr>
        <w:divId w:val="193805708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divId w:val="1730420722"/>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jc w:val="both"/>
        <w:rPr>
          <w:sz w:val="20"/>
          <w:szCs w:val="20"/>
        </w:rPr>
      </w:pPr>
      <w:r>
        <w:rPr>
          <w:rStyle w:val="a6"/>
          <w:i w:val="0"/>
          <w:iCs w:val="0"/>
          <w:sz w:val="20"/>
          <w:szCs w:val="20"/>
        </w:rPr>
        <w:t>3.</w:t>
      </w:r>
      <w:r>
        <w:rPr>
          <w:sz w:val="20"/>
          <w:szCs w:val="20"/>
        </w:rPr>
        <w:t xml:space="preserve"> </w:t>
      </w:r>
      <w:r>
        <w:rPr>
          <w:sz w:val="20"/>
          <w:szCs w:val="20"/>
          <w:u w:val="single"/>
        </w:rPr>
        <w:t>Operating Property Activities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Acquisitions of Operating Properties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the Company acquired the following operating properties, in separate transactions, through direct asset purchases (in thousands):</w:t>
      </w:r>
    </w:p>
    <w:p w:rsidR="00000000" w:rsidRDefault="005F676C">
      <w:pPr>
        <w:pStyle w:val="a3"/>
        <w:spacing w:before="0" w:beforeAutospacing="0" w:after="0" w:afterAutospacing="0"/>
        <w:ind w:left="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464"/>
        <w:gridCol w:w="1118"/>
        <w:gridCol w:w="1193"/>
        <w:gridCol w:w="72"/>
        <w:gridCol w:w="101"/>
        <w:gridCol w:w="1118"/>
        <w:gridCol w:w="72"/>
        <w:gridCol w:w="72"/>
        <w:gridCol w:w="73"/>
        <w:gridCol w:w="1119"/>
        <w:gridCol w:w="73"/>
      </w:tblGrid>
      <w:tr w:rsidR="00000000">
        <w:trPr>
          <w:tblCellSpacing w:w="0" w:type="dxa"/>
        </w:trPr>
        <w:tc>
          <w:tcPr>
            <w:tcW w:w="1650" w:type="pct"/>
            <w:vAlign w:val="bottom"/>
            <w:hideMark/>
          </w:tcPr>
          <w:p w:rsidR="00000000" w:rsidRDefault="005F676C">
            <w:pPr>
              <w:rPr>
                <w:rFonts w:eastAsia="Times New Roman"/>
                <w:sz w:val="20"/>
                <w:szCs w:val="20"/>
              </w:rPr>
            </w:pPr>
            <w:r>
              <w:rPr>
                <w:rFonts w:eastAsia="Times New Roman"/>
                <w:sz w:val="20"/>
                <w:szCs w:val="20"/>
              </w:rPr>
              <w:t> </w:t>
            </w:r>
          </w:p>
        </w:tc>
        <w:tc>
          <w:tcPr>
            <w:tcW w:w="750" w:type="pct"/>
            <w:vAlign w:val="bottom"/>
            <w:hideMark/>
          </w:tcPr>
          <w:p w:rsidR="00000000" w:rsidRDefault="005F676C">
            <w:pPr>
              <w:rPr>
                <w:rFonts w:eastAsia="Times New Roman"/>
                <w:sz w:val="20"/>
                <w:szCs w:val="20"/>
              </w:rPr>
            </w:pPr>
            <w:r>
              <w:rPr>
                <w:rFonts w:eastAsia="Times New Roman"/>
                <w:sz w:val="20"/>
                <w:szCs w:val="20"/>
              </w:rPr>
              <w:t> </w:t>
            </w:r>
          </w:p>
        </w:tc>
        <w:tc>
          <w:tcPr>
            <w:tcW w:w="8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Purchase Price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b/>
                <w:bCs/>
                <w:sz w:val="20"/>
                <w:szCs w:val="20"/>
              </w:rPr>
              <w:t> </w:t>
            </w:r>
          </w:p>
        </w:tc>
        <w:tc>
          <w:tcPr>
            <w:tcW w:w="750" w:type="pct"/>
            <w:vAlign w:val="bottom"/>
            <w:hideMark/>
          </w:tcPr>
          <w:p w:rsidR="00000000" w:rsidRDefault="005F676C">
            <w:pPr>
              <w:jc w:val="center"/>
              <w:rPr>
                <w:rFonts w:eastAsia="Times New Roman"/>
                <w:sz w:val="20"/>
                <w:szCs w:val="20"/>
              </w:rPr>
            </w:pPr>
            <w:r>
              <w:rPr>
                <w:rFonts w:eastAsia="Times New Roman"/>
                <w:b/>
                <w:bCs/>
                <w:sz w:val="20"/>
                <w:szCs w:val="20"/>
              </w:rPr>
              <w:t> </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b/>
                <w:bCs/>
                <w:sz w:val="20"/>
                <w:szCs w:val="20"/>
              </w:rPr>
              <w:t> </w:t>
            </w:r>
          </w:p>
        </w:tc>
      </w:tr>
      <w:tr w:rsidR="00000000">
        <w:trPr>
          <w:tblCellSpacing w:w="0" w:type="dxa"/>
        </w:trPr>
        <w:tc>
          <w:tcPr>
            <w:tcW w:w="16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Property Name</w:t>
            </w:r>
          </w:p>
        </w:tc>
        <w:tc>
          <w:tcPr>
            <w:tcW w:w="7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Location</w:t>
            </w:r>
          </w:p>
        </w:tc>
        <w:tc>
          <w:tcPr>
            <w:tcW w:w="8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Month Acquired</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Cash*</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GLA**</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6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Bell Camino Out-parcel</w:t>
            </w:r>
          </w:p>
        </w:tc>
        <w:tc>
          <w:tcPr>
            <w:tcW w:w="750" w:type="pct"/>
            <w:shd w:val="clear" w:color="auto" w:fill="CCEEFF"/>
            <w:vAlign w:val="bottom"/>
            <w:hideMark/>
          </w:tcPr>
          <w:p w:rsidR="00000000" w:rsidRDefault="005F676C">
            <w:pPr>
              <w:pStyle w:val="a3"/>
              <w:spacing w:before="0" w:beforeAutospacing="0" w:after="0" w:afterAutospacing="0"/>
              <w:rPr>
                <w:sz w:val="20"/>
                <w:szCs w:val="20"/>
              </w:rPr>
            </w:pPr>
            <w:r>
              <w:rPr>
                <w:rStyle w:val="a6"/>
                <w:i w:val="0"/>
                <w:iCs w:val="0"/>
                <w:sz w:val="20"/>
                <w:szCs w:val="20"/>
              </w:rPr>
              <w:t>Sun City, AZ</w:t>
            </w:r>
          </w:p>
        </w:tc>
        <w:tc>
          <w:tcPr>
            <w:tcW w:w="800" w:type="pct"/>
            <w:shd w:val="clear" w:color="auto" w:fill="CCEEFF"/>
            <w:vAlign w:val="bottom"/>
            <w:hideMark/>
          </w:tcPr>
          <w:p w:rsidR="00000000" w:rsidRDefault="005F676C">
            <w:pPr>
              <w:pStyle w:val="a3"/>
              <w:spacing w:before="0" w:beforeAutospacing="0" w:after="0" w:afterAutospacing="0"/>
              <w:jc w:val="center"/>
              <w:rPr>
                <w:sz w:val="20"/>
                <w:szCs w:val="20"/>
              </w:rPr>
            </w:pPr>
            <w:r>
              <w:rPr>
                <w:rStyle w:val="a6"/>
                <w:i w:val="0"/>
                <w:iCs w:val="0"/>
                <w:sz w:val="20"/>
                <w:szCs w:val="20"/>
              </w:rPr>
              <w:t>Jan-19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7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5,678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6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Gateway at Donner Pass Out-parcel</w:t>
            </w:r>
          </w:p>
        </w:tc>
        <w:tc>
          <w:tcPr>
            <w:tcW w:w="750" w:type="pct"/>
            <w:shd w:val="clear" w:color="auto" w:fill="FFFFFF"/>
            <w:vAlign w:val="bottom"/>
            <w:hideMark/>
          </w:tcPr>
          <w:p w:rsidR="00000000" w:rsidRDefault="005F676C">
            <w:pPr>
              <w:pStyle w:val="a3"/>
              <w:spacing w:before="0" w:beforeAutospacing="0" w:after="0" w:afterAutospacing="0"/>
              <w:rPr>
                <w:sz w:val="20"/>
                <w:szCs w:val="20"/>
              </w:rPr>
            </w:pPr>
            <w:r>
              <w:rPr>
                <w:rStyle w:val="a6"/>
                <w:i w:val="0"/>
                <w:iCs w:val="0"/>
                <w:sz w:val="20"/>
                <w:szCs w:val="20"/>
              </w:rPr>
              <w:t>Truckee, CA</w:t>
            </w:r>
          </w:p>
        </w:tc>
        <w:tc>
          <w:tcPr>
            <w:tcW w:w="800" w:type="pct"/>
            <w:shd w:val="clear" w:color="auto" w:fill="FFFFFF"/>
            <w:vAlign w:val="bottom"/>
            <w:hideMark/>
          </w:tcPr>
          <w:p w:rsidR="00000000" w:rsidRDefault="005F676C">
            <w:pPr>
              <w:pStyle w:val="a3"/>
              <w:spacing w:before="0" w:beforeAutospacing="0" w:after="0" w:afterAutospacing="0"/>
              <w:jc w:val="center"/>
              <w:rPr>
                <w:sz w:val="20"/>
                <w:szCs w:val="20"/>
              </w:rPr>
            </w:pPr>
            <w:r>
              <w:rPr>
                <w:rStyle w:val="a6"/>
                <w:i w:val="0"/>
                <w:iCs w:val="0"/>
                <w:sz w:val="20"/>
                <w:szCs w:val="20"/>
              </w:rPr>
              <w:t>Jan-19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13,527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6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Rancho Penasquitos Out-parcel</w:t>
            </w:r>
          </w:p>
        </w:tc>
        <w:tc>
          <w:tcPr>
            <w:tcW w:w="750" w:type="pct"/>
            <w:shd w:val="clear" w:color="auto" w:fill="CCEEFF"/>
            <w:vAlign w:val="bottom"/>
            <w:hideMark/>
          </w:tcPr>
          <w:p w:rsidR="00000000" w:rsidRDefault="005F676C">
            <w:pPr>
              <w:pStyle w:val="a3"/>
              <w:spacing w:before="0" w:beforeAutospacing="0" w:after="0" w:afterAutospacing="0"/>
              <w:rPr>
                <w:sz w:val="20"/>
                <w:szCs w:val="20"/>
              </w:rPr>
            </w:pPr>
            <w:r>
              <w:rPr>
                <w:rStyle w:val="a6"/>
                <w:i w:val="0"/>
                <w:iCs w:val="0"/>
                <w:sz w:val="20"/>
                <w:szCs w:val="20"/>
              </w:rPr>
              <w:t>San Diego, CA</w:t>
            </w:r>
          </w:p>
        </w:tc>
        <w:tc>
          <w:tcPr>
            <w:tcW w:w="800" w:type="pct"/>
            <w:shd w:val="clear" w:color="auto" w:fill="CCEEFF"/>
            <w:vAlign w:val="bottom"/>
            <w:hideMark/>
          </w:tcPr>
          <w:p w:rsidR="00000000" w:rsidRDefault="005F676C">
            <w:pPr>
              <w:pStyle w:val="a3"/>
              <w:spacing w:before="0" w:beforeAutospacing="0" w:after="0" w:afterAutospacing="0"/>
              <w:jc w:val="center"/>
              <w:rPr>
                <w:sz w:val="20"/>
                <w:szCs w:val="20"/>
              </w:rPr>
            </w:pPr>
            <w:r>
              <w:rPr>
                <w:rStyle w:val="a6"/>
                <w:i w:val="0"/>
                <w:iCs w:val="0"/>
                <w:sz w:val="20"/>
                <w:szCs w:val="20"/>
              </w:rPr>
              <w:t>Jan-19</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12,064</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6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50" w:type="pct"/>
            <w:shd w:val="clear" w:color="auto" w:fill="FFFFFF"/>
            <w:vAlign w:val="bottom"/>
            <w:hideMark/>
          </w:tcPr>
          <w:p w:rsidR="00000000" w:rsidRDefault="005F676C">
            <w:pPr>
              <w:rPr>
                <w:rFonts w:eastAsia="Times New Roman"/>
                <w:sz w:val="20"/>
                <w:szCs w:val="20"/>
              </w:rPr>
            </w:pPr>
            <w:r>
              <w:rPr>
                <w:rStyle w:val="a6"/>
                <w:rFonts w:eastAsia="Times New Roman"/>
                <w:i w:val="0"/>
                <w:iCs w:val="0"/>
                <w:sz w:val="20"/>
                <w:szCs w:val="20"/>
              </w:rPr>
              <w:t> </w:t>
            </w:r>
          </w:p>
        </w:tc>
        <w:tc>
          <w:tcPr>
            <w:tcW w:w="800" w:type="pct"/>
            <w:shd w:val="clear" w:color="auto" w:fill="FFFFFF"/>
            <w:vAlign w:val="bottom"/>
            <w:hideMark/>
          </w:tcPr>
          <w:p w:rsidR="00000000" w:rsidRDefault="005F676C">
            <w:pPr>
              <w:rPr>
                <w:rFonts w:eastAsia="Times New Roman"/>
                <w:sz w:val="20"/>
                <w:szCs w:val="20"/>
              </w:rPr>
            </w:pPr>
            <w:r>
              <w:rPr>
                <w:rStyle w:val="a6"/>
                <w:rFonts w:eastAsia="Times New Roman"/>
                <w:i w:val="0"/>
                <w:iCs w:val="0"/>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7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31,269</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7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125</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sz w:val="20"/>
          <w:szCs w:val="20"/>
        </w:rPr>
        <w:br/>
      </w:r>
      <w:r>
        <w:rPr>
          <w:sz w:val="20"/>
          <w:szCs w:val="20"/>
        </w:rPr>
        <w:t>* The Company utilized an aggregate $31.0 million associated with Internal Revenue Code</w:t>
      </w:r>
      <w:r>
        <w:rPr>
          <w:sz w:val="20"/>
          <w:szCs w:val="20"/>
        </w:rPr>
        <w:t xml:space="preserve"> </w:t>
      </w:r>
      <w:r>
        <w:rPr>
          <w:rStyle w:val="a6"/>
          <w:i w:val="0"/>
          <w:iCs w:val="0"/>
          <w:sz w:val="20"/>
          <w:szCs w:val="20"/>
        </w:rPr>
        <w:t>26</w:t>
      </w:r>
      <w:r>
        <w:rPr>
          <w:sz w:val="20"/>
          <w:szCs w:val="20"/>
        </w:rPr>
        <w:t xml:space="preserve"> U.S.C.</w:t>
      </w:r>
      <w:r>
        <w:rPr>
          <w:sz w:val="20"/>
          <w:szCs w:val="20"/>
        </w:rPr>
        <w:t xml:space="preserve"> </w:t>
      </w:r>
      <w:r>
        <w:rPr>
          <w:rStyle w:val="a6"/>
          <w:i w:val="0"/>
          <w:iCs w:val="0"/>
          <w:sz w:val="20"/>
          <w:szCs w:val="20"/>
        </w:rPr>
        <w:t>§1031</w:t>
      </w:r>
      <w:r>
        <w:rPr>
          <w:sz w:val="20"/>
          <w:szCs w:val="20"/>
        </w:rPr>
        <w:t xml:space="preserve"> sales proceeds.</w:t>
      </w:r>
    </w:p>
    <w:p w:rsidR="00000000" w:rsidRDefault="005F676C">
      <w:pPr>
        <w:pStyle w:val="a3"/>
        <w:spacing w:before="0" w:beforeAutospacing="0" w:after="0" w:afterAutospacing="0"/>
        <w:rPr>
          <w:sz w:val="20"/>
          <w:szCs w:val="20"/>
        </w:rPr>
      </w:pPr>
      <w:r>
        <w:rPr>
          <w:sz w:val="20"/>
          <w:szCs w:val="20"/>
        </w:rPr>
        <w:t>** Gross leasable area ("GLA")</w:t>
      </w:r>
    </w:p>
    <w:p w:rsidR="00000000" w:rsidRDefault="005F676C">
      <w:pPr>
        <w:pStyle w:val="a3"/>
        <w:spacing w:before="0" w:beforeAutospacing="0" w:after="0" w:afterAutospacing="0"/>
        <w:ind w:left="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Included in Revenues from rental properties, net on the Company’s Condensed Consolidated Statements of </w:t>
      </w:r>
      <w:r>
        <w:rPr>
          <w:sz w:val="20"/>
          <w:szCs w:val="20"/>
        </w:rPr>
        <w:t>Income for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is $0.9 million in revenue resulting from these acquisitions.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Purchase Price Allocations -</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purchase price for these acquisitions is allocated to real estate and related intangible assets acquired and liabilities assumed, as applicable, in accordance with our accounting policies for asset acquisitions. The purchase price allocations for prope</w:t>
      </w:r>
      <w:r>
        <w:rPr>
          <w:sz w:val="20"/>
          <w:szCs w:val="20"/>
        </w:rPr>
        <w:t>rties acquired 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are as follows (in thousands): </w:t>
      </w:r>
    </w:p>
    <w:p w:rsidR="00000000" w:rsidRDefault="005F676C">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878"/>
        <w:gridCol w:w="67"/>
        <w:gridCol w:w="101"/>
        <w:gridCol w:w="1126"/>
        <w:gridCol w:w="67"/>
        <w:gridCol w:w="67"/>
        <w:gridCol w:w="67"/>
        <w:gridCol w:w="1620"/>
        <w:gridCol w:w="67"/>
      </w:tblGrid>
      <w:tr w:rsidR="00000000">
        <w:trPr>
          <w:tblCellSpacing w:w="0" w:type="dxa"/>
        </w:trPr>
        <w:tc>
          <w:tcPr>
            <w:tcW w:w="27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Allocation as of </w:t>
            </w:r>
          </w:p>
          <w:p w:rsidR="00000000" w:rsidRDefault="005F676C">
            <w:pPr>
              <w:pStyle w:val="a3"/>
              <w:spacing w:before="0" w:beforeAutospacing="0" w:after="0" w:afterAutospacing="0"/>
              <w:jc w:val="center"/>
              <w:rPr>
                <w:sz w:val="20"/>
                <w:szCs w:val="20"/>
              </w:rPr>
            </w:pPr>
            <w:r>
              <w:rPr>
                <w:b/>
                <w:bCs/>
                <w:sz w:val="20"/>
                <w:szCs w:val="20"/>
              </w:rPr>
              <w:t>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Weighted-Average</w:t>
            </w:r>
            <w:r>
              <w:rPr>
                <w:b/>
                <w:bCs/>
                <w:sz w:val="20"/>
                <w:szCs w:val="20"/>
              </w:rPr>
              <w:br/>
              <w:t>Amortization Period (in Years)</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Land</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8,266</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1150" w:type="pct"/>
            <w:tcBorders>
              <w:bottom w:val="nil"/>
            </w:tcBorders>
            <w:shd w:val="clear" w:color="auto" w:fill="CCEEFF"/>
            <w:vAlign w:val="bottom"/>
            <w:hideMark/>
          </w:tcPr>
          <w:p w:rsidR="00000000" w:rsidRDefault="005F676C">
            <w:pPr>
              <w:jc w:val="center"/>
              <w:rPr>
                <w:rFonts w:eastAsia="Times New Roman"/>
                <w:sz w:val="20"/>
                <w:szCs w:val="20"/>
              </w:rPr>
            </w:pPr>
            <w:r>
              <w:rPr>
                <w:rStyle w:val="a6"/>
                <w:rFonts w:eastAsia="Times New Roman"/>
                <w:i w:val="0"/>
                <w:iCs w:val="0"/>
                <w:sz w:val="20"/>
                <w:szCs w:val="20"/>
              </w:rPr>
              <w:t>n/a</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Buildings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15,935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115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50.0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Building improvements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1,313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115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Tenant improvements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1,637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115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20.0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In-place leases</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4,118</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115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20.0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750" w:type="pct"/>
            <w:shd w:val="clear" w:color="auto" w:fill="FFFFFF"/>
            <w:vAlign w:val="bottom"/>
            <w:hideMark/>
          </w:tcPr>
          <w:p w:rsidR="00000000" w:rsidRDefault="005F676C">
            <w:pPr>
              <w:pStyle w:val="a3"/>
              <w:spacing w:before="0" w:beforeAutospacing="0" w:after="0" w:afterAutospacing="0"/>
              <w:rPr>
                <w:sz w:val="20"/>
                <w:szCs w:val="20"/>
              </w:rPr>
            </w:pPr>
            <w:r>
              <w:rPr>
                <w:b/>
                <w:bCs/>
                <w:sz w:val="20"/>
                <w:szCs w:val="20"/>
              </w:rPr>
              <w:t>Net assets acquired</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31,269</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1150" w:type="pct"/>
            <w:shd w:val="clear" w:color="auto" w:fill="FFFFFF"/>
            <w:vAlign w:val="bottom"/>
            <w:hideMark/>
          </w:tcPr>
          <w:p w:rsidR="00000000" w:rsidRDefault="005F676C">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Dispositions -</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table below summarizes the Company’s disposition activity relating to consolidated operating properties and parcels (dollars in millions):</w:t>
      </w:r>
    </w:p>
    <w:p w:rsidR="00000000" w:rsidRDefault="005F676C">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368"/>
        <w:gridCol w:w="62"/>
        <w:gridCol w:w="100"/>
        <w:gridCol w:w="1121"/>
        <w:gridCol w:w="62"/>
        <w:gridCol w:w="62"/>
        <w:gridCol w:w="100"/>
        <w:gridCol w:w="1122"/>
        <w:gridCol w:w="63"/>
      </w:tblGrid>
      <w:tr w:rsidR="00000000">
        <w:trPr>
          <w:tblCellSpacing w:w="0" w:type="dxa"/>
        </w:trPr>
        <w:tc>
          <w:tcPr>
            <w:tcW w:w="3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100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Nine Months Ended September 30,</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Aggregate sales price/gross fair value</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163.8</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973.5</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47.4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180.5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Number of operating properties sold/deconsolidated</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Number of out-parcels sold</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Impairments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 xml:space="preserve">the Company recognized aggregate impairment charges of $41.2 </w:t>
      </w:r>
      <w:r>
        <w:rPr>
          <w:sz w:val="20"/>
          <w:szCs w:val="20"/>
        </w:rPr>
        <w:t>million. These impairment charges consist of: (i) $29.7 million related to adjustments to property carrying values for properties which the Company has marketed for sale as part of its active capital recycling program and as such has adjusted the anticipat</w:t>
      </w:r>
      <w:r>
        <w:rPr>
          <w:sz w:val="20"/>
          <w:szCs w:val="20"/>
        </w:rPr>
        <w:t>ed hold period for such properties and (ii) $11.5 million related to a development project which the Company</w:t>
      </w:r>
      <w:r>
        <w:rPr>
          <w:sz w:val="20"/>
          <w:szCs w:val="20"/>
        </w:rPr>
        <w:t xml:space="preserve"> </w:t>
      </w:r>
      <w:r>
        <w:rPr>
          <w:rStyle w:val="a6"/>
          <w:i w:val="0"/>
          <w:iCs w:val="0"/>
          <w:sz w:val="20"/>
          <w:szCs w:val="20"/>
        </w:rPr>
        <w:t>no</w:t>
      </w:r>
      <w:r>
        <w:rPr>
          <w:sz w:val="20"/>
          <w:szCs w:val="20"/>
        </w:rPr>
        <w:t xml:space="preserve"> longer intends to develop, but now intends to market the property as is for sale. 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2018, </w:t>
      </w:r>
      <w:r>
        <w:rPr>
          <w:sz w:val="20"/>
          <w:szCs w:val="20"/>
        </w:rPr>
        <w:t>the Company r</w:t>
      </w:r>
      <w:r>
        <w:rPr>
          <w:sz w:val="20"/>
          <w:szCs w:val="20"/>
        </w:rPr>
        <w:t xml:space="preserve">ecognized aggregate impairment charges of $33.9 million related to adjustments to property carrying values for properties which the Company has marketed for sale as part of its active capital recycling program and as such has adjusted the anticipated hold </w:t>
      </w:r>
      <w:r>
        <w:rPr>
          <w:sz w:val="20"/>
          <w:szCs w:val="20"/>
        </w:rPr>
        <w:t>period for such properties. The Company’s estimated fair values of these properties were primarily based upon estimated sales prices from (i) signed contracts or letters of intent from</w:t>
      </w:r>
      <w:r>
        <w:rPr>
          <w:sz w:val="20"/>
          <w:szCs w:val="20"/>
        </w:rPr>
        <w:t xml:space="preserve"> </w:t>
      </w:r>
      <w:r>
        <w:rPr>
          <w:rStyle w:val="a6"/>
          <w:i w:val="0"/>
          <w:iCs w:val="0"/>
          <w:sz w:val="20"/>
          <w:szCs w:val="20"/>
        </w:rPr>
        <w:t>third</w:t>
      </w:r>
      <w:r>
        <w:rPr>
          <w:sz w:val="20"/>
          <w:szCs w:val="20"/>
        </w:rPr>
        <w:t xml:space="preserve"> party offers or (ii) discounted cash flow models. See Footnote</w:t>
      </w:r>
      <w:r>
        <w:rPr>
          <w:sz w:val="20"/>
          <w:szCs w:val="20"/>
        </w:rPr>
        <w:t xml:space="preserve"> </w:t>
      </w:r>
      <w:r>
        <w:rPr>
          <w:rStyle w:val="a6"/>
          <w:i w:val="0"/>
          <w:iCs w:val="0"/>
          <w:sz w:val="20"/>
          <w:szCs w:val="20"/>
        </w:rPr>
        <w:t>12</w:t>
      </w:r>
      <w:r>
        <w:rPr>
          <w:sz w:val="20"/>
          <w:szCs w:val="20"/>
        </w:rPr>
        <w:t xml:space="preserve"> to the Notes to the Company’s Condensed Consolidated Financial Statements for fair value disclosure.</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jc w:val="center"/>
        <w:divId w:val="1063991746"/>
        <w:rPr>
          <w:rFonts w:eastAsia="Times New Roman"/>
          <w:sz w:val="20"/>
          <w:szCs w:val="20"/>
        </w:rPr>
      </w:pPr>
      <w:r>
        <w:rPr>
          <w:rFonts w:eastAsia="Times New Roman"/>
          <w:sz w:val="20"/>
          <w:szCs w:val="20"/>
        </w:rPr>
        <w:t xml:space="preserve">14 </w:t>
      </w:r>
    </w:p>
    <w:p w:rsidR="00000000" w:rsidRDefault="005F676C">
      <w:pPr>
        <w:divId w:val="1063991746"/>
        <w:rPr>
          <w:rFonts w:eastAsia="Times New Roman"/>
          <w:sz w:val="20"/>
          <w:szCs w:val="20"/>
        </w:rPr>
      </w:pPr>
      <w:r>
        <w:rPr>
          <w:rFonts w:eastAsia="Times New Roman"/>
          <w:sz w:val="20"/>
          <w:szCs w:val="20"/>
        </w:rPr>
        <w:pict>
          <v:rect id="_x0000_i1042" style="width:0;height:1.5pt" o:hralign="center" o:hrstd="t" o:hr="t" fillcolor="#a0a0a0" stroked="f"/>
        </w:pict>
      </w:r>
    </w:p>
    <w:p w:rsidR="00000000" w:rsidRDefault="005F676C">
      <w:pPr>
        <w:divId w:val="106399174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divId w:val="1370688429"/>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jc w:val="both"/>
        <w:rPr>
          <w:sz w:val="20"/>
          <w:szCs w:val="20"/>
        </w:rPr>
      </w:pPr>
      <w:r>
        <w:rPr>
          <w:rStyle w:val="a6"/>
          <w:i w:val="0"/>
          <w:iCs w:val="0"/>
          <w:sz w:val="20"/>
          <w:szCs w:val="20"/>
        </w:rPr>
        <w:t>4.</w:t>
      </w:r>
      <w:r>
        <w:rPr>
          <w:sz w:val="20"/>
          <w:szCs w:val="20"/>
        </w:rPr>
        <w:t xml:space="preserve"> </w:t>
      </w:r>
      <w:r>
        <w:rPr>
          <w:sz w:val="20"/>
          <w:szCs w:val="20"/>
          <w:u w:val="single"/>
        </w:rPr>
        <w:t>Real Estate Under Development</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is engaged in v</w:t>
      </w:r>
      <w:r>
        <w:rPr>
          <w:sz w:val="20"/>
          <w:szCs w:val="20"/>
        </w:rPr>
        <w:t>arious real estate development projects for long-term investment. The costs incurred to date for these real estate development projects are as follows (in thousands):</w:t>
      </w:r>
    </w:p>
    <w:p w:rsidR="00000000" w:rsidRDefault="005F676C">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2675"/>
        <w:gridCol w:w="1686"/>
        <w:gridCol w:w="63"/>
        <w:gridCol w:w="101"/>
        <w:gridCol w:w="1122"/>
        <w:gridCol w:w="63"/>
        <w:gridCol w:w="63"/>
        <w:gridCol w:w="100"/>
        <w:gridCol w:w="1123"/>
        <w:gridCol w:w="64"/>
      </w:tblGrid>
      <w:tr w:rsidR="00000000">
        <w:trPr>
          <w:tblCellSpacing w:w="0" w:type="dxa"/>
        </w:trPr>
        <w:tc>
          <w:tcPr>
            <w:tcW w:w="1900" w:type="pct"/>
            <w:tcBorders>
              <w:bottom w:val="single" w:sz="6" w:space="0" w:color="000000"/>
            </w:tcBorders>
            <w:vAlign w:val="bottom"/>
            <w:hideMark/>
          </w:tcPr>
          <w:p w:rsidR="00000000" w:rsidRDefault="005F676C">
            <w:pPr>
              <w:pStyle w:val="a3"/>
              <w:spacing w:before="0" w:beforeAutospacing="0" w:after="0" w:afterAutospacing="0"/>
              <w:rPr>
                <w:sz w:val="20"/>
                <w:szCs w:val="20"/>
              </w:rPr>
            </w:pPr>
            <w:r>
              <w:rPr>
                <w:b/>
                <w:bCs/>
                <w:sz w:val="20"/>
                <w:szCs w:val="20"/>
              </w:rPr>
              <w:t>Property Name</w:t>
            </w:r>
          </w:p>
        </w:tc>
        <w:tc>
          <w:tcPr>
            <w:tcW w:w="1200" w:type="pct"/>
            <w:tcBorders>
              <w:bottom w:val="single" w:sz="6" w:space="0" w:color="000000"/>
            </w:tcBorders>
            <w:vAlign w:val="bottom"/>
            <w:hideMark/>
          </w:tcPr>
          <w:p w:rsidR="00000000" w:rsidRDefault="005F676C">
            <w:pPr>
              <w:pStyle w:val="a3"/>
              <w:spacing w:before="0" w:beforeAutospacing="0" w:after="0" w:afterAutospacing="0"/>
              <w:rPr>
                <w:sz w:val="20"/>
                <w:szCs w:val="20"/>
              </w:rPr>
            </w:pPr>
            <w:r>
              <w:rPr>
                <w:b/>
                <w:bCs/>
                <w:sz w:val="20"/>
                <w:szCs w:val="20"/>
              </w:rPr>
              <w:t>Location</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December 31, 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90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sz w:val="20"/>
                <w:szCs w:val="20"/>
              </w:rPr>
              <w:t>Dania Pointe – Phases II, III and IV</w:t>
            </w:r>
          </w:p>
        </w:tc>
        <w:tc>
          <w:tcPr>
            <w:tcW w:w="120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rStyle w:val="a6"/>
                <w:i w:val="0"/>
                <w:iCs w:val="0"/>
                <w:sz w:val="20"/>
                <w:szCs w:val="20"/>
              </w:rPr>
              <w:t>Dania Beach, FL</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223,164</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152,111</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9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Mill Station</w:t>
            </w:r>
          </w:p>
        </w:tc>
        <w:tc>
          <w:tcPr>
            <w:tcW w:w="1200" w:type="pct"/>
            <w:shd w:val="clear" w:color="auto" w:fill="FFFFFF"/>
            <w:vAlign w:val="bottom"/>
            <w:hideMark/>
          </w:tcPr>
          <w:p w:rsidR="00000000" w:rsidRDefault="005F676C">
            <w:pPr>
              <w:pStyle w:val="a3"/>
              <w:spacing w:before="0" w:beforeAutospacing="0" w:after="0" w:afterAutospacing="0"/>
              <w:rPr>
                <w:sz w:val="20"/>
                <w:szCs w:val="20"/>
              </w:rPr>
            </w:pPr>
            <w:r>
              <w:rPr>
                <w:rStyle w:val="a6"/>
                <w:i w:val="0"/>
                <w:iCs w:val="0"/>
                <w:sz w:val="20"/>
                <w:szCs w:val="20"/>
              </w:rPr>
              <w:t>Owings Mills, MD</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77,812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55,771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9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Promenade at Christiana (1)</w:t>
            </w:r>
          </w:p>
        </w:tc>
        <w:tc>
          <w:tcPr>
            <w:tcW w:w="1200" w:type="pct"/>
            <w:shd w:val="clear" w:color="auto" w:fill="CCEEFF"/>
            <w:vAlign w:val="bottom"/>
            <w:hideMark/>
          </w:tcPr>
          <w:p w:rsidR="00000000" w:rsidRDefault="005F676C">
            <w:pPr>
              <w:pStyle w:val="a3"/>
              <w:spacing w:before="0" w:beforeAutospacing="0" w:after="0" w:afterAutospacing="0"/>
              <w:rPr>
                <w:sz w:val="20"/>
                <w:szCs w:val="20"/>
              </w:rPr>
            </w:pPr>
            <w:r>
              <w:rPr>
                <w:rStyle w:val="a6"/>
                <w:i w:val="0"/>
                <w:iCs w:val="0"/>
                <w:sz w:val="20"/>
                <w:szCs w:val="20"/>
              </w:rPr>
              <w:t>New Castle, DE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33,502</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900" w:type="pct"/>
            <w:gridSpan w:val="2"/>
            <w:shd w:val="clear" w:color="auto" w:fill="FFFFFF"/>
            <w:vAlign w:val="bottom"/>
            <w:hideMark/>
          </w:tcPr>
          <w:p w:rsidR="00000000" w:rsidRDefault="005F676C">
            <w:pPr>
              <w:pStyle w:val="a3"/>
              <w:spacing w:before="0" w:beforeAutospacing="0" w:after="0" w:afterAutospacing="0"/>
              <w:rPr>
                <w:sz w:val="20"/>
                <w:szCs w:val="20"/>
              </w:rPr>
            </w:pPr>
            <w:r>
              <w:rPr>
                <w:b/>
                <w:bCs/>
                <w:sz w:val="20"/>
                <w:szCs w:val="20"/>
              </w:rPr>
              <w:t>Total*</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300,976</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241,384</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left="720"/>
        <w:jc w:val="both"/>
        <w:rPr>
          <w:sz w:val="20"/>
          <w:szCs w:val="20"/>
        </w:rPr>
      </w:pPr>
      <w:r>
        <w:rPr>
          <w:sz w:val="20"/>
          <w:szCs w:val="20"/>
        </w:rPr>
        <w:t> </w:t>
      </w:r>
    </w:p>
    <w:p w:rsidR="00000000" w:rsidRDefault="005F676C">
      <w:pPr>
        <w:pStyle w:val="a3"/>
        <w:spacing w:before="0" w:beforeAutospacing="0" w:after="0" w:afterAutospacing="0"/>
        <w:ind w:left="540" w:hanging="180"/>
        <w:jc w:val="both"/>
        <w:rPr>
          <w:sz w:val="20"/>
          <w:szCs w:val="20"/>
        </w:rPr>
      </w:pPr>
      <w:r>
        <w:rPr>
          <w:sz w:val="20"/>
          <w:szCs w:val="20"/>
        </w:rPr>
        <w:t>* Includes capitalized costs of interest, real estate taxes, insurance, legal costs and payroll of $27.4 million and $24.9 million, as of</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 xml:space="preserve">December 31, 2018, </w:t>
      </w:r>
      <w:r>
        <w:rPr>
          <w:sz w:val="20"/>
          <w:szCs w:val="20"/>
        </w:rPr>
        <w:t>respectively.</w:t>
      </w:r>
    </w:p>
    <w:p w:rsidR="00000000" w:rsidRDefault="005F676C">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vertAlign w:val="superscript"/>
              </w:rPr>
              <w:t>(</w:t>
            </w:r>
            <w:r>
              <w:rPr>
                <w:rStyle w:val="a6"/>
                <w:i w:val="0"/>
                <w:iCs w:val="0"/>
                <w:sz w:val="20"/>
                <w:szCs w:val="20"/>
                <w:vertAlign w:val="superscript"/>
              </w:rPr>
              <w:t>1</w:t>
            </w:r>
            <w:r>
              <w:rPr>
                <w:sz w:val="20"/>
                <w:szCs w:val="20"/>
                <w:vertAlign w:val="superscript"/>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the Company reclassified this project to Real estate, net of accumulated depreciation and amortization on the Company’s Condensed Consolidated Balance Sheets, as it is now the Company’s intention to discontinue development of this proje</w:t>
            </w:r>
            <w:r>
              <w:rPr>
                <w:sz w:val="20"/>
                <w:szCs w:val="20"/>
              </w:rPr>
              <w:t>ct and to market it for sale as is. The as is value, estimated fair value, was below the carrying value and as such, the Company recorded an impairment charge of $11.5 million 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September 30, 2019.</w:t>
            </w:r>
          </w:p>
        </w:tc>
      </w:tr>
    </w:tbl>
    <w:p w:rsidR="00000000" w:rsidRDefault="005F676C">
      <w:pPr>
        <w:pStyle w:val="a3"/>
        <w:spacing w:before="0" w:beforeAutospacing="0" w:after="0" w:afterAutospacing="0"/>
        <w:ind w:left="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the Company capitalized (i) interest of $6.6 million, (ii) real estate taxes, insurance and legal costs of $1.1 million, and (iii) payroll of $1.1 million in connection with its real estate development projects.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divId w:val="6370556"/>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jc w:val="both"/>
        <w:rPr>
          <w:sz w:val="20"/>
          <w:szCs w:val="20"/>
        </w:rPr>
      </w:pPr>
      <w:r>
        <w:rPr>
          <w:rStyle w:val="a6"/>
          <w:i w:val="0"/>
          <w:iCs w:val="0"/>
          <w:sz w:val="20"/>
          <w:szCs w:val="20"/>
        </w:rPr>
        <w:t>5.</w:t>
      </w:r>
      <w:r>
        <w:rPr>
          <w:sz w:val="20"/>
          <w:szCs w:val="20"/>
        </w:rPr>
        <w:t xml:space="preserve"> </w:t>
      </w:r>
      <w:r>
        <w:rPr>
          <w:sz w:val="20"/>
          <w:szCs w:val="20"/>
          <w:u w:val="single"/>
        </w:rPr>
        <w:t xml:space="preserve">Investments in </w:t>
      </w:r>
      <w:r>
        <w:rPr>
          <w:sz w:val="20"/>
          <w:szCs w:val="20"/>
          <w:u w:val="single"/>
        </w:rPr>
        <w:t>and Advances to Real Estate Joint Ventures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has investments in and advances to various real estate joint ventures. These joint ventures are engaged primarily in the operation of shopping centers which are either owned or held under long-term o</w:t>
      </w:r>
      <w:r>
        <w:rPr>
          <w:sz w:val="20"/>
          <w:szCs w:val="20"/>
        </w:rPr>
        <w:t>perating leases. The Company and the joint venture partners have joint approval rights for major decisions, including those regarding property operations. As such, the Company holds noncontrolling interests in these joint ventures and accounts for them und</w:t>
      </w:r>
      <w:r>
        <w:rPr>
          <w:sz w:val="20"/>
          <w:szCs w:val="20"/>
        </w:rPr>
        <w:t>er the equity method of accounting.</w:t>
      </w:r>
    </w:p>
    <w:p w:rsidR="00000000" w:rsidRDefault="005F676C">
      <w:pPr>
        <w:pStyle w:val="a3"/>
        <w:spacing w:before="0" w:beforeAutospacing="0" w:after="0" w:afterAutospacing="0"/>
        <w:ind w:left="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table below presents joint venture investments for which the Company held an ownership interest at</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December 31, 2018 (</w:t>
      </w:r>
      <w:r>
        <w:rPr>
          <w:sz w:val="20"/>
          <w:szCs w:val="20"/>
        </w:rPr>
        <w:t>dollars in millions):</w:t>
      </w:r>
    </w:p>
    <w:p w:rsidR="00000000" w:rsidRDefault="005F676C">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75"/>
        <w:gridCol w:w="56"/>
        <w:gridCol w:w="1053"/>
        <w:gridCol w:w="56"/>
        <w:gridCol w:w="57"/>
        <w:gridCol w:w="215"/>
        <w:gridCol w:w="1054"/>
        <w:gridCol w:w="57"/>
        <w:gridCol w:w="57"/>
        <w:gridCol w:w="215"/>
        <w:gridCol w:w="1054"/>
        <w:gridCol w:w="57"/>
      </w:tblGrid>
      <w:tr w:rsidR="00000000">
        <w:trPr>
          <w:tblCellSpacing w:w="0" w:type="dxa"/>
        </w:trPr>
        <w:tc>
          <w:tcPr>
            <w:tcW w:w="26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650" w:type="pct"/>
            <w:vAlign w:val="bottom"/>
            <w:hideMark/>
          </w:tcPr>
          <w:p w:rsidR="00000000" w:rsidRDefault="005F676C">
            <w:pPr>
              <w:pStyle w:val="a3"/>
              <w:spacing w:before="0" w:beforeAutospacing="0" w:after="0" w:afterAutospacing="0"/>
              <w:jc w:val="center"/>
              <w:rPr>
                <w:sz w:val="20"/>
                <w:szCs w:val="20"/>
              </w:rPr>
            </w:pPr>
            <w:r>
              <w:rPr>
                <w:b/>
                <w:bCs/>
                <w:sz w:val="20"/>
                <w:szCs w:val="20"/>
              </w:rPr>
              <w:t>Ownership</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85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The Company's Investment</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50" w:type="pct"/>
            <w:tcBorders>
              <w:bottom w:val="single" w:sz="6" w:space="0" w:color="000000"/>
            </w:tcBorders>
            <w:vAlign w:val="bottom"/>
            <w:hideMark/>
          </w:tcPr>
          <w:p w:rsidR="00000000" w:rsidRDefault="005F676C">
            <w:pPr>
              <w:pStyle w:val="a3"/>
              <w:spacing w:before="0" w:beforeAutospacing="0" w:after="0" w:afterAutospacing="0"/>
              <w:rPr>
                <w:sz w:val="20"/>
                <w:szCs w:val="20"/>
              </w:rPr>
            </w:pPr>
            <w:r>
              <w:rPr>
                <w:b/>
                <w:bCs/>
                <w:sz w:val="20"/>
                <w:szCs w:val="20"/>
              </w:rPr>
              <w:t>Joint Venture</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6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Interest</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December 31, 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5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sz w:val="20"/>
                <w:szCs w:val="20"/>
              </w:rPr>
              <w:t>Prudential Investment Program (1)</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50" w:type="pct"/>
            <w:tcBorders>
              <w:bottom w:val="nil"/>
            </w:tcBorders>
            <w:shd w:val="clear" w:color="auto" w:fill="CCEEFF"/>
            <w:vAlign w:val="bottom"/>
            <w:hideMark/>
          </w:tcPr>
          <w:p w:rsidR="00000000" w:rsidRDefault="005F676C">
            <w:pPr>
              <w:jc w:val="center"/>
              <w:rPr>
                <w:rFonts w:eastAsia="Times New Roman"/>
                <w:sz w:val="20"/>
                <w:szCs w:val="20"/>
              </w:rPr>
            </w:pPr>
            <w:r>
              <w:rPr>
                <w:rFonts w:eastAsia="Times New Roman"/>
                <w:sz w:val="20"/>
                <w:szCs w:val="20"/>
              </w:rPr>
              <w:t>15.0%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ind w:left="114"/>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5F676C">
            <w:pPr>
              <w:ind w:left="114"/>
              <w:jc w:val="right"/>
              <w:rPr>
                <w:rFonts w:eastAsia="Times New Roman"/>
                <w:sz w:val="20"/>
                <w:szCs w:val="20"/>
              </w:rPr>
            </w:pPr>
            <w:r>
              <w:rPr>
                <w:rFonts w:eastAsia="Times New Roman"/>
                <w:sz w:val="20"/>
                <w:szCs w:val="20"/>
              </w:rPr>
              <w:t>172.5</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114"/>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ind w:left="114"/>
              <w:jc w:val="right"/>
              <w:rPr>
                <w:rFonts w:eastAsia="Times New Roman"/>
                <w:sz w:val="20"/>
                <w:szCs w:val="20"/>
              </w:rPr>
            </w:pPr>
            <w:r>
              <w:rPr>
                <w:rFonts w:eastAsia="Times New Roman"/>
                <w:sz w:val="20"/>
                <w:szCs w:val="20"/>
              </w:rPr>
              <w:t>175.2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Kimco Income Opportunity Portfolio (“KIR”) (1)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48.6%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5F676C">
            <w:pPr>
              <w:ind w:left="114"/>
              <w:jc w:val="right"/>
              <w:rPr>
                <w:rFonts w:eastAsia="Times New Roman"/>
                <w:sz w:val="20"/>
                <w:szCs w:val="20"/>
              </w:rPr>
            </w:pPr>
            <w:r>
              <w:rPr>
                <w:rFonts w:eastAsia="Times New Roman"/>
                <w:sz w:val="20"/>
                <w:szCs w:val="20"/>
              </w:rPr>
              <w:t>172.4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5F676C">
            <w:pPr>
              <w:ind w:left="114"/>
              <w:jc w:val="right"/>
              <w:rPr>
                <w:rFonts w:eastAsia="Times New Roman"/>
                <w:sz w:val="20"/>
                <w:szCs w:val="20"/>
              </w:rPr>
            </w:pPr>
            <w:r>
              <w:rPr>
                <w:rFonts w:eastAsia="Times New Roman"/>
                <w:sz w:val="20"/>
                <w:szCs w:val="20"/>
              </w:rPr>
              <w:t>167.2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Canada Pension Plan Investment Board (“CPP”) (1)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55.0%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5F676C">
            <w:pPr>
              <w:ind w:left="114"/>
              <w:jc w:val="right"/>
              <w:rPr>
                <w:rFonts w:eastAsia="Times New Roman"/>
                <w:sz w:val="20"/>
                <w:szCs w:val="20"/>
              </w:rPr>
            </w:pPr>
            <w:r>
              <w:rPr>
                <w:rFonts w:eastAsia="Times New Roman"/>
                <w:sz w:val="20"/>
                <w:szCs w:val="20"/>
              </w:rPr>
              <w:t>151.3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5F676C">
            <w:pPr>
              <w:ind w:left="114"/>
              <w:jc w:val="right"/>
              <w:rPr>
                <w:rFonts w:eastAsia="Times New Roman"/>
                <w:sz w:val="20"/>
                <w:szCs w:val="20"/>
              </w:rPr>
            </w:pPr>
            <w:r>
              <w:rPr>
                <w:rFonts w:eastAsia="Times New Roman"/>
                <w:sz w:val="20"/>
                <w:szCs w:val="20"/>
              </w:rPr>
              <w:t>135.0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Other Joint Venture Programs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5F676C">
            <w:pPr>
              <w:pStyle w:val="a3"/>
              <w:spacing w:before="0" w:beforeAutospacing="0" w:after="0" w:afterAutospacing="0"/>
              <w:ind w:left="228" w:hanging="114"/>
              <w:jc w:val="center"/>
              <w:rPr>
                <w:sz w:val="20"/>
                <w:szCs w:val="20"/>
              </w:rPr>
            </w:pPr>
            <w:r>
              <w:rPr>
                <w:rStyle w:val="a6"/>
                <w:i w:val="0"/>
                <w:iCs w:val="0"/>
                <w:sz w:val="20"/>
                <w:szCs w:val="20"/>
              </w:rPr>
              <w:t>Various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5F676C">
            <w:pPr>
              <w:ind w:left="114"/>
              <w:jc w:val="right"/>
              <w:rPr>
                <w:rFonts w:eastAsia="Times New Roman"/>
                <w:sz w:val="20"/>
                <w:szCs w:val="20"/>
              </w:rPr>
            </w:pPr>
            <w:r>
              <w:rPr>
                <w:rFonts w:eastAsia="Times New Roman"/>
                <w:sz w:val="20"/>
                <w:szCs w:val="20"/>
              </w:rPr>
              <w:t>89.3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50" w:type="pct"/>
            <w:tcBorders>
              <w:bottom w:val="single" w:sz="6" w:space="0" w:color="000000"/>
            </w:tcBorders>
            <w:shd w:val="clear" w:color="auto" w:fill="FFFFFF"/>
            <w:vAlign w:val="bottom"/>
            <w:hideMark/>
          </w:tcPr>
          <w:p w:rsidR="00000000" w:rsidRDefault="005F676C">
            <w:pPr>
              <w:ind w:left="114"/>
              <w:jc w:val="right"/>
              <w:rPr>
                <w:rFonts w:eastAsia="Times New Roman"/>
                <w:sz w:val="20"/>
                <w:szCs w:val="20"/>
              </w:rPr>
            </w:pPr>
            <w:r>
              <w:rPr>
                <w:rFonts w:eastAsia="Times New Roman"/>
                <w:sz w:val="20"/>
                <w:szCs w:val="20"/>
              </w:rPr>
              <w:t>93.5</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50" w:type="pct"/>
            <w:shd w:val="clear" w:color="auto" w:fill="CCEEFF"/>
            <w:vAlign w:val="bottom"/>
            <w:hideMark/>
          </w:tcPr>
          <w:p w:rsidR="00000000" w:rsidRDefault="005F676C">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50" w:type="pct"/>
            <w:shd w:val="clear" w:color="auto" w:fill="CCEEFF"/>
            <w:vAlign w:val="bottom"/>
            <w:hideMark/>
          </w:tcPr>
          <w:p w:rsidR="00000000" w:rsidRDefault="005F676C">
            <w:pPr>
              <w:rPr>
                <w:rFonts w:eastAsia="Times New Roman"/>
                <w:sz w:val="20"/>
                <w:szCs w:val="20"/>
              </w:rPr>
            </w:pPr>
            <w:r>
              <w:rPr>
                <w:rStyle w:val="a6"/>
                <w:rFonts w:eastAsia="Times New Roman"/>
                <w:b/>
                <w:bCs/>
                <w:i w:val="0"/>
                <w:iCs w:val="0"/>
                <w:sz w:val="20"/>
                <w:szCs w:val="20"/>
              </w:rPr>
              <w:t> </w:t>
            </w:r>
            <w:r>
              <w:rPr>
                <w:rFonts w:eastAsia="Times New Roman"/>
                <w:b/>
                <w:bCs/>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ind w:left="114"/>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rsidR="00000000" w:rsidRDefault="005F676C">
            <w:pPr>
              <w:ind w:left="114"/>
              <w:jc w:val="right"/>
              <w:rPr>
                <w:rFonts w:eastAsia="Times New Roman"/>
                <w:sz w:val="20"/>
                <w:szCs w:val="20"/>
              </w:rPr>
            </w:pPr>
            <w:r>
              <w:rPr>
                <w:rFonts w:eastAsia="Times New Roman"/>
                <w:b/>
                <w:bCs/>
                <w:sz w:val="20"/>
                <w:szCs w:val="20"/>
              </w:rPr>
              <w:t>585.5</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6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570.9</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left="360" w:hanging="180"/>
        <w:jc w:val="both"/>
        <w:rPr>
          <w:sz w:val="20"/>
          <w:szCs w:val="20"/>
        </w:rPr>
      </w:pPr>
      <w:r>
        <w:rPr>
          <w:sz w:val="20"/>
          <w:szCs w:val="20"/>
        </w:rPr>
        <w:t xml:space="preserve">* Representing 101 </w:t>
      </w:r>
      <w:r>
        <w:rPr>
          <w:sz w:val="20"/>
          <w:szCs w:val="20"/>
        </w:rPr>
        <w:t>property interests and 21.6 million square feet of GLA, as of</w:t>
      </w:r>
      <w:r>
        <w:rPr>
          <w:sz w:val="20"/>
          <w:szCs w:val="20"/>
        </w:rPr>
        <w:t xml:space="preserve"> </w:t>
      </w:r>
      <w:r>
        <w:rPr>
          <w:rStyle w:val="a6"/>
          <w:i w:val="0"/>
          <w:iCs w:val="0"/>
          <w:sz w:val="20"/>
          <w:szCs w:val="20"/>
        </w:rPr>
        <w:t xml:space="preserve">September 30, 2019, </w:t>
      </w:r>
      <w:r>
        <w:rPr>
          <w:sz w:val="20"/>
          <w:szCs w:val="20"/>
        </w:rPr>
        <w:t>and 109 property interests and 23.2 million square feet of GLA, as of</w:t>
      </w:r>
      <w:r>
        <w:rPr>
          <w:sz w:val="20"/>
          <w:szCs w:val="20"/>
        </w:rPr>
        <w:t xml:space="preserve"> </w:t>
      </w:r>
      <w:r>
        <w:rPr>
          <w:rStyle w:val="a6"/>
          <w:i w:val="0"/>
          <w:iCs w:val="0"/>
          <w:sz w:val="20"/>
          <w:szCs w:val="20"/>
        </w:rPr>
        <w:t>December 31, 2018.</w:t>
      </w:r>
    </w:p>
    <w:p w:rsidR="00000000" w:rsidRDefault="005F676C">
      <w:pPr>
        <w:pStyle w:val="a3"/>
        <w:spacing w:before="0" w:beforeAutospacing="0" w:after="0" w:afterAutospacing="0"/>
        <w:ind w:left="360" w:hanging="18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676C">
            <w:pPr>
              <w:pStyle w:val="a3"/>
              <w:spacing w:before="0" w:beforeAutospacing="0" w:after="0" w:afterAutospacing="0"/>
              <w:jc w:val="both"/>
              <w:rPr>
                <w:sz w:val="20"/>
                <w:szCs w:val="20"/>
              </w:rPr>
            </w:pPr>
            <w:r>
              <w:rPr>
                <w:sz w:val="20"/>
                <w:szCs w:val="20"/>
              </w:rPr>
              <w:t>(1)</w:t>
            </w:r>
          </w:p>
        </w:tc>
        <w:tc>
          <w:tcPr>
            <w:tcW w:w="0" w:type="auto"/>
            <w:hideMark/>
          </w:tcPr>
          <w:p w:rsidR="00000000" w:rsidRDefault="005F676C">
            <w:pPr>
              <w:pStyle w:val="a3"/>
              <w:spacing w:before="0" w:beforeAutospacing="0" w:after="0" w:afterAutospacing="0"/>
              <w:jc w:val="both"/>
              <w:rPr>
                <w:sz w:val="20"/>
                <w:szCs w:val="20"/>
              </w:rPr>
            </w:pPr>
            <w:r>
              <w:rPr>
                <w:sz w:val="20"/>
                <w:szCs w:val="20"/>
              </w:rPr>
              <w:t xml:space="preserve">The Company manages </w:t>
            </w:r>
            <w:r>
              <w:rPr>
                <w:sz w:val="20"/>
                <w:szCs w:val="20"/>
              </w:rPr>
              <w:t>these joint venture investments and, where applicable, earns property management fees, construction management fees, property acquisition and disposition fees, leasing management fees and asset management fees.</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table below presents the Company’s sha</w:t>
      </w:r>
      <w:r>
        <w:rPr>
          <w:sz w:val="20"/>
          <w:szCs w:val="20"/>
        </w:rPr>
        <w:t>re of net income for the above investments which is included in Equity in income of joint ventures, net on the Company’s Condensed Consolidated Statements of Income for the</w:t>
      </w:r>
      <w:r>
        <w:rPr>
          <w:sz w:val="20"/>
          <w:szCs w:val="20"/>
        </w:rPr>
        <w:t xml:space="preserve"> </w:t>
      </w:r>
      <w:r>
        <w:rPr>
          <w:rStyle w:val="a6"/>
          <w:i w:val="0"/>
          <w:iCs w:val="0"/>
          <w:sz w:val="20"/>
          <w:szCs w:val="20"/>
        </w:rPr>
        <w:t>three</w:t>
      </w:r>
      <w:r>
        <w:rPr>
          <w:sz w:val="20"/>
          <w:szCs w:val="20"/>
        </w:rPr>
        <w:t xml:space="preserve"> and</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2018</w:t>
      </w:r>
      <w:r>
        <w:rPr>
          <w:sz w:val="20"/>
          <w:szCs w:val="20"/>
        </w:rPr>
        <w:t xml:space="preserve"> (in millions):</w:t>
      </w:r>
    </w:p>
    <w:p w:rsidR="00000000" w:rsidRDefault="005F676C">
      <w:pPr>
        <w:pStyle w:val="a3"/>
        <w:spacing w:before="0" w:beforeAutospacing="0" w:after="0" w:afterAutospacing="0"/>
        <w:ind w:firstLine="360"/>
        <w:jc w:val="both"/>
        <w:rPr>
          <w:sz w:val="20"/>
          <w:szCs w:val="20"/>
        </w:rPr>
      </w:pPr>
      <w:r>
        <w:rPr>
          <w:sz w:val="20"/>
          <w:szCs w:val="20"/>
        </w:rPr>
        <w:t> </w:t>
      </w:r>
    </w:p>
    <w:tbl>
      <w:tblPr>
        <w:tblW w:w="4500" w:type="pct"/>
        <w:tblCellSpacing w:w="0" w:type="dxa"/>
        <w:tblInd w:w="5" w:type="dxa"/>
        <w:tblCellMar>
          <w:left w:w="0" w:type="dxa"/>
          <w:right w:w="0" w:type="dxa"/>
        </w:tblCellMar>
        <w:tblLook w:val="04A0" w:firstRow="1" w:lastRow="0" w:firstColumn="1" w:lastColumn="0" w:noHBand="0" w:noVBand="1"/>
      </w:tblPr>
      <w:tblGrid>
        <w:gridCol w:w="2982"/>
        <w:gridCol w:w="67"/>
        <w:gridCol w:w="100"/>
        <w:gridCol w:w="889"/>
        <w:gridCol w:w="67"/>
        <w:gridCol w:w="67"/>
        <w:gridCol w:w="100"/>
        <w:gridCol w:w="889"/>
        <w:gridCol w:w="67"/>
        <w:gridCol w:w="67"/>
        <w:gridCol w:w="100"/>
        <w:gridCol w:w="889"/>
        <w:gridCol w:w="67"/>
        <w:gridCol w:w="67"/>
        <w:gridCol w:w="100"/>
        <w:gridCol w:w="889"/>
        <w:gridCol w:w="68"/>
      </w:tblGrid>
      <w:tr w:rsidR="00000000">
        <w:trPr>
          <w:tblCellSpacing w:w="0" w:type="dxa"/>
        </w:trPr>
        <w:tc>
          <w:tcPr>
            <w:tcW w:w="20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80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Three </w:t>
            </w:r>
            <w:r>
              <w:rPr>
                <w:b/>
                <w:bCs/>
                <w:sz w:val="20"/>
                <w:szCs w:val="20"/>
              </w:rPr>
              <w:t xml:space="preserve">Months Ended </w:t>
            </w:r>
          </w:p>
          <w:p w:rsidR="00000000" w:rsidRDefault="005F676C">
            <w:pPr>
              <w:pStyle w:val="a3"/>
              <w:spacing w:before="0" w:beforeAutospacing="0" w:after="0" w:afterAutospacing="0"/>
              <w:jc w:val="center"/>
              <w:rPr>
                <w:sz w:val="20"/>
                <w:szCs w:val="20"/>
              </w:rPr>
            </w:pPr>
            <w:r>
              <w:rPr>
                <w:b/>
                <w:bCs/>
                <w:sz w:val="20"/>
                <w:szCs w:val="20"/>
              </w:rPr>
              <w:t>September 30,</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80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Nine Months Ended </w:t>
            </w:r>
          </w:p>
          <w:p w:rsidR="00000000" w:rsidRDefault="005F676C">
            <w:pPr>
              <w:pStyle w:val="a3"/>
              <w:spacing w:before="0" w:beforeAutospacing="0" w:after="0" w:afterAutospacing="0"/>
              <w:jc w:val="center"/>
              <w:rPr>
                <w:sz w:val="20"/>
                <w:szCs w:val="20"/>
              </w:rPr>
            </w:pPr>
            <w:r>
              <w:rPr>
                <w:b/>
                <w:bCs/>
                <w:sz w:val="20"/>
                <w:szCs w:val="20"/>
              </w:rPr>
              <w:t>September 30,</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tcBorders>
              <w:bottom w:val="single" w:sz="6" w:space="0" w:color="000000"/>
            </w:tcBorders>
            <w:vAlign w:val="bottom"/>
            <w:hideMark/>
          </w:tcPr>
          <w:p w:rsidR="00000000" w:rsidRDefault="005F676C">
            <w:pPr>
              <w:pStyle w:val="a3"/>
              <w:spacing w:before="0" w:beforeAutospacing="0" w:after="0" w:afterAutospacing="0"/>
              <w:rPr>
                <w:sz w:val="20"/>
                <w:szCs w:val="20"/>
              </w:rPr>
            </w:pPr>
            <w:r>
              <w:rPr>
                <w:b/>
                <w:bCs/>
                <w:sz w:val="20"/>
                <w:szCs w:val="20"/>
              </w:rPr>
              <w:t>Joint Venture</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sz w:val="20"/>
                <w:szCs w:val="20"/>
              </w:rPr>
              <w:t>Prudential Investment Program</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5.6</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40.6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26.9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Other Joint Venture Programs (1)</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2.2</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2.9</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13.4</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17.7</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16.5</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59.0</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52.5</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(1)</w:t>
            </w:r>
          </w:p>
        </w:tc>
        <w:tc>
          <w:tcPr>
            <w:tcW w:w="0" w:type="auto"/>
            <w:hideMark/>
          </w:tcPr>
          <w:p w:rsidR="00000000" w:rsidRDefault="005F676C">
            <w:pPr>
              <w:pStyle w:val="a3"/>
              <w:spacing w:before="0" w:beforeAutospacing="0" w:after="0" w:afterAutospacing="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2018, </w:t>
            </w:r>
            <w:r>
              <w:rPr>
                <w:sz w:val="20"/>
                <w:szCs w:val="20"/>
              </w:rPr>
              <w:t>a joint venture investment distributed cash proceeds resulting from the refinancing of an existing loan of which the Company’s share was $3.6 million. The distribution was in excess of the Company’s carrying basis in this joint venture investment and as su</w:t>
            </w:r>
            <w:r>
              <w:rPr>
                <w:sz w:val="20"/>
                <w:szCs w:val="20"/>
              </w:rPr>
              <w:t>ch the excess was recognized as income.</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jc w:val="center"/>
        <w:rPr>
          <w:rFonts w:eastAsia="Times New Roman"/>
          <w:sz w:val="20"/>
          <w:szCs w:val="20"/>
        </w:rPr>
      </w:pPr>
      <w:r>
        <w:rPr>
          <w:rFonts w:eastAsia="Times New Roman"/>
          <w:sz w:val="20"/>
          <w:szCs w:val="20"/>
        </w:rPr>
        <w:t xml:space="preserve">15 </w:t>
      </w:r>
    </w:p>
    <w:p w:rsidR="00000000" w:rsidRDefault="005F676C">
      <w:pPr>
        <w:rPr>
          <w:rFonts w:eastAsia="Times New Roman"/>
          <w:sz w:val="20"/>
          <w:szCs w:val="20"/>
        </w:rPr>
      </w:pPr>
      <w:r>
        <w:rPr>
          <w:rFonts w:eastAsia="Times New Roman"/>
          <w:sz w:val="20"/>
          <w:szCs w:val="20"/>
        </w:rPr>
        <w:pict>
          <v:rect id="_x0000_i1043" style="width:415.3pt;height:1.5pt" o:hralign="center" o:hrstd="t" o:hrnoshade="t" o:hr="t" fillcolor="black" stroked="f"/>
        </w:pict>
      </w:r>
    </w:p>
    <w:p w:rsidR="00000000" w:rsidRDefault="005F676C">
      <w:pPr>
        <w:rPr>
          <w:rFonts w:eastAsia="Times New Roman"/>
          <w:sz w:val="20"/>
          <w:szCs w:val="20"/>
        </w:rPr>
      </w:pPr>
      <w:hyperlink w:anchor="toc" w:history="1">
        <w:r>
          <w:rPr>
            <w:rStyle w:val="a4"/>
            <w:rFonts w:eastAsia="Times New Roman"/>
            <w:sz w:val="20"/>
            <w:szCs w:val="20"/>
          </w:rPr>
          <w:t>Table of Contents</w:t>
        </w:r>
      </w:hyperlink>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certain of the Company’s real e</w:t>
      </w:r>
      <w:r>
        <w:rPr>
          <w:sz w:val="20"/>
          <w:szCs w:val="20"/>
        </w:rPr>
        <w:t>state joint ventures disposed of</w:t>
      </w:r>
      <w:r>
        <w:rPr>
          <w:sz w:val="20"/>
          <w:szCs w:val="20"/>
        </w:rPr>
        <w:t xml:space="preserve"> </w:t>
      </w:r>
      <w:r>
        <w:rPr>
          <w:rStyle w:val="a6"/>
          <w:i w:val="0"/>
          <w:iCs w:val="0"/>
          <w:sz w:val="20"/>
          <w:szCs w:val="20"/>
        </w:rPr>
        <w:t>eight</w:t>
      </w:r>
      <w:r>
        <w:rPr>
          <w:sz w:val="20"/>
          <w:szCs w:val="20"/>
        </w:rPr>
        <w:t xml:space="preserve"> operating properties, in separate transactions, for an aggregate sales price of $240.9 million. These transactions resulted in an aggregate net gain to the Company of $13.7 million for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w:t>
      </w:r>
      <w:r>
        <w:rPr>
          <w:rStyle w:val="a6"/>
          <w:i w:val="0"/>
          <w:iCs w:val="0"/>
          <w:sz w:val="20"/>
          <w:szCs w:val="20"/>
        </w:rPr>
        <w:t>30, 2019.</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2018, </w:t>
      </w:r>
      <w:r>
        <w:rPr>
          <w:sz w:val="20"/>
          <w:szCs w:val="20"/>
        </w:rPr>
        <w:t>certain of the Company’s real estate joint ventures disposed of</w:t>
      </w:r>
      <w:r>
        <w:rPr>
          <w:sz w:val="20"/>
          <w:szCs w:val="20"/>
        </w:rPr>
        <w:t xml:space="preserve"> </w:t>
      </w:r>
      <w:r>
        <w:rPr>
          <w:rStyle w:val="a6"/>
          <w:i w:val="0"/>
          <w:iCs w:val="0"/>
          <w:sz w:val="20"/>
          <w:szCs w:val="20"/>
        </w:rPr>
        <w:t>five</w:t>
      </w:r>
      <w:r>
        <w:rPr>
          <w:sz w:val="20"/>
          <w:szCs w:val="20"/>
        </w:rPr>
        <w:t xml:space="preserve"> </w:t>
      </w:r>
      <w:r>
        <w:rPr>
          <w:sz w:val="20"/>
          <w:szCs w:val="20"/>
        </w:rPr>
        <w:t>operating properties, in separate transactions, for an aggregate sales price of $48.4 million. These transactions resulted in an aggregate net gain to the Company of $6.1 million for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September 30, 2018.</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table below presents debt</w:t>
      </w:r>
      <w:r>
        <w:rPr>
          <w:sz w:val="20"/>
          <w:szCs w:val="20"/>
        </w:rPr>
        <w:t xml:space="preserve"> balances within the Company’s unconsolidated joint venture investments for which the Company held noncontrolling ownership interests at</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December 31, 2018 (</w:t>
      </w:r>
      <w:r>
        <w:rPr>
          <w:sz w:val="20"/>
          <w:szCs w:val="20"/>
        </w:rPr>
        <w:t>dollars in millions):</w:t>
      </w:r>
    </w:p>
    <w:p w:rsidR="00000000" w:rsidRDefault="005F676C">
      <w:pPr>
        <w:pStyle w:val="a3"/>
        <w:spacing w:before="0" w:beforeAutospacing="0" w:after="0" w:afterAutospacing="0"/>
        <w:ind w:firstLine="81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798"/>
        <w:gridCol w:w="54"/>
        <w:gridCol w:w="101"/>
        <w:gridCol w:w="968"/>
        <w:gridCol w:w="54"/>
        <w:gridCol w:w="54"/>
        <w:gridCol w:w="83"/>
        <w:gridCol w:w="740"/>
        <w:gridCol w:w="167"/>
        <w:gridCol w:w="50"/>
        <w:gridCol w:w="94"/>
        <w:gridCol w:w="840"/>
        <w:gridCol w:w="50"/>
        <w:gridCol w:w="50"/>
        <w:gridCol w:w="101"/>
        <w:gridCol w:w="967"/>
        <w:gridCol w:w="55"/>
        <w:gridCol w:w="56"/>
        <w:gridCol w:w="83"/>
        <w:gridCol w:w="740"/>
        <w:gridCol w:w="167"/>
        <w:gridCol w:w="50"/>
        <w:gridCol w:w="94"/>
        <w:gridCol w:w="840"/>
        <w:gridCol w:w="50"/>
      </w:tblGrid>
      <w:tr w:rsidR="00000000">
        <w:trPr>
          <w:tblCellSpacing w:w="0" w:type="dxa"/>
        </w:trPr>
        <w:tc>
          <w:tcPr>
            <w:tcW w:w="1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1400" w:type="pct"/>
            <w:gridSpan w:val="10"/>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As of 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1400" w:type="pct"/>
            <w:gridSpan w:val="10"/>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As of December 31, 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100" w:type="pct"/>
            <w:tcBorders>
              <w:bottom w:val="single" w:sz="6" w:space="0" w:color="000000"/>
            </w:tcBorders>
            <w:vAlign w:val="bottom"/>
            <w:hideMark/>
          </w:tcPr>
          <w:p w:rsidR="00000000" w:rsidRDefault="005F676C">
            <w:pPr>
              <w:pStyle w:val="a3"/>
              <w:spacing w:before="0" w:beforeAutospacing="0" w:after="0" w:afterAutospacing="0"/>
              <w:rPr>
                <w:sz w:val="20"/>
                <w:szCs w:val="20"/>
              </w:rPr>
            </w:pPr>
            <w:r>
              <w:rPr>
                <w:b/>
                <w:bCs/>
                <w:sz w:val="20"/>
                <w:szCs w:val="20"/>
              </w:rPr>
              <w:t>Joint Venture</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Mortgages and</w:t>
            </w:r>
          </w:p>
          <w:p w:rsidR="00000000" w:rsidRDefault="005F676C">
            <w:pPr>
              <w:pStyle w:val="a3"/>
              <w:spacing w:before="0" w:beforeAutospacing="0" w:after="0" w:afterAutospacing="0"/>
              <w:jc w:val="center"/>
              <w:rPr>
                <w:sz w:val="20"/>
                <w:szCs w:val="20"/>
              </w:rPr>
            </w:pPr>
            <w:r>
              <w:rPr>
                <w:b/>
                <w:bCs/>
                <w:sz w:val="20"/>
                <w:szCs w:val="20"/>
              </w:rPr>
              <w:t>Notes Payable, Net</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Weighted</w:t>
            </w:r>
          </w:p>
          <w:p w:rsidR="00000000" w:rsidRDefault="005F676C">
            <w:pPr>
              <w:pStyle w:val="a3"/>
              <w:spacing w:before="0" w:beforeAutospacing="0" w:after="0" w:afterAutospacing="0"/>
              <w:jc w:val="center"/>
              <w:rPr>
                <w:sz w:val="20"/>
                <w:szCs w:val="20"/>
              </w:rPr>
            </w:pPr>
            <w:r>
              <w:rPr>
                <w:b/>
                <w:bCs/>
                <w:sz w:val="20"/>
                <w:szCs w:val="20"/>
              </w:rPr>
              <w:t>Average</w:t>
            </w:r>
          </w:p>
          <w:p w:rsidR="00000000" w:rsidRDefault="005F676C">
            <w:pPr>
              <w:pStyle w:val="a3"/>
              <w:spacing w:before="0" w:beforeAutospacing="0" w:after="0" w:afterAutospacing="0"/>
              <w:jc w:val="center"/>
              <w:rPr>
                <w:sz w:val="20"/>
                <w:szCs w:val="20"/>
              </w:rPr>
            </w:pPr>
            <w:r>
              <w:rPr>
                <w:b/>
                <w:bCs/>
                <w:sz w:val="20"/>
                <w:szCs w:val="20"/>
              </w:rPr>
              <w:t>Interest Rate</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Weighted</w:t>
            </w:r>
          </w:p>
          <w:p w:rsidR="00000000" w:rsidRDefault="005F676C">
            <w:pPr>
              <w:pStyle w:val="a3"/>
              <w:spacing w:before="0" w:beforeAutospacing="0" w:after="0" w:afterAutospacing="0"/>
              <w:jc w:val="center"/>
              <w:rPr>
                <w:sz w:val="20"/>
                <w:szCs w:val="20"/>
              </w:rPr>
            </w:pPr>
            <w:r>
              <w:rPr>
                <w:b/>
                <w:bCs/>
                <w:sz w:val="20"/>
                <w:szCs w:val="20"/>
              </w:rPr>
              <w:t>Average</w:t>
            </w:r>
          </w:p>
          <w:p w:rsidR="00000000" w:rsidRDefault="005F676C">
            <w:pPr>
              <w:pStyle w:val="a3"/>
              <w:spacing w:before="0" w:beforeAutospacing="0" w:after="0" w:afterAutospacing="0"/>
              <w:jc w:val="center"/>
              <w:rPr>
                <w:sz w:val="20"/>
                <w:szCs w:val="20"/>
              </w:rPr>
            </w:pPr>
            <w:r>
              <w:rPr>
                <w:b/>
                <w:bCs/>
                <w:sz w:val="20"/>
                <w:szCs w:val="20"/>
              </w:rPr>
              <w:t>Remaining</w:t>
            </w:r>
          </w:p>
          <w:p w:rsidR="00000000" w:rsidRDefault="005F676C">
            <w:pPr>
              <w:pStyle w:val="a3"/>
              <w:spacing w:before="0" w:beforeAutospacing="0" w:after="0" w:afterAutospacing="0"/>
              <w:jc w:val="center"/>
              <w:rPr>
                <w:sz w:val="20"/>
                <w:szCs w:val="20"/>
              </w:rPr>
            </w:pPr>
            <w:r>
              <w:rPr>
                <w:b/>
                <w:bCs/>
                <w:sz w:val="20"/>
                <w:szCs w:val="20"/>
              </w:rPr>
              <w:t>Term (months)*</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Mortgages and</w:t>
            </w:r>
          </w:p>
          <w:p w:rsidR="00000000" w:rsidRDefault="005F676C">
            <w:pPr>
              <w:pStyle w:val="a3"/>
              <w:spacing w:before="0" w:beforeAutospacing="0" w:after="0" w:afterAutospacing="0"/>
              <w:jc w:val="center"/>
              <w:rPr>
                <w:sz w:val="20"/>
                <w:szCs w:val="20"/>
              </w:rPr>
            </w:pPr>
            <w:r>
              <w:rPr>
                <w:b/>
                <w:bCs/>
                <w:sz w:val="20"/>
                <w:szCs w:val="20"/>
              </w:rPr>
              <w:t>Notes Payable, Net</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Weighted</w:t>
            </w:r>
          </w:p>
          <w:p w:rsidR="00000000" w:rsidRDefault="005F676C">
            <w:pPr>
              <w:pStyle w:val="a3"/>
              <w:spacing w:before="0" w:beforeAutospacing="0" w:after="0" w:afterAutospacing="0"/>
              <w:jc w:val="center"/>
              <w:rPr>
                <w:sz w:val="20"/>
                <w:szCs w:val="20"/>
              </w:rPr>
            </w:pPr>
            <w:r>
              <w:rPr>
                <w:b/>
                <w:bCs/>
                <w:sz w:val="20"/>
                <w:szCs w:val="20"/>
              </w:rPr>
              <w:t>Average</w:t>
            </w:r>
          </w:p>
          <w:p w:rsidR="00000000" w:rsidRDefault="005F676C">
            <w:pPr>
              <w:pStyle w:val="a3"/>
              <w:spacing w:before="0" w:beforeAutospacing="0" w:after="0" w:afterAutospacing="0"/>
              <w:jc w:val="center"/>
              <w:rPr>
                <w:sz w:val="20"/>
                <w:szCs w:val="20"/>
              </w:rPr>
            </w:pPr>
            <w:r>
              <w:rPr>
                <w:b/>
                <w:bCs/>
                <w:sz w:val="20"/>
                <w:szCs w:val="20"/>
              </w:rPr>
              <w:t>Interest Rate</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Weighted</w:t>
            </w:r>
          </w:p>
          <w:p w:rsidR="00000000" w:rsidRDefault="005F676C">
            <w:pPr>
              <w:pStyle w:val="a3"/>
              <w:spacing w:before="0" w:beforeAutospacing="0" w:after="0" w:afterAutospacing="0"/>
              <w:jc w:val="center"/>
              <w:rPr>
                <w:sz w:val="20"/>
                <w:szCs w:val="20"/>
              </w:rPr>
            </w:pPr>
            <w:r>
              <w:rPr>
                <w:b/>
                <w:bCs/>
                <w:sz w:val="20"/>
                <w:szCs w:val="20"/>
              </w:rPr>
              <w:t>Average</w:t>
            </w:r>
          </w:p>
          <w:p w:rsidR="00000000" w:rsidRDefault="005F676C">
            <w:pPr>
              <w:pStyle w:val="a3"/>
              <w:spacing w:before="0" w:beforeAutospacing="0" w:after="0" w:afterAutospacing="0"/>
              <w:jc w:val="center"/>
              <w:rPr>
                <w:sz w:val="20"/>
                <w:szCs w:val="20"/>
              </w:rPr>
            </w:pPr>
            <w:r>
              <w:rPr>
                <w:b/>
                <w:bCs/>
                <w:sz w:val="20"/>
                <w:szCs w:val="20"/>
              </w:rPr>
              <w:t>Remaining</w:t>
            </w:r>
          </w:p>
          <w:p w:rsidR="00000000" w:rsidRDefault="005F676C">
            <w:pPr>
              <w:pStyle w:val="a3"/>
              <w:spacing w:before="0" w:beforeAutospacing="0" w:after="0" w:afterAutospacing="0"/>
              <w:jc w:val="center"/>
              <w:rPr>
                <w:sz w:val="20"/>
                <w:szCs w:val="20"/>
              </w:rPr>
            </w:pPr>
            <w:r>
              <w:rPr>
                <w:b/>
                <w:bCs/>
                <w:sz w:val="20"/>
                <w:szCs w:val="20"/>
              </w:rPr>
              <w:t>Term (months)*</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10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sz w:val="20"/>
                <w:szCs w:val="20"/>
              </w:rPr>
              <w:t>Prudential Investment Program</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539.3</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3.64</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49.8</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572.6</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4.29</w:t>
            </w:r>
          </w:p>
        </w:tc>
        <w:tc>
          <w:tcPr>
            <w:tcW w:w="5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49.0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1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KIR</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568.8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4.46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30.9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651.4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4.43</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40.4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1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CPP</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84.7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3.25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84.4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3.85</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54.0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1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Other Joint Venture Programs</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420.4</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3.93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83.3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474.2</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4.26</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78.6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100" w:type="pct"/>
            <w:shd w:val="clear" w:color="auto" w:fill="CCEEFF"/>
            <w:vAlign w:val="bottom"/>
            <w:hideMark/>
          </w:tcPr>
          <w:p w:rsidR="00000000" w:rsidRDefault="005F676C">
            <w:pPr>
              <w:pStyle w:val="a3"/>
              <w:spacing w:before="0" w:beforeAutospacing="0" w:after="0" w:afterAutospacing="0"/>
              <w:rPr>
                <w:sz w:val="20"/>
                <w:szCs w:val="20"/>
              </w:rPr>
            </w:pPr>
            <w:r>
              <w:rPr>
                <w:b/>
                <w:bCs/>
                <w:sz w:val="20"/>
                <w:szCs w:val="20"/>
              </w:rPr>
              <w:t>Total</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1,613.2</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1,782.6</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Style w:val="a6"/>
                <w:rFonts w:eastAsia="Times New Roman"/>
                <w:b/>
                <w:bCs/>
                <w:i w:val="0"/>
                <w:iCs w:val="0"/>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 Includes extension options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divId w:val="1069577064"/>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jc w:val="both"/>
        <w:rPr>
          <w:sz w:val="20"/>
          <w:szCs w:val="20"/>
        </w:rPr>
      </w:pPr>
      <w:r>
        <w:rPr>
          <w:rStyle w:val="a6"/>
          <w:i w:val="0"/>
          <w:iCs w:val="0"/>
          <w:sz w:val="20"/>
          <w:szCs w:val="20"/>
        </w:rPr>
        <w:t>6.</w:t>
      </w:r>
      <w:r>
        <w:rPr>
          <w:sz w:val="20"/>
          <w:szCs w:val="20"/>
        </w:rPr>
        <w:t xml:space="preserve"> </w:t>
      </w:r>
      <w:r>
        <w:rPr>
          <w:sz w:val="20"/>
          <w:szCs w:val="20"/>
          <w:u w:val="single"/>
        </w:rPr>
        <w:t>Other Real Estate Investments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has provided capital to owners and developers of real estate properties through its Preferred Equity Program. The Company’s maximum exposure to losses associated with its preferred equity investments is primarily</w:t>
      </w:r>
      <w:r>
        <w:rPr>
          <w:sz w:val="20"/>
          <w:szCs w:val="20"/>
        </w:rPr>
        <w:t xml:space="preserve"> limited to its net investment. As of</w:t>
      </w:r>
      <w:r>
        <w:rPr>
          <w:sz w:val="20"/>
          <w:szCs w:val="20"/>
        </w:rPr>
        <w:t xml:space="preserve"> </w:t>
      </w:r>
      <w:r>
        <w:rPr>
          <w:rStyle w:val="a6"/>
          <w:i w:val="0"/>
          <w:iCs w:val="0"/>
          <w:sz w:val="20"/>
          <w:szCs w:val="20"/>
        </w:rPr>
        <w:t xml:space="preserve">September 30, 2019, </w:t>
      </w:r>
      <w:r>
        <w:rPr>
          <w:sz w:val="20"/>
          <w:szCs w:val="20"/>
        </w:rPr>
        <w:t>the Company’s net investment under the Preferred Equity Program was $176.0 million relating to 243 properties, including 232 net leased properties.  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the Company recognized income of $22.6 million from its preferred equity investments, including profit participation of $9.8 million. 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2018, </w:t>
      </w:r>
      <w:r>
        <w:rPr>
          <w:sz w:val="20"/>
          <w:szCs w:val="20"/>
        </w:rPr>
        <w:t xml:space="preserve">the Company recognized income of $24.4 million from its preferred equity </w:t>
      </w:r>
      <w:r>
        <w:rPr>
          <w:sz w:val="20"/>
          <w:szCs w:val="20"/>
        </w:rPr>
        <w:t>investments, including profit participation of $10.5 million. These amounts are included in Equity in income of other real estate investments, net on the Company’s Condensed Consolidated Statements of Income.</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divId w:val="67770279"/>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jc w:val="both"/>
        <w:rPr>
          <w:sz w:val="20"/>
          <w:szCs w:val="20"/>
        </w:rPr>
      </w:pPr>
      <w:r>
        <w:rPr>
          <w:rStyle w:val="a6"/>
          <w:i w:val="0"/>
          <w:iCs w:val="0"/>
          <w:sz w:val="20"/>
          <w:szCs w:val="20"/>
        </w:rPr>
        <w:t>7.</w:t>
      </w:r>
      <w:r>
        <w:rPr>
          <w:sz w:val="20"/>
          <w:szCs w:val="20"/>
        </w:rPr>
        <w:t xml:space="preserve"> </w:t>
      </w:r>
      <w:r>
        <w:rPr>
          <w:sz w:val="20"/>
          <w:szCs w:val="20"/>
          <w:u w:val="single"/>
        </w:rPr>
        <w:t>Leases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adopted Topic</w:t>
      </w:r>
      <w:r>
        <w:rPr>
          <w:sz w:val="20"/>
          <w:szCs w:val="20"/>
        </w:rPr>
        <w:t xml:space="preserve"> </w:t>
      </w:r>
      <w:r>
        <w:rPr>
          <w:rStyle w:val="a6"/>
          <w:i w:val="0"/>
          <w:iCs w:val="0"/>
          <w:sz w:val="20"/>
          <w:szCs w:val="20"/>
        </w:rPr>
        <w:t>842,</w:t>
      </w:r>
      <w:r>
        <w:rPr>
          <w:sz w:val="20"/>
          <w:szCs w:val="20"/>
        </w:rPr>
        <w:t xml:space="preserve"> on</w:t>
      </w:r>
      <w:r>
        <w:rPr>
          <w:sz w:val="20"/>
          <w:szCs w:val="20"/>
        </w:rPr>
        <w:t xml:space="preserve"> </w:t>
      </w:r>
      <w:r>
        <w:rPr>
          <w:rStyle w:val="a6"/>
          <w:i w:val="0"/>
          <w:iCs w:val="0"/>
          <w:sz w:val="20"/>
          <w:szCs w:val="20"/>
        </w:rPr>
        <w:t xml:space="preserve">January 1, 2019, </w:t>
      </w:r>
      <w:r>
        <w:rPr>
          <w:sz w:val="20"/>
          <w:szCs w:val="20"/>
        </w:rPr>
        <w:t>and as a result, recorded a ROU asset of $106.0 million and a corresponding lease liability of $98.7 million (see Footnote 2 to the Notes to the Company’s Condensed Consolidated Financial Statements for further discussion on the adopti</w:t>
      </w:r>
      <w:r>
        <w:rPr>
          <w:sz w:val="20"/>
          <w:szCs w:val="20"/>
        </w:rPr>
        <w:t>on of Topic</w:t>
      </w:r>
      <w:r>
        <w:rPr>
          <w:sz w:val="20"/>
          <w:szCs w:val="20"/>
        </w:rPr>
        <w:t xml:space="preserve"> </w:t>
      </w:r>
      <w:r>
        <w:rPr>
          <w:rStyle w:val="a6"/>
          <w:i w:val="0"/>
          <w:iCs w:val="0"/>
          <w:sz w:val="20"/>
          <w:szCs w:val="20"/>
        </w:rPr>
        <w:t>842</w:t>
      </w:r>
      <w:r>
        <w:rPr>
          <w:sz w:val="20"/>
          <w:szCs w:val="20"/>
        </w:rPr>
        <w:t>). As the lessee, the Company currently leases real estate space under noncancelable operating lease agreements for ground leases and administrative office leases. The Company’s leases have remaining lease terms ranging from less than</w:t>
      </w:r>
      <w:r>
        <w:rPr>
          <w:sz w:val="20"/>
          <w:szCs w:val="20"/>
        </w:rPr>
        <w:t xml:space="preserve"> </w:t>
      </w:r>
      <w:r>
        <w:rPr>
          <w:rStyle w:val="a6"/>
          <w:i w:val="0"/>
          <w:iCs w:val="0"/>
          <w:sz w:val="20"/>
          <w:szCs w:val="20"/>
        </w:rPr>
        <w:t>one</w:t>
      </w:r>
      <w:r>
        <w:rPr>
          <w:sz w:val="20"/>
          <w:szCs w:val="20"/>
        </w:rPr>
        <w:t xml:space="preserve"> ye</w:t>
      </w:r>
      <w:r>
        <w:rPr>
          <w:sz w:val="20"/>
          <w:szCs w:val="20"/>
        </w:rPr>
        <w:t>ar to 52 years, some of which include options to extend the terms for up to an additional 75 years. The Company does</w:t>
      </w:r>
      <w:r>
        <w:rPr>
          <w:sz w:val="20"/>
          <w:szCs w:val="20"/>
        </w:rPr>
        <w:t xml:space="preserve"> </w:t>
      </w:r>
      <w:r>
        <w:rPr>
          <w:rStyle w:val="a6"/>
          <w:i w:val="0"/>
          <w:iCs w:val="0"/>
          <w:sz w:val="20"/>
          <w:szCs w:val="20"/>
        </w:rPr>
        <w:t>not</w:t>
      </w:r>
      <w:r>
        <w:rPr>
          <w:sz w:val="20"/>
          <w:szCs w:val="20"/>
        </w:rPr>
        <w:t xml:space="preserve"> include any of its renewal options in its lease terms for calculating its lease liability as the renewal options allow the Company to m</w:t>
      </w:r>
      <w:r>
        <w:rPr>
          <w:sz w:val="20"/>
          <w:szCs w:val="20"/>
        </w:rPr>
        <w:t>aintain operational flexibility, and the Company is</w:t>
      </w:r>
      <w:r>
        <w:rPr>
          <w:sz w:val="20"/>
          <w:szCs w:val="20"/>
        </w:rPr>
        <w:t xml:space="preserve"> </w:t>
      </w:r>
      <w:r>
        <w:rPr>
          <w:rStyle w:val="a6"/>
          <w:i w:val="0"/>
          <w:iCs w:val="0"/>
          <w:sz w:val="20"/>
          <w:szCs w:val="20"/>
        </w:rPr>
        <w:t>not</w:t>
      </w:r>
      <w:r>
        <w:rPr>
          <w:sz w:val="20"/>
          <w:szCs w:val="20"/>
        </w:rPr>
        <w:t xml:space="preserve"> reasonably certain it will exercise these renewal options at this time. The weighted-average remaining non-cancelable lease term for the Company’s operating leases was 21.5 years at</w:t>
      </w:r>
      <w:r>
        <w:rPr>
          <w:sz w:val="20"/>
          <w:szCs w:val="20"/>
        </w:rPr>
        <w:t xml:space="preserve"> </w:t>
      </w:r>
      <w:r>
        <w:rPr>
          <w:rStyle w:val="a6"/>
          <w:i w:val="0"/>
          <w:iCs w:val="0"/>
          <w:sz w:val="20"/>
          <w:szCs w:val="20"/>
        </w:rPr>
        <w:t>September 30, 2019</w:t>
      </w:r>
      <w:r>
        <w:rPr>
          <w:rStyle w:val="a6"/>
          <w:i w:val="0"/>
          <w:iCs w:val="0"/>
          <w:sz w:val="20"/>
          <w:szCs w:val="20"/>
        </w:rPr>
        <w:t xml:space="preserve">. </w:t>
      </w:r>
      <w:r>
        <w:rPr>
          <w:sz w:val="20"/>
          <w:szCs w:val="20"/>
        </w:rPr>
        <w:t>The weighted-average discount rate was 6.63% at</w:t>
      </w:r>
      <w:r>
        <w:rPr>
          <w:sz w:val="20"/>
          <w:szCs w:val="20"/>
        </w:rPr>
        <w:t xml:space="preserve"> </w:t>
      </w:r>
      <w:r>
        <w:rPr>
          <w:rStyle w:val="a6"/>
          <w:i w:val="0"/>
          <w:iCs w:val="0"/>
          <w:sz w:val="20"/>
          <w:szCs w:val="20"/>
        </w:rPr>
        <w:t xml:space="preserve">September 30, 2019. </w:t>
      </w:r>
      <w:r>
        <w:rPr>
          <w:sz w:val="20"/>
          <w:szCs w:val="20"/>
        </w:rPr>
        <w:t>The Company’s operating lease liabilities are determined based on the estimated present value of the Company’s minimum lease payments under its lease agreements. The discount rate used t</w:t>
      </w:r>
      <w:r>
        <w:rPr>
          <w:sz w:val="20"/>
          <w:szCs w:val="20"/>
        </w:rPr>
        <w:t>o determine the lease liabilities is based on the estimated incremental borrowing rate on a lease by lease basis. When calculating the incremental borrowing rates, the Company utilized data from (i) its recent debt issuances, (ii) publicly available data f</w:t>
      </w:r>
      <w:r>
        <w:rPr>
          <w:sz w:val="20"/>
          <w:szCs w:val="20"/>
        </w:rPr>
        <w:t>or instruments with similar characteristics, (iii) observable mortgage rates and (iv) unlevered property yields and discount rates. The Company then applied adjustments to account for considerations related to term and security that</w:t>
      </w:r>
      <w:r>
        <w:rPr>
          <w:sz w:val="20"/>
          <w:szCs w:val="20"/>
        </w:rPr>
        <w:t xml:space="preserve"> </w:t>
      </w:r>
      <w:r>
        <w:rPr>
          <w:rStyle w:val="a6"/>
          <w:i w:val="0"/>
          <w:iCs w:val="0"/>
          <w:sz w:val="20"/>
          <w:szCs w:val="20"/>
        </w:rPr>
        <w:t>may</w:t>
      </w:r>
      <w:r>
        <w:rPr>
          <w:rStyle w:val="a6"/>
          <w:i w:val="0"/>
          <w:iCs w:val="0"/>
          <w:sz w:val="20"/>
          <w:szCs w:val="20"/>
        </w:rPr>
        <w:t xml:space="preserve"> </w:t>
      </w:r>
      <w:r>
        <w:rPr>
          <w:rStyle w:val="a6"/>
          <w:i w:val="0"/>
          <w:iCs w:val="0"/>
          <w:sz w:val="20"/>
          <w:szCs w:val="20"/>
        </w:rPr>
        <w:t>not</w:t>
      </w:r>
      <w:r>
        <w:rPr>
          <w:sz w:val="20"/>
          <w:szCs w:val="20"/>
        </w:rPr>
        <w:t xml:space="preserve"> be fully incorp</w:t>
      </w:r>
      <w:r>
        <w:rPr>
          <w:sz w:val="20"/>
          <w:szCs w:val="20"/>
        </w:rPr>
        <w:t>orated by the data sets.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components of the Company’s lease expense, which are included in rent expense and general and administrative expense on the Company’s Condensed Consolidated Statements of Income, were as follows (in thousands):</w:t>
      </w:r>
    </w:p>
    <w:p w:rsidR="00000000" w:rsidRDefault="005F676C">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5373"/>
        <w:gridCol w:w="58"/>
        <w:gridCol w:w="101"/>
        <w:gridCol w:w="1055"/>
        <w:gridCol w:w="58"/>
      </w:tblGrid>
      <w:tr w:rsidR="00000000">
        <w:trPr>
          <w:tblCellSpacing w:w="0" w:type="dxa"/>
        </w:trPr>
        <w:tc>
          <w:tcPr>
            <w:tcW w:w="40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Nine Mon</w:t>
            </w:r>
            <w:r>
              <w:rPr>
                <w:b/>
                <w:bCs/>
                <w:sz w:val="20"/>
                <w:szCs w:val="20"/>
              </w:rPr>
              <w:t>ths Ended</w:t>
            </w:r>
          </w:p>
          <w:p w:rsidR="00000000" w:rsidRDefault="005F676C">
            <w:pPr>
              <w:pStyle w:val="a3"/>
              <w:spacing w:before="0" w:beforeAutospacing="0" w:after="0" w:afterAutospacing="0"/>
              <w:jc w:val="center"/>
              <w:rPr>
                <w:sz w:val="20"/>
                <w:szCs w:val="20"/>
              </w:rPr>
            </w:pPr>
            <w:r>
              <w:rPr>
                <w:b/>
                <w:bCs/>
                <w:sz w:val="20"/>
                <w:szCs w:val="20"/>
              </w:rPr>
              <w:t>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40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Lease cost: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both"/>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4050" w:type="pct"/>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Operating lease cost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9,592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4050" w:type="pct"/>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Variable lease cost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1,408</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405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Total lease cost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11,000</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jc w:val="center"/>
        <w:rPr>
          <w:rFonts w:eastAsia="Times New Roman"/>
          <w:sz w:val="20"/>
          <w:szCs w:val="20"/>
        </w:rPr>
      </w:pPr>
      <w:r>
        <w:rPr>
          <w:rFonts w:eastAsia="Times New Roman"/>
          <w:sz w:val="20"/>
          <w:szCs w:val="20"/>
        </w:rPr>
        <w:t xml:space="preserve">16 </w:t>
      </w:r>
    </w:p>
    <w:p w:rsidR="00000000" w:rsidRDefault="005F676C">
      <w:pPr>
        <w:rPr>
          <w:rFonts w:eastAsia="Times New Roman"/>
          <w:sz w:val="20"/>
          <w:szCs w:val="20"/>
        </w:rPr>
      </w:pPr>
      <w:r>
        <w:rPr>
          <w:rFonts w:eastAsia="Times New Roman"/>
          <w:sz w:val="20"/>
          <w:szCs w:val="20"/>
        </w:rPr>
        <w:pict>
          <v:rect id="_x0000_i1044" style="width:415.3pt;height:1.5pt" o:hralign="center" o:hrstd="t" o:hrnoshade="t" o:hr="t" fillcolor="black" stroked="f"/>
        </w:pict>
      </w:r>
    </w:p>
    <w:p w:rsidR="00000000" w:rsidRDefault="005F676C">
      <w:pPr>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future minimum lease payments to be paid under noncancelable operating leases in effect at</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 xml:space="preserve">December 31, 2018, </w:t>
      </w:r>
      <w:r>
        <w:rPr>
          <w:sz w:val="20"/>
          <w:szCs w:val="20"/>
        </w:rPr>
        <w:t>are as follows (in thousands):</w:t>
      </w:r>
    </w:p>
    <w:p w:rsidR="00000000" w:rsidRDefault="005F676C">
      <w:pPr>
        <w:pStyle w:val="a3"/>
        <w:spacing w:before="0" w:beforeAutospacing="0" w:after="0" w:afterAutospacing="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945"/>
        <w:gridCol w:w="62"/>
        <w:gridCol w:w="101"/>
        <w:gridCol w:w="1332"/>
        <w:gridCol w:w="67"/>
        <w:gridCol w:w="57"/>
        <w:gridCol w:w="101"/>
        <w:gridCol w:w="1332"/>
        <w:gridCol w:w="63"/>
      </w:tblGrid>
      <w:tr w:rsidR="00000000">
        <w:trPr>
          <w:tblCellSpacing w:w="0" w:type="dxa"/>
        </w:trPr>
        <w:tc>
          <w:tcPr>
            <w:tcW w:w="28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Year Ending December 31,</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As of </w:t>
            </w:r>
            <w:r>
              <w:rPr>
                <w:b/>
                <w:bCs/>
                <w:sz w:val="20"/>
                <w:szCs w:val="20"/>
              </w:rPr>
              <w:t>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As of December 31, 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sz w:val="20"/>
                <w:szCs w:val="20"/>
              </w:rPr>
              <w:t>2019</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9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3,091</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9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12,206</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2020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10,375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9,901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2021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9,858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9,716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2022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9,237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9,236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2023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9,250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8,936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Thereafter</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136,608</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115,788</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Total minimum lease payments</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9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178,419</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9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165,783</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Less imputed interest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(86,798</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Total operating lease liabilities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9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91,621</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future minimum revenues from rental properties under the terms of all noncancelable tenant operating leases in effect, assuming</w:t>
      </w:r>
      <w:r>
        <w:rPr>
          <w:sz w:val="20"/>
          <w:szCs w:val="20"/>
        </w:rPr>
        <w:t xml:space="preserve"> </w:t>
      </w:r>
      <w:r>
        <w:rPr>
          <w:rStyle w:val="a6"/>
          <w:i w:val="0"/>
          <w:iCs w:val="0"/>
          <w:sz w:val="20"/>
          <w:szCs w:val="20"/>
        </w:rPr>
        <w:t>no</w:t>
      </w:r>
      <w:r>
        <w:rPr>
          <w:sz w:val="20"/>
          <w:szCs w:val="20"/>
        </w:rPr>
        <w:t xml:space="preserve"> new or renegotiated leases are executed for such premises, at</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 xml:space="preserve">December 31, 2018, </w:t>
      </w:r>
      <w:r>
        <w:rPr>
          <w:sz w:val="20"/>
          <w:szCs w:val="20"/>
        </w:rPr>
        <w:t>are as follows (i</w:t>
      </w:r>
      <w:r>
        <w:rPr>
          <w:sz w:val="20"/>
          <w:szCs w:val="20"/>
        </w:rPr>
        <w:t>n thousands):</w:t>
      </w:r>
    </w:p>
    <w:p w:rsidR="00000000" w:rsidRDefault="005F676C">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3945"/>
        <w:gridCol w:w="62"/>
        <w:gridCol w:w="101"/>
        <w:gridCol w:w="1332"/>
        <w:gridCol w:w="62"/>
        <w:gridCol w:w="62"/>
        <w:gridCol w:w="100"/>
        <w:gridCol w:w="1333"/>
        <w:gridCol w:w="63"/>
      </w:tblGrid>
      <w:tr w:rsidR="00000000">
        <w:trPr>
          <w:tblCellSpacing w:w="0" w:type="dxa"/>
        </w:trPr>
        <w:tc>
          <w:tcPr>
            <w:tcW w:w="28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Year Ending December 31,</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As of 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As of December 31, 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sz w:val="20"/>
                <w:szCs w:val="20"/>
              </w:rPr>
              <w:t>2019</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9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210,376</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9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816,409</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2020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826,361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769,074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2021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762,245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690,678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2022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666,605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594,638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2023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566,171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492,631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Thereafter</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2,927,901</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2,540,231</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8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Total minimum revenues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9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5,959,659</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9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5,903,661</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divId w:val="1256745399"/>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xml:space="preserve">8. </w:t>
      </w:r>
      <w:r>
        <w:rPr>
          <w:sz w:val="20"/>
          <w:szCs w:val="20"/>
          <w:u w:val="single"/>
        </w:rPr>
        <w:t>Other Assets</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i/>
          <w:iCs/>
          <w:sz w:val="20"/>
          <w:szCs w:val="20"/>
        </w:rPr>
        <w:t>Mortgages and Other Financing Receivables -</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the Company received full payment relating to the following mortgages receivable (dollars in millions):</w:t>
      </w:r>
    </w:p>
    <w:p w:rsidR="00000000" w:rsidRDefault="005F676C">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1983"/>
        <w:gridCol w:w="50"/>
        <w:gridCol w:w="101"/>
        <w:gridCol w:w="1045"/>
        <w:gridCol w:w="50"/>
        <w:gridCol w:w="50"/>
        <w:gridCol w:w="51"/>
        <w:gridCol w:w="1044"/>
        <w:gridCol w:w="167"/>
        <w:gridCol w:w="2104"/>
      </w:tblGrid>
      <w:tr w:rsidR="00000000">
        <w:trPr>
          <w:tblCellSpacing w:w="0" w:type="dxa"/>
        </w:trPr>
        <w:tc>
          <w:tcPr>
            <w:tcW w:w="1505"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Date Paid</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Amount Received</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Interest Rate</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1595"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Maturity Date</w:t>
            </w:r>
          </w:p>
        </w:tc>
      </w:tr>
      <w:tr w:rsidR="00000000">
        <w:trPr>
          <w:tblCellSpacing w:w="0" w:type="dxa"/>
        </w:trPr>
        <w:tc>
          <w:tcPr>
            <w:tcW w:w="0" w:type="auto"/>
            <w:tcBorders>
              <w:bottom w:val="nil"/>
            </w:tcBorders>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May-19</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6.00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0" w:type="auto"/>
            <w:tcBorders>
              <w:bottom w:val="nil"/>
            </w:tcBorders>
            <w:shd w:val="clear" w:color="auto" w:fill="CCEEFF"/>
            <w:vAlign w:val="bottom"/>
            <w:hideMark/>
          </w:tcPr>
          <w:p w:rsidR="00000000" w:rsidRDefault="005F676C">
            <w:pPr>
              <w:pStyle w:val="a3"/>
              <w:spacing w:before="0" w:beforeAutospacing="0" w:after="0" w:afterAutospacing="0"/>
              <w:jc w:val="center"/>
              <w:rPr>
                <w:sz w:val="20"/>
                <w:szCs w:val="20"/>
              </w:rPr>
            </w:pPr>
            <w:r>
              <w:rPr>
                <w:rStyle w:val="a6"/>
                <w:i w:val="0"/>
                <w:iCs w:val="0"/>
                <w:sz w:val="20"/>
                <w:szCs w:val="20"/>
              </w:rPr>
              <w:t>Dec-24</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Jun-19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7.57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F676C">
            <w:pPr>
              <w:pStyle w:val="a3"/>
              <w:spacing w:before="0" w:beforeAutospacing="0" w:after="0" w:afterAutospacing="0"/>
              <w:jc w:val="center"/>
              <w:rPr>
                <w:sz w:val="20"/>
                <w:szCs w:val="20"/>
              </w:rPr>
            </w:pPr>
            <w:r>
              <w:rPr>
                <w:rStyle w:val="a6"/>
                <w:i w:val="0"/>
                <w:iCs w:val="0"/>
                <w:sz w:val="20"/>
                <w:szCs w:val="20"/>
              </w:rPr>
              <w:t>Jun-19</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Jun-19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7.57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F676C">
            <w:pPr>
              <w:pStyle w:val="a3"/>
              <w:spacing w:before="0" w:beforeAutospacing="0" w:after="0" w:afterAutospacing="0"/>
              <w:jc w:val="center"/>
              <w:rPr>
                <w:sz w:val="20"/>
                <w:szCs w:val="20"/>
              </w:rPr>
            </w:pPr>
            <w:r>
              <w:rPr>
                <w:rStyle w:val="a6"/>
                <w:i w:val="0"/>
                <w:iCs w:val="0"/>
                <w:sz w:val="20"/>
                <w:szCs w:val="20"/>
              </w:rPr>
              <w:t>Jun-19</w:t>
            </w:r>
          </w:p>
        </w:tc>
      </w:tr>
    </w:tbl>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has various mortgages and other financing receivables which consist of loans acquired and loans originated by the Company. The Company reviews payment status to identify performing versus non-performing loans. As of</w:t>
      </w:r>
      <w:r>
        <w:rPr>
          <w:sz w:val="20"/>
          <w:szCs w:val="20"/>
        </w:rPr>
        <w:t xml:space="preserve"> </w:t>
      </w:r>
      <w:r>
        <w:rPr>
          <w:rStyle w:val="a6"/>
          <w:i w:val="0"/>
          <w:iCs w:val="0"/>
          <w:sz w:val="20"/>
          <w:szCs w:val="20"/>
        </w:rPr>
        <w:t xml:space="preserve">September 30, 2019, </w:t>
      </w:r>
      <w:r>
        <w:rPr>
          <w:sz w:val="20"/>
          <w:szCs w:val="20"/>
        </w:rPr>
        <w:t>the Comp</w:t>
      </w:r>
      <w:r>
        <w:rPr>
          <w:sz w:val="20"/>
          <w:szCs w:val="20"/>
        </w:rPr>
        <w:t>any had a total of</w:t>
      </w:r>
      <w:r>
        <w:rPr>
          <w:sz w:val="20"/>
          <w:szCs w:val="20"/>
        </w:rPr>
        <w:t xml:space="preserve"> </w:t>
      </w:r>
      <w:r>
        <w:rPr>
          <w:rStyle w:val="a6"/>
          <w:i w:val="0"/>
          <w:iCs w:val="0"/>
          <w:sz w:val="20"/>
          <w:szCs w:val="20"/>
        </w:rPr>
        <w:t>seven</w:t>
      </w:r>
      <w:r>
        <w:rPr>
          <w:sz w:val="20"/>
          <w:szCs w:val="20"/>
        </w:rPr>
        <w:t xml:space="preserve"> loans aggregating $9.1 million, all of which were identified as performing loans.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rPr>
          <w:sz w:val="20"/>
          <w:szCs w:val="20"/>
        </w:rPr>
      </w:pPr>
      <w:r>
        <w:rPr>
          <w:i/>
          <w:iCs/>
          <w:sz w:val="20"/>
          <w:szCs w:val="20"/>
        </w:rPr>
        <w:t>Assets Held-For-Sale -</w:t>
      </w:r>
    </w:p>
    <w:p w:rsidR="00000000" w:rsidRDefault="005F676C">
      <w:pPr>
        <w:pStyle w:val="a3"/>
        <w:spacing w:before="0" w:beforeAutospacing="0" w:after="0" w:afterAutospacing="0"/>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At</w:t>
      </w:r>
      <w:r>
        <w:rPr>
          <w:sz w:val="20"/>
          <w:szCs w:val="20"/>
        </w:rPr>
        <w:t xml:space="preserve"> </w:t>
      </w:r>
      <w:r>
        <w:rPr>
          <w:rStyle w:val="a6"/>
          <w:i w:val="0"/>
          <w:iCs w:val="0"/>
          <w:sz w:val="20"/>
          <w:szCs w:val="20"/>
        </w:rPr>
        <w:t xml:space="preserve">September 30, 2019, </w:t>
      </w:r>
      <w:r>
        <w:rPr>
          <w:sz w:val="20"/>
          <w:szCs w:val="20"/>
        </w:rPr>
        <w:t>the Company had</w:t>
      </w:r>
      <w:r>
        <w:rPr>
          <w:sz w:val="20"/>
          <w:szCs w:val="20"/>
        </w:rPr>
        <w:t xml:space="preserve"> </w:t>
      </w:r>
      <w:r>
        <w:rPr>
          <w:rStyle w:val="a6"/>
          <w:i w:val="0"/>
          <w:iCs w:val="0"/>
          <w:sz w:val="20"/>
          <w:szCs w:val="20"/>
        </w:rPr>
        <w:t>three</w:t>
      </w:r>
      <w:r>
        <w:rPr>
          <w:sz w:val="20"/>
          <w:szCs w:val="20"/>
        </w:rPr>
        <w:t xml:space="preserve"> </w:t>
      </w:r>
      <w:r>
        <w:rPr>
          <w:sz w:val="20"/>
          <w:szCs w:val="20"/>
        </w:rPr>
        <w:t>consolidated properties classified as held-for-sale at a net carrying amount of $36.9 million (including accumulated depreciation and amortization of $11.8 million). The Company’s determination of the fair value of the properties was based upon executed co</w:t>
      </w:r>
      <w:r>
        <w:rPr>
          <w:sz w:val="20"/>
          <w:szCs w:val="20"/>
        </w:rPr>
        <w:t>ntracts of sale with</w:t>
      </w:r>
      <w:r>
        <w:rPr>
          <w:sz w:val="20"/>
          <w:szCs w:val="20"/>
        </w:rPr>
        <w:t xml:space="preserve"> </w:t>
      </w:r>
      <w:r>
        <w:rPr>
          <w:rStyle w:val="a6"/>
          <w:i w:val="0"/>
          <w:iCs w:val="0"/>
          <w:sz w:val="20"/>
          <w:szCs w:val="20"/>
        </w:rPr>
        <w:t>third</w:t>
      </w:r>
      <w:r>
        <w:rPr>
          <w:sz w:val="20"/>
          <w:szCs w:val="20"/>
        </w:rPr>
        <w:t xml:space="preserve"> parties. The book value of</w:t>
      </w:r>
      <w:r>
        <w:rPr>
          <w:sz w:val="20"/>
          <w:szCs w:val="20"/>
        </w:rPr>
        <w:t xml:space="preserve"> </w:t>
      </w:r>
      <w:r>
        <w:rPr>
          <w:rStyle w:val="a6"/>
          <w:i w:val="0"/>
          <w:iCs w:val="0"/>
          <w:sz w:val="20"/>
          <w:szCs w:val="20"/>
        </w:rPr>
        <w:t>one</w:t>
      </w:r>
      <w:r>
        <w:rPr>
          <w:sz w:val="20"/>
          <w:szCs w:val="20"/>
        </w:rPr>
        <w:t xml:space="preserve"> these properties exceeded its estimated fair value, less costs to sell, and as such an impairment charge of $0.5 million was recognized.</w:t>
      </w:r>
    </w:p>
    <w:p w:rsidR="00000000" w:rsidRDefault="005F676C">
      <w:pPr>
        <w:pStyle w:val="a3"/>
        <w:spacing w:before="0" w:beforeAutospacing="0" w:after="0" w:afterAutospacing="0"/>
        <w:rPr>
          <w:sz w:val="20"/>
          <w:szCs w:val="20"/>
        </w:rPr>
      </w:pPr>
      <w:r>
        <w:rPr>
          <w:i/>
          <w:iCs/>
          <w:sz w:val="20"/>
          <w:szCs w:val="20"/>
        </w:rPr>
        <w:t> </w:t>
      </w:r>
    </w:p>
    <w:p w:rsidR="00000000" w:rsidRDefault="005F676C">
      <w:pPr>
        <w:jc w:val="center"/>
        <w:divId w:val="171458875"/>
        <w:rPr>
          <w:rFonts w:eastAsia="Times New Roman"/>
          <w:sz w:val="20"/>
          <w:szCs w:val="20"/>
        </w:rPr>
      </w:pPr>
      <w:r>
        <w:rPr>
          <w:rFonts w:eastAsia="Times New Roman"/>
          <w:sz w:val="20"/>
          <w:szCs w:val="20"/>
        </w:rPr>
        <w:t xml:space="preserve">17 </w:t>
      </w:r>
    </w:p>
    <w:p w:rsidR="00000000" w:rsidRDefault="005F676C">
      <w:pPr>
        <w:divId w:val="171458875"/>
        <w:rPr>
          <w:rFonts w:eastAsia="Times New Roman"/>
          <w:sz w:val="20"/>
          <w:szCs w:val="20"/>
        </w:rPr>
      </w:pPr>
      <w:r>
        <w:rPr>
          <w:rFonts w:eastAsia="Times New Roman"/>
          <w:sz w:val="20"/>
          <w:szCs w:val="20"/>
        </w:rPr>
        <w:pict>
          <v:rect id="_x0000_i1045" style="width:0;height:1.5pt" o:hralign="center" o:hrstd="t" o:hr="t" fillcolor="#a0a0a0" stroked="f"/>
        </w:pict>
      </w:r>
    </w:p>
    <w:p w:rsidR="00000000" w:rsidRDefault="005F676C">
      <w:pPr>
        <w:divId w:val="17145887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divId w:val="411582887"/>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xml:space="preserve">9. </w:t>
      </w:r>
      <w:r>
        <w:rPr>
          <w:sz w:val="20"/>
          <w:szCs w:val="20"/>
          <w:u w:val="single"/>
        </w:rPr>
        <w:t>Notes, Mortgages and Construction Loan Payable</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Notes Payable –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the Company issued the following senior unsecured notes (dollars in millions):</w:t>
      </w:r>
    </w:p>
    <w:p w:rsidR="00000000" w:rsidRDefault="005F676C">
      <w:pPr>
        <w:pStyle w:val="a3"/>
        <w:spacing w:before="0" w:beforeAutospacing="0" w:after="0" w:afterAutospacing="0"/>
        <w:ind w:left="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1989"/>
        <w:gridCol w:w="2189"/>
        <w:gridCol w:w="62"/>
        <w:gridCol w:w="101"/>
        <w:gridCol w:w="1059"/>
        <w:gridCol w:w="62"/>
        <w:gridCol w:w="62"/>
        <w:gridCol w:w="1059"/>
        <w:gridCol w:w="62"/>
      </w:tblGrid>
      <w:tr w:rsidR="00000000">
        <w:trPr>
          <w:tblCellSpacing w:w="0" w:type="dxa"/>
        </w:trPr>
        <w:tc>
          <w:tcPr>
            <w:tcW w:w="15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Date Issued</w:t>
            </w:r>
          </w:p>
        </w:tc>
        <w:tc>
          <w:tcPr>
            <w:tcW w:w="16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Maturity Da</w:t>
            </w:r>
            <w:r>
              <w:rPr>
                <w:b/>
                <w:bCs/>
                <w:sz w:val="20"/>
                <w:szCs w:val="20"/>
              </w:rPr>
              <w:t>te</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Amount Issued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Interest Rate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500" w:type="pct"/>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Aug-19</w:t>
            </w:r>
          </w:p>
        </w:tc>
        <w:tc>
          <w:tcPr>
            <w:tcW w:w="1650" w:type="pct"/>
            <w:shd w:val="clear" w:color="auto" w:fill="CCEEFF"/>
            <w:vAlign w:val="bottom"/>
            <w:hideMark/>
          </w:tcPr>
          <w:p w:rsidR="00000000" w:rsidRDefault="005F676C">
            <w:pPr>
              <w:pStyle w:val="a3"/>
              <w:spacing w:before="0" w:beforeAutospacing="0" w:after="0" w:afterAutospacing="0"/>
              <w:jc w:val="center"/>
              <w:rPr>
                <w:sz w:val="20"/>
                <w:szCs w:val="20"/>
              </w:rPr>
            </w:pPr>
            <w:r>
              <w:rPr>
                <w:rStyle w:val="a6"/>
                <w:i w:val="0"/>
                <w:iCs w:val="0"/>
                <w:sz w:val="20"/>
                <w:szCs w:val="20"/>
              </w:rPr>
              <w:t>Oct-49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350.0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3.70%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As of</w:t>
      </w:r>
      <w:r>
        <w:rPr>
          <w:sz w:val="20"/>
          <w:szCs w:val="20"/>
        </w:rPr>
        <w:t xml:space="preserve"> </w:t>
      </w:r>
      <w:r>
        <w:rPr>
          <w:rStyle w:val="a6"/>
          <w:i w:val="0"/>
          <w:iCs w:val="0"/>
          <w:sz w:val="20"/>
          <w:szCs w:val="20"/>
        </w:rPr>
        <w:t xml:space="preserve">September 30, 2019, </w:t>
      </w:r>
      <w:r>
        <w:rPr>
          <w:sz w:val="20"/>
          <w:szCs w:val="20"/>
        </w:rPr>
        <w:t xml:space="preserve">the Company’s unsecured revolving credit facility of $2.25 billion had an outstanding balance of $200.0 million and $0.3 </w:t>
      </w:r>
      <w:r>
        <w:rPr>
          <w:sz w:val="20"/>
          <w:szCs w:val="20"/>
        </w:rPr>
        <w:t>million appropriated for letters of credit.</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Mortgages and Construction Loan Payable -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the Company repaid $6.2 million of mortgage debt that encumbered</w:t>
      </w:r>
      <w:r>
        <w:rPr>
          <w:sz w:val="20"/>
          <w:szCs w:val="20"/>
        </w:rPr>
        <w:t xml:space="preserve"> </w:t>
      </w:r>
      <w:r>
        <w:rPr>
          <w:rStyle w:val="a6"/>
          <w:i w:val="0"/>
          <w:iCs w:val="0"/>
          <w:sz w:val="20"/>
          <w:szCs w:val="20"/>
        </w:rPr>
        <w:t>two</w:t>
      </w:r>
      <w:r>
        <w:rPr>
          <w:sz w:val="20"/>
          <w:szCs w:val="20"/>
        </w:rPr>
        <w:t xml:space="preserve"> operating properties.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As of</w:t>
      </w:r>
      <w:r>
        <w:rPr>
          <w:sz w:val="20"/>
          <w:szCs w:val="20"/>
        </w:rPr>
        <w:t xml:space="preserve"> </w:t>
      </w:r>
      <w:r>
        <w:rPr>
          <w:rStyle w:val="a6"/>
          <w:i w:val="0"/>
          <w:iCs w:val="0"/>
          <w:sz w:val="20"/>
          <w:szCs w:val="20"/>
        </w:rPr>
        <w:t>September 30, 201</w:t>
      </w:r>
      <w:r>
        <w:rPr>
          <w:rStyle w:val="a6"/>
          <w:i w:val="0"/>
          <w:iCs w:val="0"/>
          <w:sz w:val="20"/>
          <w:szCs w:val="20"/>
        </w:rPr>
        <w:t xml:space="preserve">9, </w:t>
      </w:r>
      <w:r>
        <w:rPr>
          <w:sz w:val="20"/>
          <w:szCs w:val="20"/>
        </w:rPr>
        <w:t>the Company’s construction loan commitment of $67.0 million relating to</w:t>
      </w:r>
      <w:r>
        <w:rPr>
          <w:sz w:val="20"/>
          <w:szCs w:val="20"/>
        </w:rPr>
        <w:t xml:space="preserve"> </w:t>
      </w:r>
      <w:r>
        <w:rPr>
          <w:rStyle w:val="a6"/>
          <w:i w:val="0"/>
          <w:iCs w:val="0"/>
          <w:sz w:val="20"/>
          <w:szCs w:val="20"/>
        </w:rPr>
        <w:t>one</w:t>
      </w:r>
      <w:r>
        <w:rPr>
          <w:sz w:val="20"/>
          <w:szCs w:val="20"/>
        </w:rPr>
        <w:t xml:space="preserve"> of its development projects had an outstanding balance of $59.7 million.</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divId w:val="1545214497"/>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rStyle w:val="a6"/>
          <w:i w:val="0"/>
          <w:iCs w:val="0"/>
          <w:sz w:val="20"/>
          <w:szCs w:val="20"/>
        </w:rPr>
        <w:t>10.</w:t>
      </w:r>
      <w:r>
        <w:rPr>
          <w:sz w:val="20"/>
          <w:szCs w:val="20"/>
        </w:rPr>
        <w:t xml:space="preserve"> </w:t>
      </w:r>
      <w:r>
        <w:rPr>
          <w:sz w:val="20"/>
          <w:szCs w:val="20"/>
          <w:u w:val="single"/>
        </w:rPr>
        <w:t>Noncontrolling Interests</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 xml:space="preserve">      Noncontrolling interests represent the portion of equity that </w:t>
      </w:r>
      <w:r>
        <w:rPr>
          <w:sz w:val="20"/>
          <w:szCs w:val="20"/>
        </w:rPr>
        <w:t>the Company does</w:t>
      </w:r>
      <w:r>
        <w:rPr>
          <w:sz w:val="20"/>
          <w:szCs w:val="20"/>
        </w:rPr>
        <w:t xml:space="preserve"> </w:t>
      </w:r>
      <w:r>
        <w:rPr>
          <w:rStyle w:val="a6"/>
          <w:i w:val="0"/>
          <w:iCs w:val="0"/>
          <w:sz w:val="20"/>
          <w:szCs w:val="20"/>
        </w:rPr>
        <w:t>not</w:t>
      </w:r>
      <w:r>
        <w:rPr>
          <w:sz w:val="20"/>
          <w:szCs w:val="20"/>
        </w:rPr>
        <w:t xml:space="preserve"> own in entities it consolidates as a result of having a controlling interest or determining that the Company was the primary beneficiary of a VIE in accordance with the provisions of the FASB’s Consolidation guidance.  The Company acco</w:t>
      </w:r>
      <w:r>
        <w:rPr>
          <w:sz w:val="20"/>
          <w:szCs w:val="20"/>
        </w:rPr>
        <w:t>unts and reports for noncontrolling interests in accordance with the Consolidation guidance and the Distinguishing Liabilities from Equity guidance issued by the FASB. The Company identifies its noncontrolling interests separately within the equity section</w:t>
      </w:r>
      <w:r>
        <w:rPr>
          <w:sz w:val="20"/>
          <w:szCs w:val="20"/>
        </w:rPr>
        <w:t xml:space="preserve"> on the Company’s Condensed Consolidated Balance Sheets. The amounts of consolidated net income attributable to the Company and to the noncontrolling interests are presented separately on the Company’s Condensed Consolidated Statements of Income.</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the Company acquired its partner’s interests in</w:t>
      </w:r>
      <w:r>
        <w:rPr>
          <w:sz w:val="20"/>
          <w:szCs w:val="20"/>
        </w:rPr>
        <w:t xml:space="preserve"> </w:t>
      </w:r>
      <w:r>
        <w:rPr>
          <w:rStyle w:val="a6"/>
          <w:i w:val="0"/>
          <w:iCs w:val="0"/>
          <w:sz w:val="20"/>
          <w:szCs w:val="20"/>
        </w:rPr>
        <w:t>two</w:t>
      </w:r>
      <w:r>
        <w:rPr>
          <w:sz w:val="20"/>
          <w:szCs w:val="20"/>
        </w:rPr>
        <w:t xml:space="preserve"> consolidated entities for an aggregate purchase price of $2.7 million. This transaction resulted in a net decrease in Noncontrolling interests of $3.2 mill</w:t>
      </w:r>
      <w:r>
        <w:rPr>
          <w:sz w:val="20"/>
          <w:szCs w:val="20"/>
        </w:rPr>
        <w:t>ion and a corresponding net increase in Paid-in capital of $0.5 million on the Company’s Condensed Consolidated Balance Sheets. There are</w:t>
      </w:r>
      <w:r>
        <w:rPr>
          <w:sz w:val="20"/>
          <w:szCs w:val="20"/>
        </w:rPr>
        <w:t xml:space="preserve"> </w:t>
      </w:r>
      <w:r>
        <w:rPr>
          <w:rStyle w:val="a6"/>
          <w:i w:val="0"/>
          <w:iCs w:val="0"/>
          <w:sz w:val="20"/>
          <w:szCs w:val="20"/>
        </w:rPr>
        <w:t>no</w:t>
      </w:r>
      <w:r>
        <w:rPr>
          <w:sz w:val="20"/>
          <w:szCs w:val="20"/>
        </w:rPr>
        <w:t xml:space="preserve"> remaining partners in</w:t>
      </w:r>
      <w:r>
        <w:rPr>
          <w:sz w:val="20"/>
          <w:szCs w:val="20"/>
        </w:rPr>
        <w:t xml:space="preserve"> </w:t>
      </w:r>
      <w:r>
        <w:rPr>
          <w:rStyle w:val="a6"/>
          <w:i w:val="0"/>
          <w:iCs w:val="0"/>
          <w:sz w:val="20"/>
          <w:szCs w:val="20"/>
        </w:rPr>
        <w:t>one</w:t>
      </w:r>
      <w:r>
        <w:rPr>
          <w:sz w:val="20"/>
          <w:szCs w:val="20"/>
        </w:rPr>
        <w:t xml:space="preserve"> of these consolidated entities.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2018, </w:t>
      </w:r>
      <w:r>
        <w:rPr>
          <w:sz w:val="20"/>
          <w:szCs w:val="20"/>
        </w:rPr>
        <w:t>the Co</w:t>
      </w:r>
      <w:r>
        <w:rPr>
          <w:sz w:val="20"/>
          <w:szCs w:val="20"/>
        </w:rPr>
        <w:t>mpany acquired its partners’ interests in</w:t>
      </w:r>
      <w:r>
        <w:rPr>
          <w:sz w:val="20"/>
          <w:szCs w:val="20"/>
        </w:rPr>
        <w:t xml:space="preserve"> </w:t>
      </w:r>
      <w:r>
        <w:rPr>
          <w:rStyle w:val="a6"/>
          <w:i w:val="0"/>
          <w:iCs w:val="0"/>
          <w:sz w:val="20"/>
          <w:szCs w:val="20"/>
        </w:rPr>
        <w:t>three</w:t>
      </w:r>
      <w:r>
        <w:rPr>
          <w:sz w:val="20"/>
          <w:szCs w:val="20"/>
        </w:rPr>
        <w:t xml:space="preserve"> consolidated entities, in</w:t>
      </w:r>
      <w:r>
        <w:rPr>
          <w:sz w:val="20"/>
          <w:szCs w:val="20"/>
        </w:rPr>
        <w:t xml:space="preserve"> </w:t>
      </w:r>
      <w:r>
        <w:rPr>
          <w:rStyle w:val="a6"/>
          <w:i w:val="0"/>
          <w:iCs w:val="0"/>
          <w:sz w:val="20"/>
          <w:szCs w:val="20"/>
        </w:rPr>
        <w:t>two</w:t>
      </w:r>
      <w:r>
        <w:rPr>
          <w:sz w:val="20"/>
          <w:szCs w:val="20"/>
        </w:rPr>
        <w:t xml:space="preserve"> separate transactions, for an aggregate purchase price of $3.4 million. These transactions resulted in a net decrease in Noncontrolling interests of $4.6 million and a correspond</w:t>
      </w:r>
      <w:r>
        <w:rPr>
          <w:sz w:val="20"/>
          <w:szCs w:val="20"/>
        </w:rPr>
        <w:t>ing net increase in Paid-in capital of $1.2 million on the Company’s Condensed Consolidated Balance Sheets. There are</w:t>
      </w:r>
      <w:r>
        <w:rPr>
          <w:sz w:val="20"/>
          <w:szCs w:val="20"/>
        </w:rPr>
        <w:t xml:space="preserve"> </w:t>
      </w:r>
      <w:r>
        <w:rPr>
          <w:rStyle w:val="a6"/>
          <w:i w:val="0"/>
          <w:iCs w:val="0"/>
          <w:sz w:val="20"/>
          <w:szCs w:val="20"/>
        </w:rPr>
        <w:t>no</w:t>
      </w:r>
      <w:r>
        <w:rPr>
          <w:sz w:val="20"/>
          <w:szCs w:val="20"/>
        </w:rPr>
        <w:t xml:space="preserve"> remaining partners in</w:t>
      </w:r>
      <w:r>
        <w:rPr>
          <w:sz w:val="20"/>
          <w:szCs w:val="20"/>
        </w:rPr>
        <w:t xml:space="preserve"> </w:t>
      </w:r>
      <w:r>
        <w:rPr>
          <w:rStyle w:val="a6"/>
          <w:i w:val="0"/>
          <w:iCs w:val="0"/>
          <w:sz w:val="20"/>
          <w:szCs w:val="20"/>
        </w:rPr>
        <w:t>two</w:t>
      </w:r>
      <w:r>
        <w:rPr>
          <w:sz w:val="20"/>
          <w:szCs w:val="20"/>
        </w:rPr>
        <w:t xml:space="preserve"> of these consolidated entities.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In addition, 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2018, </w:t>
      </w:r>
      <w:r>
        <w:rPr>
          <w:sz w:val="20"/>
          <w:szCs w:val="20"/>
        </w:rPr>
        <w:t>the Company s</w:t>
      </w:r>
      <w:r>
        <w:rPr>
          <w:sz w:val="20"/>
          <w:szCs w:val="20"/>
        </w:rPr>
        <w:t>old a portion of its investment in a consolidated operating property to its partner based on a gross fair value of $320.0 million, including $206.0 million of non-recourse mortgage debt, and amended the partnership agreement to provide for joint control of</w:t>
      </w:r>
      <w:r>
        <w:rPr>
          <w:sz w:val="20"/>
          <w:szCs w:val="20"/>
        </w:rPr>
        <w:t xml:space="preserve"> the entity. As a result of the amendment, the Company</w:t>
      </w:r>
      <w:r>
        <w:rPr>
          <w:sz w:val="20"/>
          <w:szCs w:val="20"/>
        </w:rPr>
        <w:t xml:space="preserve"> </w:t>
      </w:r>
      <w:r>
        <w:rPr>
          <w:rStyle w:val="a6"/>
          <w:i w:val="0"/>
          <w:iCs w:val="0"/>
          <w:sz w:val="20"/>
          <w:szCs w:val="20"/>
        </w:rPr>
        <w:t>no</w:t>
      </w:r>
      <w:r>
        <w:rPr>
          <w:sz w:val="20"/>
          <w:szCs w:val="20"/>
        </w:rPr>
        <w:t xml:space="preserve"> longer consolidates the entity and as such, reduced noncontrolling interests by $43.8 million on the Company’s Condensed Consolidated Balance Sheets and recognized a gain on change in control of $6.</w:t>
      </w:r>
      <w:r>
        <w:rPr>
          <w:sz w:val="20"/>
          <w:szCs w:val="20"/>
        </w:rPr>
        <w:t>8 million on the Company’s Condensed Consolidated Statements of Income.</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Included within noncontrolling interests are units that were determined to be contingently redeemable that are classified as Redeemable noncontrolling interests and presented in the </w:t>
      </w:r>
      <w:r>
        <w:rPr>
          <w:sz w:val="20"/>
          <w:szCs w:val="20"/>
        </w:rPr>
        <w:t>mezzanine section between Total liabilities and Stockholder’s equity on the Company’s Condensed Consolidated Balance Sheets.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following table presents the change in the redemption value of the Redeemable noncontrolling interests for the</w:t>
      </w:r>
      <w:r>
        <w:rPr>
          <w:sz w:val="20"/>
          <w:szCs w:val="20"/>
        </w:rPr>
        <w:t xml:space="preserve"> </w:t>
      </w:r>
      <w:r>
        <w:rPr>
          <w:rStyle w:val="a6"/>
          <w:i w:val="0"/>
          <w:iCs w:val="0"/>
          <w:sz w:val="20"/>
          <w:szCs w:val="20"/>
        </w:rPr>
        <w:t>nine</w:t>
      </w:r>
      <w:r>
        <w:rPr>
          <w:sz w:val="20"/>
          <w:szCs w:val="20"/>
        </w:rPr>
        <w:t xml:space="preserve"> months en</w:t>
      </w:r>
      <w:r>
        <w:rPr>
          <w:sz w:val="20"/>
          <w:szCs w:val="20"/>
        </w:rPr>
        <w:t>ded</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2018</w:t>
      </w:r>
      <w:r>
        <w:rPr>
          <w:sz w:val="20"/>
          <w:szCs w:val="20"/>
        </w:rPr>
        <w:t xml:space="preserve"> (in thousands): </w:t>
      </w:r>
    </w:p>
    <w:p w:rsidR="00000000" w:rsidRDefault="005F676C">
      <w:pPr>
        <w:pStyle w:val="a3"/>
        <w:spacing w:before="0" w:beforeAutospacing="0" w:after="0" w:afterAutospacing="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06"/>
        <w:gridCol w:w="52"/>
        <w:gridCol w:w="100"/>
        <w:gridCol w:w="1050"/>
        <w:gridCol w:w="67"/>
        <w:gridCol w:w="53"/>
        <w:gridCol w:w="100"/>
        <w:gridCol w:w="1050"/>
        <w:gridCol w:w="67"/>
      </w:tblGrid>
      <w:tr w:rsidR="00000000">
        <w:trPr>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Balance at January 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23,682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16,143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Income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279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279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Distributions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(266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(266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Adjustment to estimated redemption value (1)</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3,918</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Balance at September 30,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23,695</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8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20,074</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676C">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2018, </w:t>
            </w:r>
            <w:r>
              <w:rPr>
                <w:sz w:val="20"/>
                <w:szCs w:val="20"/>
              </w:rPr>
              <w:t xml:space="preserve">the Company recorded an adjustment of $3.9 </w:t>
            </w:r>
            <w:r>
              <w:rPr>
                <w:sz w:val="20"/>
                <w:szCs w:val="20"/>
              </w:rPr>
              <w:t>million to the estimated redemption fair market value of a noncontrolling interest in accordance with the provisions of the respective joint venture agreement and ASC</w:t>
            </w:r>
            <w:r>
              <w:rPr>
                <w:sz w:val="20"/>
                <w:szCs w:val="20"/>
              </w:rPr>
              <w:t xml:space="preserve"> </w:t>
            </w:r>
            <w:r>
              <w:rPr>
                <w:rStyle w:val="a6"/>
                <w:i w:val="0"/>
                <w:iCs w:val="0"/>
                <w:sz w:val="20"/>
                <w:szCs w:val="20"/>
              </w:rPr>
              <w:t>480</w:t>
            </w:r>
            <w:r>
              <w:rPr>
                <w:sz w:val="20"/>
                <w:szCs w:val="20"/>
              </w:rPr>
              <w:t xml:space="preserve"> – Accounting for Redeemable Equity Instruments.</w:t>
            </w:r>
          </w:p>
        </w:tc>
      </w:tr>
    </w:tbl>
    <w:p w:rsidR="00000000" w:rsidRDefault="005F676C">
      <w:pPr>
        <w:pStyle w:val="a3"/>
        <w:spacing w:before="0" w:beforeAutospacing="0" w:after="0" w:afterAutospacing="0"/>
        <w:ind w:left="1440"/>
        <w:jc w:val="both"/>
        <w:rPr>
          <w:sz w:val="20"/>
          <w:szCs w:val="20"/>
        </w:rPr>
      </w:pPr>
      <w:r>
        <w:rPr>
          <w:sz w:val="20"/>
          <w:szCs w:val="20"/>
        </w:rPr>
        <w:t> </w:t>
      </w:r>
    </w:p>
    <w:p w:rsidR="00000000" w:rsidRDefault="005F676C">
      <w:pPr>
        <w:jc w:val="center"/>
        <w:divId w:val="2062704006"/>
        <w:rPr>
          <w:rFonts w:eastAsia="Times New Roman"/>
          <w:sz w:val="20"/>
          <w:szCs w:val="20"/>
        </w:rPr>
      </w:pPr>
      <w:r>
        <w:rPr>
          <w:rFonts w:eastAsia="Times New Roman"/>
          <w:sz w:val="20"/>
          <w:szCs w:val="20"/>
        </w:rPr>
        <w:t xml:space="preserve">18 </w:t>
      </w:r>
    </w:p>
    <w:p w:rsidR="00000000" w:rsidRDefault="005F676C">
      <w:pPr>
        <w:divId w:val="2062704006"/>
        <w:rPr>
          <w:rFonts w:eastAsia="Times New Roman"/>
          <w:sz w:val="20"/>
          <w:szCs w:val="20"/>
        </w:rPr>
      </w:pPr>
      <w:r>
        <w:rPr>
          <w:rFonts w:eastAsia="Times New Roman"/>
          <w:sz w:val="20"/>
          <w:szCs w:val="20"/>
        </w:rPr>
        <w:pict>
          <v:rect id="_x0000_i1046" style="width:0;height:1.5pt" o:hralign="center" o:hrstd="t" o:hr="t" fillcolor="#a0a0a0" stroked="f"/>
        </w:pict>
      </w:r>
    </w:p>
    <w:p w:rsidR="00000000" w:rsidRDefault="005F676C">
      <w:pPr>
        <w:divId w:val="206270400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divId w:val="56099315"/>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jc w:val="both"/>
        <w:rPr>
          <w:sz w:val="20"/>
          <w:szCs w:val="20"/>
        </w:rPr>
      </w:pPr>
      <w:r>
        <w:rPr>
          <w:sz w:val="20"/>
          <w:szCs w:val="20"/>
        </w:rPr>
        <w:t xml:space="preserve">11. </w:t>
      </w:r>
      <w:r>
        <w:rPr>
          <w:sz w:val="20"/>
          <w:szCs w:val="20"/>
          <w:u w:val="single"/>
        </w:rPr>
        <w:t>Variable Interest Entities (“VIE”)</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Included within the Company’s consolidated operating properties at</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 xml:space="preserve">December 31, 2018, </w:t>
      </w:r>
      <w:r>
        <w:rPr>
          <w:sz w:val="20"/>
          <w:szCs w:val="20"/>
        </w:rPr>
        <w:t>are 22 and 23 consolidated entities that are VIEs,</w:t>
      </w:r>
      <w:r>
        <w:rPr>
          <w:sz w:val="20"/>
          <w:szCs w:val="20"/>
        </w:rPr>
        <w:t xml:space="preserve"> respectively, for which the Company is the primary beneficiary. These entities have been established to own and operate real estate property. The Company’s involvement with these entities is through its majority ownership and management of the properties.</w:t>
      </w:r>
      <w:r>
        <w:rPr>
          <w:sz w:val="20"/>
          <w:szCs w:val="20"/>
        </w:rPr>
        <w:t xml:space="preserve"> The entities were deemed VIEs primarily because the unrelated investors do</w:t>
      </w:r>
      <w:r>
        <w:rPr>
          <w:sz w:val="20"/>
          <w:szCs w:val="20"/>
        </w:rPr>
        <w:t xml:space="preserve"> </w:t>
      </w:r>
      <w:r>
        <w:rPr>
          <w:rStyle w:val="a6"/>
          <w:i w:val="0"/>
          <w:iCs w:val="0"/>
          <w:sz w:val="20"/>
          <w:szCs w:val="20"/>
        </w:rPr>
        <w:t>not</w:t>
      </w:r>
      <w:r>
        <w:rPr>
          <w:sz w:val="20"/>
          <w:szCs w:val="20"/>
        </w:rPr>
        <w:t xml:space="preserve"> have substantive kick-out rights to remove the general or managing partner by a vote of a simple majority or less and they do</w:t>
      </w:r>
      <w:r>
        <w:rPr>
          <w:sz w:val="20"/>
          <w:szCs w:val="20"/>
        </w:rPr>
        <w:t xml:space="preserve"> </w:t>
      </w:r>
      <w:r>
        <w:rPr>
          <w:rStyle w:val="a6"/>
          <w:i w:val="0"/>
          <w:iCs w:val="0"/>
          <w:sz w:val="20"/>
          <w:szCs w:val="20"/>
        </w:rPr>
        <w:t>not</w:t>
      </w:r>
      <w:r>
        <w:rPr>
          <w:sz w:val="20"/>
          <w:szCs w:val="20"/>
        </w:rPr>
        <w:t xml:space="preserve"> have substantive participating rights. The Com</w:t>
      </w:r>
      <w:r>
        <w:rPr>
          <w:sz w:val="20"/>
          <w:szCs w:val="20"/>
        </w:rPr>
        <w:t>pany determined that it was the primary beneficiary of these VIEs as a result of its controlling financial interest. At</w:t>
      </w:r>
      <w:r>
        <w:rPr>
          <w:sz w:val="20"/>
          <w:szCs w:val="20"/>
        </w:rPr>
        <w:t xml:space="preserve"> </w:t>
      </w:r>
      <w:r>
        <w:rPr>
          <w:rStyle w:val="a6"/>
          <w:i w:val="0"/>
          <w:iCs w:val="0"/>
          <w:sz w:val="20"/>
          <w:szCs w:val="20"/>
        </w:rPr>
        <w:t xml:space="preserve">September 30, 2019, </w:t>
      </w:r>
      <w:r>
        <w:rPr>
          <w:sz w:val="20"/>
          <w:szCs w:val="20"/>
        </w:rPr>
        <w:t>total assets of these VIEs were $1.0 billion and total liabilities were $69.3 million. At</w:t>
      </w:r>
      <w:r>
        <w:rPr>
          <w:sz w:val="20"/>
          <w:szCs w:val="20"/>
        </w:rPr>
        <w:t xml:space="preserve"> </w:t>
      </w:r>
      <w:r>
        <w:rPr>
          <w:rStyle w:val="a6"/>
          <w:i w:val="0"/>
          <w:iCs w:val="0"/>
          <w:sz w:val="20"/>
          <w:szCs w:val="20"/>
        </w:rPr>
        <w:t xml:space="preserve">December 31, 2018, </w:t>
      </w:r>
      <w:r>
        <w:rPr>
          <w:sz w:val="20"/>
          <w:szCs w:val="20"/>
        </w:rPr>
        <w:t>total a</w:t>
      </w:r>
      <w:r>
        <w:rPr>
          <w:sz w:val="20"/>
          <w:szCs w:val="20"/>
        </w:rPr>
        <w:t>ssets of these VIEs were $1.1 billion and total liabilities were $75.2 million.</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majority of the operations of these VIEs are funded with cash flows generated from the properties. The Company has</w:t>
      </w:r>
      <w:r>
        <w:rPr>
          <w:sz w:val="20"/>
          <w:szCs w:val="20"/>
        </w:rPr>
        <w:t xml:space="preserve"> </w:t>
      </w:r>
      <w:r>
        <w:rPr>
          <w:rStyle w:val="a6"/>
          <w:i w:val="0"/>
          <w:iCs w:val="0"/>
          <w:sz w:val="20"/>
          <w:szCs w:val="20"/>
        </w:rPr>
        <w:t>not</w:t>
      </w:r>
      <w:r>
        <w:rPr>
          <w:sz w:val="20"/>
          <w:szCs w:val="20"/>
        </w:rPr>
        <w:t xml:space="preserve"> provided financial support to any of these VIEs tha</w:t>
      </w:r>
      <w:r>
        <w:rPr>
          <w:sz w:val="20"/>
          <w:szCs w:val="20"/>
        </w:rPr>
        <w:t>t it was</w:t>
      </w:r>
      <w:r>
        <w:rPr>
          <w:sz w:val="20"/>
          <w:szCs w:val="20"/>
        </w:rPr>
        <w:t xml:space="preserve"> </w:t>
      </w:r>
      <w:r>
        <w:rPr>
          <w:rStyle w:val="a6"/>
          <w:i w:val="0"/>
          <w:iCs w:val="0"/>
          <w:sz w:val="20"/>
          <w:szCs w:val="20"/>
        </w:rPr>
        <w:t>not</w:t>
      </w:r>
      <w:r>
        <w:rPr>
          <w:sz w:val="20"/>
          <w:szCs w:val="20"/>
        </w:rPr>
        <w:t xml:space="preserve"> previously contractually required to provide, which consists primarily of funding any capital expenditures, including tenant improvements, which are deemed necessary to continue to operate the entity and any operating cash shortfalls that the </w:t>
      </w:r>
      <w:r>
        <w:rPr>
          <w:sz w:val="20"/>
          <w:szCs w:val="20"/>
        </w:rPr>
        <w:t>entity</w:t>
      </w:r>
      <w:r>
        <w:rPr>
          <w:sz w:val="20"/>
          <w:szCs w:val="20"/>
        </w:rPr>
        <w:t xml:space="preserve"> </w:t>
      </w:r>
      <w:r>
        <w:rPr>
          <w:rStyle w:val="a6"/>
          <w:i w:val="0"/>
          <w:iCs w:val="0"/>
          <w:sz w:val="20"/>
          <w:szCs w:val="20"/>
        </w:rPr>
        <w:t xml:space="preserve">may </w:t>
      </w:r>
      <w:r>
        <w:rPr>
          <w:sz w:val="20"/>
          <w:szCs w:val="20"/>
        </w:rPr>
        <w:t>experience.</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Additionally, included within the Company’s real estate development projects at</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 xml:space="preserve">December 31, 2018, </w:t>
      </w:r>
      <w:r>
        <w:rPr>
          <w:sz w:val="20"/>
          <w:szCs w:val="20"/>
        </w:rPr>
        <w:t>is</w:t>
      </w:r>
      <w:r>
        <w:rPr>
          <w:sz w:val="20"/>
          <w:szCs w:val="20"/>
        </w:rPr>
        <w:t xml:space="preserve"> </w:t>
      </w:r>
      <w:r>
        <w:rPr>
          <w:rStyle w:val="a6"/>
          <w:i w:val="0"/>
          <w:iCs w:val="0"/>
          <w:sz w:val="20"/>
          <w:szCs w:val="20"/>
        </w:rPr>
        <w:t>one</w:t>
      </w:r>
      <w:r>
        <w:rPr>
          <w:sz w:val="20"/>
          <w:szCs w:val="20"/>
        </w:rPr>
        <w:t xml:space="preserve"> </w:t>
      </w:r>
      <w:r>
        <w:rPr>
          <w:sz w:val="20"/>
          <w:szCs w:val="20"/>
        </w:rPr>
        <w:t>consolidated entity that is a VIE, for which the Company is the primary beneficiary. This entity has been established to develop a real estate property to hold as a long-term investment. The Company’s involvement with this entity is through its majority ow</w:t>
      </w:r>
      <w:r>
        <w:rPr>
          <w:sz w:val="20"/>
          <w:szCs w:val="20"/>
        </w:rPr>
        <w:t>nership and management of this property. This entity was deemed a VIE primarily based on the fact that the equity investment at risk is</w:t>
      </w:r>
      <w:r>
        <w:rPr>
          <w:sz w:val="20"/>
          <w:szCs w:val="20"/>
        </w:rPr>
        <w:t xml:space="preserve"> </w:t>
      </w:r>
      <w:r>
        <w:rPr>
          <w:rStyle w:val="a6"/>
          <w:i w:val="0"/>
          <w:iCs w:val="0"/>
          <w:sz w:val="20"/>
          <w:szCs w:val="20"/>
        </w:rPr>
        <w:t>not</w:t>
      </w:r>
      <w:r>
        <w:rPr>
          <w:sz w:val="20"/>
          <w:szCs w:val="20"/>
        </w:rPr>
        <w:t xml:space="preserve"> sufficient to permit the entity to finance its activities without additional financial support. The initial equity c</w:t>
      </w:r>
      <w:r>
        <w:rPr>
          <w:sz w:val="20"/>
          <w:szCs w:val="20"/>
        </w:rPr>
        <w:t>ontributed to this entity was</w:t>
      </w:r>
      <w:r>
        <w:rPr>
          <w:sz w:val="20"/>
          <w:szCs w:val="20"/>
        </w:rPr>
        <w:t xml:space="preserve"> </w:t>
      </w:r>
      <w:r>
        <w:rPr>
          <w:rStyle w:val="a6"/>
          <w:i w:val="0"/>
          <w:iCs w:val="0"/>
          <w:sz w:val="20"/>
          <w:szCs w:val="20"/>
        </w:rPr>
        <w:t>not</w:t>
      </w:r>
      <w:r>
        <w:rPr>
          <w:sz w:val="20"/>
          <w:szCs w:val="20"/>
        </w:rPr>
        <w:t xml:space="preserve"> sufficient to fully finance the real estate construction as development costs are funded by the partners throughout the construction period. The Company determined that it was the primary beneficiary of this VIE as a resul</w:t>
      </w:r>
      <w:r>
        <w:rPr>
          <w:sz w:val="20"/>
          <w:szCs w:val="20"/>
        </w:rPr>
        <w:t>t of its controlling financial interest. At</w:t>
      </w:r>
      <w:r>
        <w:rPr>
          <w:sz w:val="20"/>
          <w:szCs w:val="20"/>
        </w:rPr>
        <w:t xml:space="preserve"> </w:t>
      </w:r>
      <w:r>
        <w:rPr>
          <w:rStyle w:val="a6"/>
          <w:i w:val="0"/>
          <w:iCs w:val="0"/>
          <w:sz w:val="20"/>
          <w:szCs w:val="20"/>
        </w:rPr>
        <w:t xml:space="preserve">September 30, 2019, </w:t>
      </w:r>
      <w:r>
        <w:rPr>
          <w:sz w:val="20"/>
          <w:szCs w:val="20"/>
        </w:rPr>
        <w:t>total assets of this real estate development VIE were $350.9 million and total liabilities were $80.2 million. At</w:t>
      </w:r>
      <w:r>
        <w:rPr>
          <w:sz w:val="20"/>
          <w:szCs w:val="20"/>
        </w:rPr>
        <w:t xml:space="preserve"> </w:t>
      </w:r>
      <w:r>
        <w:rPr>
          <w:rStyle w:val="a6"/>
          <w:i w:val="0"/>
          <w:iCs w:val="0"/>
          <w:sz w:val="20"/>
          <w:szCs w:val="20"/>
        </w:rPr>
        <w:t xml:space="preserve">December 31, 2018, </w:t>
      </w:r>
      <w:r>
        <w:rPr>
          <w:sz w:val="20"/>
          <w:szCs w:val="20"/>
        </w:rPr>
        <w:t>total assets of this real estate development VIE were $275.</w:t>
      </w:r>
      <w:r>
        <w:rPr>
          <w:sz w:val="20"/>
          <w:szCs w:val="20"/>
        </w:rPr>
        <w:t>6 million and total liabilities were $68.0 million.</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Substantially all the projected remaining development costs to be funded for this real estate development project, aggregating $59.1 million, will be funded with capital contributions from the Company, </w:t>
      </w:r>
      <w:r>
        <w:rPr>
          <w:sz w:val="20"/>
          <w:szCs w:val="20"/>
        </w:rPr>
        <w:t>when contractually obligated, and/or construction loan financing. The Company has</w:t>
      </w:r>
      <w:r>
        <w:rPr>
          <w:sz w:val="20"/>
          <w:szCs w:val="20"/>
        </w:rPr>
        <w:t xml:space="preserve"> </w:t>
      </w:r>
      <w:r>
        <w:rPr>
          <w:rStyle w:val="a6"/>
          <w:i w:val="0"/>
          <w:iCs w:val="0"/>
          <w:sz w:val="20"/>
          <w:szCs w:val="20"/>
        </w:rPr>
        <w:t>not</w:t>
      </w:r>
      <w:r>
        <w:rPr>
          <w:sz w:val="20"/>
          <w:szCs w:val="20"/>
        </w:rPr>
        <w:t xml:space="preserve"> provided financial support to this VIE that it was</w:t>
      </w:r>
      <w:r>
        <w:rPr>
          <w:sz w:val="20"/>
          <w:szCs w:val="20"/>
        </w:rPr>
        <w:t xml:space="preserve"> </w:t>
      </w:r>
      <w:r>
        <w:rPr>
          <w:rStyle w:val="a6"/>
          <w:i w:val="0"/>
          <w:iCs w:val="0"/>
          <w:sz w:val="20"/>
          <w:szCs w:val="20"/>
        </w:rPr>
        <w:t>not</w:t>
      </w:r>
      <w:r>
        <w:rPr>
          <w:sz w:val="20"/>
          <w:szCs w:val="20"/>
        </w:rPr>
        <w:t xml:space="preserve"> previously contractually required to provide.</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All liabilities of these consolidated VIEs are non-recourse to the</w:t>
      </w:r>
      <w:r>
        <w:rPr>
          <w:sz w:val="20"/>
          <w:szCs w:val="20"/>
        </w:rPr>
        <w:t xml:space="preserve"> Company (“VIE Liabilities”). The assets of the unencumbered VIEs are</w:t>
      </w:r>
      <w:r>
        <w:rPr>
          <w:sz w:val="20"/>
          <w:szCs w:val="20"/>
        </w:rPr>
        <w:t xml:space="preserve"> </w:t>
      </w:r>
      <w:r>
        <w:rPr>
          <w:rStyle w:val="a6"/>
          <w:i w:val="0"/>
          <w:iCs w:val="0"/>
          <w:sz w:val="20"/>
          <w:szCs w:val="20"/>
        </w:rPr>
        <w:t>not</w:t>
      </w:r>
      <w:r>
        <w:rPr>
          <w:sz w:val="20"/>
          <w:szCs w:val="20"/>
        </w:rPr>
        <w:t xml:space="preserve"> restricted for use to settle only the obligations of these VIEs. The remaining VIE assets are encumbered by</w:t>
      </w:r>
      <w:r>
        <w:rPr>
          <w:sz w:val="20"/>
          <w:szCs w:val="20"/>
        </w:rPr>
        <w:t xml:space="preserve"> </w:t>
      </w:r>
      <w:r>
        <w:rPr>
          <w:rStyle w:val="a6"/>
          <w:i w:val="0"/>
          <w:iCs w:val="0"/>
          <w:sz w:val="20"/>
          <w:szCs w:val="20"/>
        </w:rPr>
        <w:t>third</w:t>
      </w:r>
      <w:r>
        <w:rPr>
          <w:sz w:val="20"/>
          <w:szCs w:val="20"/>
        </w:rPr>
        <w:t xml:space="preserve"> party non-recourse mortgage debt and a construction loan. The assets</w:t>
      </w:r>
      <w:r>
        <w:rPr>
          <w:sz w:val="20"/>
          <w:szCs w:val="20"/>
        </w:rPr>
        <w:t xml:space="preserve"> associated with these encumbered VIEs (“Restricted Assets”) are collateral under the respective mortgages and a construction loan and are therefore restricted and can only be used to settle the corresponding liabilities of the VIE. The table below summari</w:t>
      </w:r>
      <w:r>
        <w:rPr>
          <w:sz w:val="20"/>
          <w:szCs w:val="20"/>
        </w:rPr>
        <w:t>zes the consolidated VIEs and the classification of the Restricted Assets and VIE Liabilities on the Company’s Condensed Consolidated Balance Sheets as follows (dollars in millions):</w:t>
      </w:r>
    </w:p>
    <w:p w:rsidR="00000000" w:rsidRDefault="005F676C">
      <w:pPr>
        <w:pStyle w:val="a3"/>
        <w:spacing w:before="0" w:beforeAutospacing="0" w:after="0" w:afterAutospacing="0"/>
        <w:ind w:firstLine="360"/>
        <w:jc w:val="both"/>
        <w:rPr>
          <w:sz w:val="20"/>
          <w:szCs w:val="20"/>
        </w:rPr>
      </w:pPr>
      <w:r>
        <w:rPr>
          <w:sz w:val="20"/>
          <w:szCs w:val="20"/>
        </w:rPr>
        <w:t> </w:t>
      </w:r>
    </w:p>
    <w:tbl>
      <w:tblPr>
        <w:tblW w:w="4000" w:type="pct"/>
        <w:tblCellSpacing w:w="0" w:type="dxa"/>
        <w:tblInd w:w="10" w:type="dxa"/>
        <w:tblCellMar>
          <w:left w:w="0" w:type="dxa"/>
          <w:right w:w="0" w:type="dxa"/>
        </w:tblCellMar>
        <w:tblLook w:val="04A0" w:firstRow="1" w:lastRow="0" w:firstColumn="1" w:lastColumn="0" w:noHBand="0" w:noVBand="1"/>
      </w:tblPr>
      <w:tblGrid>
        <w:gridCol w:w="4110"/>
        <w:gridCol w:w="56"/>
        <w:gridCol w:w="101"/>
        <w:gridCol w:w="1053"/>
        <w:gridCol w:w="57"/>
        <w:gridCol w:w="57"/>
        <w:gridCol w:w="100"/>
        <w:gridCol w:w="1054"/>
        <w:gridCol w:w="57"/>
      </w:tblGrid>
      <w:tr w:rsidR="00000000">
        <w:trPr>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As of September 30, 2019</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As of December 31, 2018</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1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Number of unencumbered VIEs</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Number of encumbered VIEs</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Total number of consolidated VIEs</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23</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24</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Restricted Assets:</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Real estate,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219.5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229.2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Cash and cash equivalents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Accounts and notes receivable,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Other assets</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3.3</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Total Restricted Assets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229.7</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239.0</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VIE Liabilities:</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Mortgages and construction loan payable,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91.9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83.8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Other liabilities</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57.6</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59.4</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Total VIE Liabilities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149.5</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143.2</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jc w:val="center"/>
        <w:divId w:val="1124420924"/>
        <w:rPr>
          <w:rFonts w:eastAsia="Times New Roman"/>
          <w:sz w:val="20"/>
          <w:szCs w:val="20"/>
        </w:rPr>
      </w:pPr>
      <w:r>
        <w:rPr>
          <w:rFonts w:eastAsia="Times New Roman"/>
          <w:sz w:val="20"/>
          <w:szCs w:val="20"/>
        </w:rPr>
        <w:t xml:space="preserve">19 </w:t>
      </w:r>
    </w:p>
    <w:p w:rsidR="00000000" w:rsidRDefault="005F676C">
      <w:pPr>
        <w:divId w:val="1124420924"/>
        <w:rPr>
          <w:rFonts w:eastAsia="Times New Roman"/>
          <w:sz w:val="20"/>
          <w:szCs w:val="20"/>
        </w:rPr>
      </w:pPr>
      <w:r>
        <w:rPr>
          <w:rFonts w:eastAsia="Times New Roman"/>
          <w:sz w:val="20"/>
          <w:szCs w:val="20"/>
        </w:rPr>
        <w:pict>
          <v:rect id="_x0000_i1047" style="width:0;height:1.5pt" o:hralign="center" o:hrstd="t" o:hr="t" fillcolor="#a0a0a0" stroked="f"/>
        </w:pict>
      </w:r>
    </w:p>
    <w:p w:rsidR="00000000" w:rsidRDefault="005F676C">
      <w:pPr>
        <w:divId w:val="112442092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divId w:val="391975573"/>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rStyle w:val="a6"/>
          <w:i w:val="0"/>
          <w:iCs w:val="0"/>
          <w:sz w:val="20"/>
          <w:szCs w:val="20"/>
        </w:rPr>
        <w:t>12.</w:t>
      </w:r>
      <w:r>
        <w:rPr>
          <w:sz w:val="20"/>
          <w:szCs w:val="20"/>
        </w:rPr>
        <w:t xml:space="preserve"> </w:t>
      </w:r>
      <w:r>
        <w:rPr>
          <w:sz w:val="20"/>
          <w:szCs w:val="20"/>
          <w:u w:val="single"/>
        </w:rPr>
        <w:t>Fair Value Measurements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All financial instruments of the Company are reflected in the accompanying Condensed Consolidated Balance Sheets at amounts which, in manage</w:t>
      </w:r>
      <w:r>
        <w:rPr>
          <w:sz w:val="20"/>
          <w:szCs w:val="20"/>
        </w:rPr>
        <w:t>ment’s estimation, based upon an interpretation of available market information and valuation methodologies, reasonably approximate their fair values except those listed below, for which fair values are disclosed. The valuation method used to estimate fair</w:t>
      </w:r>
      <w:r>
        <w:rPr>
          <w:sz w:val="20"/>
          <w:szCs w:val="20"/>
        </w:rPr>
        <w:t xml:space="preserve"> value for fixed-rate and variable-rate debt is based on discounted cash flow analyses, with assumptions that include credit spreads, market yield curves, trading activity, loan amounts and debt maturities. The fair values for marketable securities are bas</w:t>
      </w:r>
      <w:r>
        <w:rPr>
          <w:sz w:val="20"/>
          <w:szCs w:val="20"/>
        </w:rPr>
        <w:t>ed on published values, securities dealers’ estimated market values or comparable market sales. Such fair value estimates are</w:t>
      </w:r>
      <w:r>
        <w:rPr>
          <w:sz w:val="20"/>
          <w:szCs w:val="20"/>
        </w:rPr>
        <w:t xml:space="preserve"> </w:t>
      </w:r>
      <w:r>
        <w:rPr>
          <w:rStyle w:val="a6"/>
          <w:i w:val="0"/>
          <w:iCs w:val="0"/>
          <w:sz w:val="20"/>
          <w:szCs w:val="20"/>
        </w:rPr>
        <w:t>not</w:t>
      </w:r>
      <w:r>
        <w:rPr>
          <w:sz w:val="20"/>
          <w:szCs w:val="20"/>
        </w:rPr>
        <w:t xml:space="preserve"> necessarily indicative of the amounts that would be realized upon disposition.</w:t>
      </w:r>
    </w:p>
    <w:p w:rsidR="00000000" w:rsidRDefault="005F676C">
      <w:pPr>
        <w:pStyle w:val="a3"/>
        <w:spacing w:before="0" w:beforeAutospacing="0" w:after="0" w:afterAutospacing="0"/>
        <w:ind w:left="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As a basis for considering market participant</w:t>
      </w:r>
      <w:r>
        <w:rPr>
          <w:sz w:val="20"/>
          <w:szCs w:val="20"/>
        </w:rPr>
        <w:t xml:space="preserve"> assumptions in fair value measurements, the FASB’s Fair Value Measurements and Disclosures guidance establishes a fair value hierarchy that distinguishes between market participant assumptions based on market data obtained from sources independent of the </w:t>
      </w:r>
      <w:r>
        <w:rPr>
          <w:sz w:val="20"/>
          <w:szCs w:val="20"/>
        </w:rPr>
        <w:t>reporting entity (observable inputs that are classified within Levels</w:t>
      </w:r>
      <w:r>
        <w:rPr>
          <w:sz w:val="20"/>
          <w:szCs w:val="20"/>
        </w:rPr>
        <w:t xml:space="preserve"> </w:t>
      </w:r>
      <w:r>
        <w:rPr>
          <w:rStyle w:val="a6"/>
          <w:i w:val="0"/>
          <w:iCs w:val="0"/>
          <w:sz w:val="20"/>
          <w:szCs w:val="20"/>
        </w:rPr>
        <w:t>1</w:t>
      </w:r>
      <w:r>
        <w:rPr>
          <w:sz w:val="20"/>
          <w:szCs w:val="20"/>
        </w:rPr>
        <w:t xml:space="preserve"> and</w:t>
      </w:r>
      <w:r>
        <w:rPr>
          <w:sz w:val="20"/>
          <w:szCs w:val="20"/>
        </w:rPr>
        <w:t xml:space="preserve"> </w:t>
      </w:r>
      <w:r>
        <w:rPr>
          <w:rStyle w:val="a6"/>
          <w:i w:val="0"/>
          <w:iCs w:val="0"/>
          <w:sz w:val="20"/>
          <w:szCs w:val="20"/>
        </w:rPr>
        <w:t>2</w:t>
      </w:r>
      <w:r>
        <w:rPr>
          <w:sz w:val="20"/>
          <w:szCs w:val="20"/>
        </w:rPr>
        <w:t xml:space="preserve"> of the hierarchy) and the reporting entity’s own assumptions about market participant assumptions (unobservable inputs classified within Level</w:t>
      </w:r>
      <w:r>
        <w:rPr>
          <w:sz w:val="20"/>
          <w:szCs w:val="20"/>
        </w:rPr>
        <w:t xml:space="preserve"> </w:t>
      </w:r>
      <w:r>
        <w:rPr>
          <w:rStyle w:val="a6"/>
          <w:i w:val="0"/>
          <w:iCs w:val="0"/>
          <w:sz w:val="20"/>
          <w:szCs w:val="20"/>
        </w:rPr>
        <w:t>3</w:t>
      </w:r>
      <w:r>
        <w:rPr>
          <w:sz w:val="20"/>
          <w:szCs w:val="20"/>
        </w:rPr>
        <w:t xml:space="preserve"> of the hierarchy).</w:t>
      </w:r>
    </w:p>
    <w:p w:rsidR="00000000" w:rsidRDefault="005F676C">
      <w:pPr>
        <w:pStyle w:val="a3"/>
        <w:spacing w:before="0" w:beforeAutospacing="0" w:after="0" w:afterAutospacing="0"/>
        <w:ind w:left="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followin</w:t>
      </w:r>
      <w:r>
        <w:rPr>
          <w:sz w:val="20"/>
          <w:szCs w:val="20"/>
        </w:rPr>
        <w:t>g are financial instruments for which the Company’s estimated fair value differs from the carrying value (in thousands):</w:t>
      </w:r>
    </w:p>
    <w:p w:rsidR="00000000" w:rsidRDefault="005F676C">
      <w:pPr>
        <w:pStyle w:val="a3"/>
        <w:spacing w:before="0" w:beforeAutospacing="0" w:after="0" w:afterAutospacing="0"/>
        <w:ind w:firstLine="36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773"/>
        <w:gridCol w:w="64"/>
        <w:gridCol w:w="100"/>
        <w:gridCol w:w="800"/>
        <w:gridCol w:w="64"/>
        <w:gridCol w:w="65"/>
        <w:gridCol w:w="100"/>
        <w:gridCol w:w="800"/>
        <w:gridCol w:w="65"/>
        <w:gridCol w:w="65"/>
        <w:gridCol w:w="100"/>
        <w:gridCol w:w="800"/>
        <w:gridCol w:w="65"/>
        <w:gridCol w:w="65"/>
        <w:gridCol w:w="100"/>
        <w:gridCol w:w="800"/>
        <w:gridCol w:w="65"/>
      </w:tblGrid>
      <w:tr w:rsidR="00000000">
        <w:trPr>
          <w:tblCellSpacing w:w="0" w:type="dxa"/>
        </w:trPr>
        <w:tc>
          <w:tcPr>
            <w:tcW w:w="24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70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70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December 31, 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4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Carrying Value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Fair Value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Carrying Value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Fair Value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Notes payable, net (1)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4,829,996</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5,000,047</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4,381,456</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4,126,450</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4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Mortgages and construction loan payable, net (2)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482,632</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486,076</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492,416</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486,341</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The Company determined that the valuation of its Senior Unsecured Notes were classified within Level</w:t>
            </w:r>
            <w:r>
              <w:rPr>
                <w:sz w:val="20"/>
                <w:szCs w:val="20"/>
              </w:rPr>
              <w:t xml:space="preserve"> </w:t>
            </w:r>
            <w:r>
              <w:rPr>
                <w:rStyle w:val="a6"/>
                <w:i w:val="0"/>
                <w:iCs w:val="0"/>
                <w:sz w:val="20"/>
                <w:szCs w:val="20"/>
              </w:rPr>
              <w:t>2</w:t>
            </w:r>
            <w:r>
              <w:rPr>
                <w:sz w:val="20"/>
                <w:szCs w:val="20"/>
              </w:rPr>
              <w:t xml:space="preserve"> of the fair value hierarchy and its unsecured revolving credit facility was classified within Level</w:t>
            </w:r>
            <w:r>
              <w:rPr>
                <w:sz w:val="20"/>
                <w:szCs w:val="20"/>
              </w:rPr>
              <w:t xml:space="preserve"> </w:t>
            </w:r>
            <w:r>
              <w:rPr>
                <w:rStyle w:val="a6"/>
                <w:i w:val="0"/>
                <w:iCs w:val="0"/>
                <w:sz w:val="20"/>
                <w:szCs w:val="20"/>
              </w:rPr>
              <w:t>3</w:t>
            </w:r>
            <w:r>
              <w:rPr>
                <w:sz w:val="20"/>
                <w:szCs w:val="20"/>
              </w:rPr>
              <w:t xml:space="preserve"> of the fair value hierarchy. The estimated fair val</w:t>
            </w:r>
            <w:r>
              <w:rPr>
                <w:sz w:val="20"/>
                <w:szCs w:val="20"/>
              </w:rPr>
              <w:t>ue amounts classified as Level</w:t>
            </w:r>
            <w:r>
              <w:rPr>
                <w:sz w:val="20"/>
                <w:szCs w:val="20"/>
              </w:rPr>
              <w:t xml:space="preserve"> </w:t>
            </w:r>
            <w:r>
              <w:rPr>
                <w:rStyle w:val="a6"/>
                <w:i w:val="0"/>
                <w:iCs w:val="0"/>
                <w:sz w:val="20"/>
                <w:szCs w:val="20"/>
              </w:rPr>
              <w:t>2,</w:t>
            </w:r>
            <w:r>
              <w:rPr>
                <w:sz w:val="20"/>
                <w:szCs w:val="20"/>
              </w:rPr>
              <w:t xml:space="preserve"> as of</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 xml:space="preserve">December 31, 2018, </w:t>
            </w:r>
            <w:r>
              <w:rPr>
                <w:sz w:val="20"/>
                <w:szCs w:val="20"/>
              </w:rPr>
              <w:t>were $4.8 billion and $4.0 billion, respectively. The estimated fair value amounts classified as Level</w:t>
            </w:r>
            <w:r>
              <w:rPr>
                <w:sz w:val="20"/>
                <w:szCs w:val="20"/>
              </w:rPr>
              <w:t xml:space="preserve"> </w:t>
            </w:r>
            <w:r>
              <w:rPr>
                <w:rStyle w:val="a6"/>
                <w:i w:val="0"/>
                <w:iCs w:val="0"/>
                <w:sz w:val="20"/>
                <w:szCs w:val="20"/>
              </w:rPr>
              <w:t>3,</w:t>
            </w:r>
            <w:r>
              <w:rPr>
                <w:sz w:val="20"/>
                <w:szCs w:val="20"/>
              </w:rPr>
              <w:t xml:space="preserve"> as of</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 xml:space="preserve">December 31, 2018, </w:t>
            </w:r>
            <w:r>
              <w:rPr>
                <w:sz w:val="20"/>
                <w:szCs w:val="20"/>
              </w:rPr>
              <w:t xml:space="preserve">were $199.8 million </w:t>
            </w:r>
            <w:r>
              <w:rPr>
                <w:sz w:val="20"/>
                <w:szCs w:val="20"/>
              </w:rPr>
              <w:t>and $97.6 million, respectively.</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r>
              <w:rPr>
                <w:rStyle w:val="a6"/>
                <w:i w:val="0"/>
                <w:iCs w:val="0"/>
                <w:sz w:val="20"/>
                <w:szCs w:val="20"/>
              </w:rPr>
              <w:t>2</w:t>
            </w: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The Company determined that its valuation of its mortgages and construction loan were classified within Level</w:t>
            </w:r>
            <w:r>
              <w:rPr>
                <w:sz w:val="20"/>
                <w:szCs w:val="20"/>
              </w:rPr>
              <w:t xml:space="preserve"> </w:t>
            </w:r>
            <w:r>
              <w:rPr>
                <w:rStyle w:val="a6"/>
                <w:i w:val="0"/>
                <w:iCs w:val="0"/>
                <w:sz w:val="20"/>
                <w:szCs w:val="20"/>
              </w:rPr>
              <w:t>3</w:t>
            </w:r>
            <w:r>
              <w:rPr>
                <w:sz w:val="20"/>
                <w:szCs w:val="20"/>
              </w:rPr>
              <w:t xml:space="preserve"> of the fair value hierarchy. </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has certain financial instruments that must be measured under the FASB’s Fair Value Measurements an</w:t>
      </w:r>
      <w:r>
        <w:rPr>
          <w:sz w:val="20"/>
          <w:szCs w:val="20"/>
        </w:rPr>
        <w:t>d Disclosures guidance, including available for sale securities. The Company currently does</w:t>
      </w:r>
      <w:r>
        <w:rPr>
          <w:sz w:val="20"/>
          <w:szCs w:val="20"/>
        </w:rPr>
        <w:t xml:space="preserve"> </w:t>
      </w:r>
      <w:r>
        <w:rPr>
          <w:rStyle w:val="a6"/>
          <w:i w:val="0"/>
          <w:iCs w:val="0"/>
          <w:sz w:val="20"/>
          <w:szCs w:val="20"/>
        </w:rPr>
        <w:t>not</w:t>
      </w:r>
      <w:r>
        <w:rPr>
          <w:sz w:val="20"/>
          <w:szCs w:val="20"/>
        </w:rPr>
        <w:t xml:space="preserve"> have non-financial assets and non-financial liabilities that are required to be measured at fair value on a recurring basis.</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tables below present the Comp</w:t>
      </w:r>
      <w:r>
        <w:rPr>
          <w:sz w:val="20"/>
          <w:szCs w:val="20"/>
        </w:rPr>
        <w:t>any’s financial assets measured at fair value on a recurring basis at</w:t>
      </w:r>
      <w:r>
        <w:rPr>
          <w:sz w:val="20"/>
          <w:szCs w:val="20"/>
        </w:rPr>
        <w:t> </w:t>
      </w:r>
      <w:r>
        <w:rPr>
          <w:rStyle w:val="a6"/>
          <w:i w:val="0"/>
          <w:iCs w:val="0"/>
          <w:sz w:val="20"/>
          <w:szCs w:val="20"/>
        </w:rPr>
        <w:t xml:space="preserve"> September 30, 2019 </w:t>
      </w:r>
      <w:r>
        <w:rPr>
          <w:sz w:val="20"/>
          <w:szCs w:val="20"/>
        </w:rPr>
        <w:t>and</w:t>
      </w:r>
      <w:r>
        <w:rPr>
          <w:sz w:val="20"/>
          <w:szCs w:val="20"/>
        </w:rPr>
        <w:t xml:space="preserve"> </w:t>
      </w:r>
      <w:r>
        <w:rPr>
          <w:rStyle w:val="a6"/>
          <w:i w:val="0"/>
          <w:iCs w:val="0"/>
          <w:sz w:val="20"/>
          <w:szCs w:val="20"/>
        </w:rPr>
        <w:t xml:space="preserve">December 31, 2018, </w:t>
      </w:r>
      <w:r>
        <w:rPr>
          <w:sz w:val="20"/>
          <w:szCs w:val="20"/>
        </w:rPr>
        <w:t>aggregated by the level in the fair value hierarchy within which those measurements fall (in thousands):</w:t>
      </w:r>
    </w:p>
    <w:p w:rsidR="00000000" w:rsidRDefault="005F676C">
      <w:pPr>
        <w:pStyle w:val="a3"/>
        <w:spacing w:before="0" w:beforeAutospacing="0" w:after="0" w:afterAutospacing="0"/>
        <w:ind w:firstLine="36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307"/>
        <w:gridCol w:w="72"/>
        <w:gridCol w:w="101"/>
        <w:gridCol w:w="1019"/>
        <w:gridCol w:w="72"/>
        <w:gridCol w:w="72"/>
        <w:gridCol w:w="100"/>
        <w:gridCol w:w="861"/>
        <w:gridCol w:w="72"/>
        <w:gridCol w:w="72"/>
        <w:gridCol w:w="101"/>
        <w:gridCol w:w="861"/>
        <w:gridCol w:w="72"/>
        <w:gridCol w:w="73"/>
        <w:gridCol w:w="101"/>
        <w:gridCol w:w="862"/>
        <w:gridCol w:w="73"/>
      </w:tblGrid>
      <w:tr w:rsidR="00000000">
        <w:trPr>
          <w:tblCellSpacing w:w="0" w:type="dxa"/>
        </w:trPr>
        <w:tc>
          <w:tcPr>
            <w:tcW w:w="2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Balance at</w:t>
            </w:r>
          </w:p>
          <w:p w:rsidR="00000000" w:rsidRDefault="005F676C">
            <w:pPr>
              <w:pStyle w:val="a3"/>
              <w:spacing w:before="0" w:beforeAutospacing="0" w:after="0" w:afterAutospacing="0"/>
              <w:jc w:val="center"/>
              <w:rPr>
                <w:sz w:val="20"/>
                <w:szCs w:val="20"/>
              </w:rPr>
            </w:pPr>
            <w:r>
              <w:rPr>
                <w:b/>
                <w:bCs/>
                <w:sz w:val="20"/>
                <w:szCs w:val="20"/>
              </w:rPr>
              <w:t>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6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10,001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10,001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307"/>
        <w:gridCol w:w="72"/>
        <w:gridCol w:w="101"/>
        <w:gridCol w:w="1019"/>
        <w:gridCol w:w="72"/>
        <w:gridCol w:w="72"/>
        <w:gridCol w:w="100"/>
        <w:gridCol w:w="861"/>
        <w:gridCol w:w="72"/>
        <w:gridCol w:w="72"/>
        <w:gridCol w:w="101"/>
        <w:gridCol w:w="861"/>
        <w:gridCol w:w="72"/>
        <w:gridCol w:w="73"/>
        <w:gridCol w:w="101"/>
        <w:gridCol w:w="862"/>
        <w:gridCol w:w="73"/>
      </w:tblGrid>
      <w:tr w:rsidR="00000000">
        <w:trPr>
          <w:tblCellSpacing w:w="0" w:type="dxa"/>
        </w:trPr>
        <w:tc>
          <w:tcPr>
            <w:tcW w:w="2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Balance at</w:t>
            </w:r>
          </w:p>
          <w:p w:rsidR="00000000" w:rsidRDefault="005F676C">
            <w:pPr>
              <w:pStyle w:val="a3"/>
              <w:spacing w:before="0" w:beforeAutospacing="0" w:after="0" w:afterAutospacing="0"/>
              <w:jc w:val="center"/>
              <w:rPr>
                <w:sz w:val="20"/>
                <w:szCs w:val="20"/>
              </w:rPr>
            </w:pPr>
            <w:r>
              <w:rPr>
                <w:b/>
                <w:bCs/>
                <w:sz w:val="20"/>
                <w:szCs w:val="20"/>
              </w:rPr>
              <w:t>December 31, 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6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Marketable equity securities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9,045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9,045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Assets measured at fair value on a non-recurring basis at</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 xml:space="preserve">December 31, 2018, </w:t>
      </w:r>
      <w:r>
        <w:rPr>
          <w:sz w:val="20"/>
          <w:szCs w:val="20"/>
        </w:rPr>
        <w:t>are as follows (in thousands):</w:t>
      </w:r>
    </w:p>
    <w:p w:rsidR="00000000" w:rsidRDefault="005F676C">
      <w:pPr>
        <w:pStyle w:val="a3"/>
        <w:spacing w:before="0" w:beforeAutospacing="0" w:after="0" w:afterAutospacing="0"/>
        <w:ind w:firstLine="36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307"/>
        <w:gridCol w:w="72"/>
        <w:gridCol w:w="101"/>
        <w:gridCol w:w="1019"/>
        <w:gridCol w:w="72"/>
        <w:gridCol w:w="72"/>
        <w:gridCol w:w="101"/>
        <w:gridCol w:w="861"/>
        <w:gridCol w:w="72"/>
        <w:gridCol w:w="72"/>
        <w:gridCol w:w="101"/>
        <w:gridCol w:w="861"/>
        <w:gridCol w:w="72"/>
        <w:gridCol w:w="73"/>
        <w:gridCol w:w="100"/>
        <w:gridCol w:w="862"/>
        <w:gridCol w:w="73"/>
      </w:tblGrid>
      <w:tr w:rsidR="00000000">
        <w:trPr>
          <w:tblCellSpacing w:w="0" w:type="dxa"/>
        </w:trPr>
        <w:tc>
          <w:tcPr>
            <w:tcW w:w="2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Balance at</w:t>
            </w:r>
          </w:p>
          <w:p w:rsidR="00000000" w:rsidRDefault="005F676C">
            <w:pPr>
              <w:pStyle w:val="a3"/>
              <w:spacing w:before="0" w:beforeAutospacing="0" w:after="0" w:afterAutospacing="0"/>
              <w:jc w:val="center"/>
              <w:rPr>
                <w:sz w:val="20"/>
                <w:szCs w:val="20"/>
              </w:rPr>
            </w:pPr>
            <w:r>
              <w:rPr>
                <w:b/>
                <w:bCs/>
                <w:sz w:val="20"/>
                <w:szCs w:val="20"/>
              </w:rPr>
              <w:t>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6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138,489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138,489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Other real estate investments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22,202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22,202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307"/>
        <w:gridCol w:w="72"/>
        <w:gridCol w:w="101"/>
        <w:gridCol w:w="1019"/>
        <w:gridCol w:w="72"/>
        <w:gridCol w:w="72"/>
        <w:gridCol w:w="101"/>
        <w:gridCol w:w="861"/>
        <w:gridCol w:w="72"/>
        <w:gridCol w:w="72"/>
        <w:gridCol w:w="101"/>
        <w:gridCol w:w="861"/>
        <w:gridCol w:w="72"/>
        <w:gridCol w:w="73"/>
        <w:gridCol w:w="100"/>
        <w:gridCol w:w="862"/>
        <w:gridCol w:w="73"/>
      </w:tblGrid>
      <w:tr w:rsidR="00000000">
        <w:trPr>
          <w:tblCellSpacing w:w="0" w:type="dxa"/>
        </w:trPr>
        <w:tc>
          <w:tcPr>
            <w:tcW w:w="2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Balance at</w:t>
            </w:r>
          </w:p>
          <w:p w:rsidR="00000000" w:rsidRDefault="005F676C">
            <w:pPr>
              <w:pStyle w:val="a3"/>
              <w:spacing w:before="0" w:beforeAutospacing="0" w:after="0" w:afterAutospacing="0"/>
              <w:jc w:val="center"/>
              <w:rPr>
                <w:sz w:val="20"/>
                <w:szCs w:val="20"/>
              </w:rPr>
            </w:pPr>
            <w:r>
              <w:rPr>
                <w:b/>
                <w:bCs/>
                <w:sz w:val="20"/>
                <w:szCs w:val="20"/>
              </w:rPr>
              <w:t>December 31, 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1</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2</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Level 3</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1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6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Real estate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99,693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99,693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1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Investments in real estate joint ventures (1)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62,429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62,429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Fair value measurement as of date of deconsolidation.</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2018,</w:t>
      </w:r>
      <w:r>
        <w:rPr>
          <w:sz w:val="20"/>
          <w:szCs w:val="20"/>
        </w:rPr>
        <w:t xml:space="preserve"> </w:t>
      </w:r>
      <w:r>
        <w:rPr>
          <w:sz w:val="20"/>
          <w:szCs w:val="20"/>
        </w:rPr>
        <w:t>the Company recognized impairment charges related to adjustments to property carrying values of $41.2 million and $33.9 million, respectively. The Company’s estimated fair values of these properties were primarily based upon estimated sales prices from (i)</w:t>
      </w:r>
      <w:r>
        <w:rPr>
          <w:sz w:val="20"/>
          <w:szCs w:val="20"/>
        </w:rPr>
        <w:t xml:space="preserve"> signed contracts or letters of intent from</w:t>
      </w:r>
      <w:r>
        <w:rPr>
          <w:sz w:val="20"/>
          <w:szCs w:val="20"/>
        </w:rPr>
        <w:t xml:space="preserve"> </w:t>
      </w:r>
      <w:r>
        <w:rPr>
          <w:rStyle w:val="a6"/>
          <w:i w:val="0"/>
          <w:iCs w:val="0"/>
          <w:sz w:val="20"/>
          <w:szCs w:val="20"/>
        </w:rPr>
        <w:t>third</w:t>
      </w:r>
      <w:r>
        <w:rPr>
          <w:sz w:val="20"/>
          <w:szCs w:val="20"/>
        </w:rPr>
        <w:t xml:space="preserve"> party offers or (ii) discounted cash flow models. The Company does</w:t>
      </w:r>
      <w:r>
        <w:rPr>
          <w:sz w:val="20"/>
          <w:szCs w:val="20"/>
        </w:rPr>
        <w:t xml:space="preserve"> </w:t>
      </w:r>
      <w:r>
        <w:rPr>
          <w:rStyle w:val="a6"/>
          <w:i w:val="0"/>
          <w:iCs w:val="0"/>
          <w:sz w:val="20"/>
          <w:szCs w:val="20"/>
        </w:rPr>
        <w:t>not</w:t>
      </w:r>
      <w:r>
        <w:rPr>
          <w:sz w:val="20"/>
          <w:szCs w:val="20"/>
        </w:rPr>
        <w:t xml:space="preserve"> have access to the unobservable inputs used to determine the estimated fair values of</w:t>
      </w:r>
      <w:r>
        <w:rPr>
          <w:sz w:val="20"/>
          <w:szCs w:val="20"/>
        </w:rPr>
        <w:t xml:space="preserve"> </w:t>
      </w:r>
      <w:r>
        <w:rPr>
          <w:rStyle w:val="a6"/>
          <w:i w:val="0"/>
          <w:iCs w:val="0"/>
          <w:sz w:val="20"/>
          <w:szCs w:val="20"/>
        </w:rPr>
        <w:t>third</w:t>
      </w:r>
      <w:r>
        <w:rPr>
          <w:sz w:val="20"/>
          <w:szCs w:val="20"/>
        </w:rPr>
        <w:t xml:space="preserve"> party offers. For the discounted cash flow </w:t>
      </w:r>
      <w:r>
        <w:rPr>
          <w:sz w:val="20"/>
          <w:szCs w:val="20"/>
        </w:rPr>
        <w:t>models, the capitalization rates primarily range from 8.00% to 11.00% and discount rates primarily range from 8.50% to 12.50% which were utilized in the models based upon unobservable rates that the Company believes to be within a reasonable range of curre</w:t>
      </w:r>
      <w:r>
        <w:rPr>
          <w:sz w:val="20"/>
          <w:szCs w:val="20"/>
        </w:rPr>
        <w:t>nt market rates for each respective investment. Based on these inputs, the Company determined that its valuation of these investments was classified within Level</w:t>
      </w:r>
      <w:r>
        <w:rPr>
          <w:sz w:val="20"/>
          <w:szCs w:val="20"/>
        </w:rPr>
        <w:t xml:space="preserve"> </w:t>
      </w:r>
      <w:r>
        <w:rPr>
          <w:rStyle w:val="a6"/>
          <w:i w:val="0"/>
          <w:iCs w:val="0"/>
          <w:sz w:val="20"/>
          <w:szCs w:val="20"/>
        </w:rPr>
        <w:t>3</w:t>
      </w:r>
      <w:r>
        <w:rPr>
          <w:sz w:val="20"/>
          <w:szCs w:val="20"/>
        </w:rPr>
        <w:t xml:space="preserve"> of the fair value hierarchy. (See Footnote</w:t>
      </w:r>
      <w:r>
        <w:rPr>
          <w:sz w:val="20"/>
          <w:szCs w:val="20"/>
        </w:rPr>
        <w:t xml:space="preserve"> </w:t>
      </w:r>
      <w:r>
        <w:rPr>
          <w:rStyle w:val="a6"/>
          <w:i w:val="0"/>
          <w:iCs w:val="0"/>
          <w:sz w:val="20"/>
          <w:szCs w:val="20"/>
        </w:rPr>
        <w:t>3</w:t>
      </w:r>
      <w:r>
        <w:rPr>
          <w:sz w:val="20"/>
          <w:szCs w:val="20"/>
        </w:rPr>
        <w:t xml:space="preserve"> to the Notes to the Company’s Condensed Consoli</w:t>
      </w:r>
      <w:r>
        <w:rPr>
          <w:sz w:val="20"/>
          <w:szCs w:val="20"/>
        </w:rPr>
        <w:t>dated Financial Statements for additional discussion regarding impairment charges).</w:t>
      </w:r>
    </w:p>
    <w:p w:rsidR="00000000" w:rsidRDefault="005F676C">
      <w:pPr>
        <w:pStyle w:val="a3"/>
        <w:spacing w:before="0" w:beforeAutospacing="0" w:after="0" w:afterAutospacing="0"/>
        <w:rPr>
          <w:sz w:val="20"/>
          <w:szCs w:val="20"/>
        </w:rPr>
      </w:pPr>
      <w:r>
        <w:rPr>
          <w:sz w:val="20"/>
          <w:szCs w:val="20"/>
        </w:rPr>
        <w:t> </w:t>
      </w:r>
    </w:p>
    <w:p w:rsidR="00000000" w:rsidRDefault="005F676C">
      <w:pPr>
        <w:jc w:val="center"/>
        <w:divId w:val="230817856"/>
        <w:rPr>
          <w:rFonts w:eastAsia="Times New Roman"/>
          <w:sz w:val="20"/>
          <w:szCs w:val="20"/>
        </w:rPr>
      </w:pPr>
      <w:r>
        <w:rPr>
          <w:rFonts w:eastAsia="Times New Roman"/>
          <w:sz w:val="20"/>
          <w:szCs w:val="20"/>
        </w:rPr>
        <w:t xml:space="preserve">20 </w:t>
      </w:r>
    </w:p>
    <w:p w:rsidR="00000000" w:rsidRDefault="005F676C">
      <w:pPr>
        <w:divId w:val="230817856"/>
        <w:rPr>
          <w:rFonts w:eastAsia="Times New Roman"/>
          <w:sz w:val="20"/>
          <w:szCs w:val="20"/>
        </w:rPr>
      </w:pPr>
      <w:r>
        <w:rPr>
          <w:rFonts w:eastAsia="Times New Roman"/>
          <w:sz w:val="20"/>
          <w:szCs w:val="20"/>
        </w:rPr>
        <w:pict>
          <v:rect id="_x0000_i1048" style="width:0;height:1.5pt" o:hralign="center" o:hrstd="t" o:hr="t" fillcolor="#a0a0a0" stroked="f"/>
        </w:pict>
      </w:r>
    </w:p>
    <w:p w:rsidR="00000000" w:rsidRDefault="005F676C">
      <w:pPr>
        <w:divId w:val="23081785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divId w:val="203256365"/>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rStyle w:val="a6"/>
          <w:i w:val="0"/>
          <w:iCs w:val="0"/>
          <w:sz w:val="20"/>
          <w:szCs w:val="20"/>
        </w:rPr>
        <w:t>13.</w:t>
      </w:r>
      <w:r>
        <w:rPr>
          <w:sz w:val="20"/>
          <w:szCs w:val="20"/>
        </w:rPr>
        <w:t xml:space="preserve"> </w:t>
      </w:r>
      <w:r>
        <w:rPr>
          <w:sz w:val="20"/>
          <w:szCs w:val="20"/>
          <w:u w:val="single"/>
        </w:rPr>
        <w:t>Incentive Plans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The Company accounts for equity awards in accordance with </w:t>
      </w:r>
      <w:r>
        <w:rPr>
          <w:sz w:val="20"/>
          <w:szCs w:val="20"/>
        </w:rPr>
        <w:t>FASB’s Compensation – Stock Compensation guidance which requires that all share-based payments to employees, including grants of employee stock options, restricted stock and performance shares, be recognized in the Condensed Consolidated Statements of Inco</w:t>
      </w:r>
      <w:r>
        <w:rPr>
          <w:sz w:val="20"/>
          <w:szCs w:val="20"/>
        </w:rPr>
        <w:t xml:space="preserve">me over the service period based on their fair values. Fair value is determined, depending on the type of award, using either the Black-Scholes option pricing formula or the Monte Carlo method for performance shares, both of which are intended to estimate </w:t>
      </w:r>
      <w:r>
        <w:rPr>
          <w:sz w:val="20"/>
          <w:szCs w:val="20"/>
        </w:rPr>
        <w:t>the fair value of the awards at the grant date. Fair value of restricted shares is calculated based on the price on the date of grant.</w:t>
      </w:r>
    </w:p>
    <w:p w:rsidR="00000000" w:rsidRDefault="005F676C">
      <w:pPr>
        <w:pStyle w:val="a3"/>
        <w:spacing w:before="0" w:beforeAutospacing="0" w:after="0" w:afterAutospacing="0"/>
        <w:ind w:left="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recognized expenses associated with its equity awards of $15.0 million and $14.5 million for the</w:t>
      </w:r>
      <w:r>
        <w:rPr>
          <w:sz w:val="20"/>
          <w:szCs w:val="20"/>
        </w:rPr>
        <w:t xml:space="preserve"> </w:t>
      </w:r>
      <w:r>
        <w:rPr>
          <w:rStyle w:val="a6"/>
          <w:i w:val="0"/>
          <w:iCs w:val="0"/>
          <w:sz w:val="20"/>
          <w:szCs w:val="20"/>
        </w:rPr>
        <w:t>nine</w:t>
      </w:r>
      <w:r>
        <w:rPr>
          <w:sz w:val="20"/>
          <w:szCs w:val="20"/>
        </w:rPr>
        <w:t xml:space="preserve"> month</w:t>
      </w:r>
      <w:r>
        <w:rPr>
          <w:sz w:val="20"/>
          <w:szCs w:val="20"/>
        </w:rPr>
        <w:t>s ended</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2018,</w:t>
      </w:r>
      <w:r>
        <w:rPr>
          <w:sz w:val="20"/>
          <w:szCs w:val="20"/>
        </w:rPr>
        <w:t xml:space="preserve"> respectively.  As of</w:t>
      </w:r>
      <w:r>
        <w:rPr>
          <w:sz w:val="20"/>
          <w:szCs w:val="20"/>
        </w:rPr>
        <w:t xml:space="preserve"> </w:t>
      </w:r>
      <w:r>
        <w:rPr>
          <w:rStyle w:val="a6"/>
          <w:i w:val="0"/>
          <w:iCs w:val="0"/>
          <w:sz w:val="20"/>
          <w:szCs w:val="20"/>
        </w:rPr>
        <w:t xml:space="preserve">September 30, 2019, </w:t>
      </w:r>
      <w:r>
        <w:rPr>
          <w:sz w:val="20"/>
          <w:szCs w:val="20"/>
        </w:rPr>
        <w:t xml:space="preserve">the Company had $38.0 </w:t>
      </w:r>
      <w:r>
        <w:rPr>
          <w:sz w:val="20"/>
          <w:szCs w:val="20"/>
        </w:rPr>
        <w:t>million of total unrecognized compensation cost related to unvested stock compensation granted under the Plans.  That cost is expected to be recognized over a weighted average period of approximately 3.0 years.</w:t>
      </w:r>
    </w:p>
    <w:p w:rsidR="00000000" w:rsidRDefault="005F676C">
      <w:pPr>
        <w:pStyle w:val="a3"/>
        <w:spacing w:before="0" w:beforeAutospacing="0" w:after="0" w:afterAutospacing="0"/>
        <w:rPr>
          <w:sz w:val="20"/>
          <w:szCs w:val="20"/>
        </w:rPr>
      </w:pPr>
      <w:r>
        <w:rPr>
          <w:sz w:val="20"/>
          <w:szCs w:val="20"/>
        </w:rPr>
        <w:t> </w:t>
      </w:r>
    </w:p>
    <w:p w:rsidR="00000000" w:rsidRDefault="005F676C">
      <w:pPr>
        <w:divId w:val="1299191650"/>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rStyle w:val="a6"/>
          <w:i w:val="0"/>
          <w:iCs w:val="0"/>
          <w:sz w:val="20"/>
          <w:szCs w:val="20"/>
        </w:rPr>
        <w:t>14.</w:t>
      </w:r>
      <w:r>
        <w:rPr>
          <w:sz w:val="20"/>
          <w:szCs w:val="20"/>
        </w:rPr>
        <w:t xml:space="preserve"> </w:t>
      </w:r>
      <w:r>
        <w:rPr>
          <w:sz w:val="20"/>
          <w:szCs w:val="20"/>
          <w:u w:val="single"/>
        </w:rPr>
        <w:t>Earnings Per Share</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following t</w:t>
      </w:r>
      <w:r>
        <w:rPr>
          <w:sz w:val="20"/>
          <w:szCs w:val="20"/>
        </w:rPr>
        <w:t>able sets forth the reconciliation of earnings and the weighted average number of shares used in the calculation of basic and diluted earnings per share (amounts presented in thousands except per share data):</w:t>
      </w:r>
    </w:p>
    <w:p w:rsidR="00000000" w:rsidRDefault="005F676C">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Three Months Ended</w:t>
            </w:r>
          </w:p>
          <w:p w:rsidR="00000000" w:rsidRDefault="005F676C">
            <w:pPr>
              <w:pStyle w:val="a3"/>
              <w:spacing w:before="0" w:beforeAutospacing="0" w:after="0" w:afterAutospacing="0"/>
              <w:jc w:val="center"/>
              <w:rPr>
                <w:sz w:val="20"/>
                <w:szCs w:val="20"/>
              </w:rPr>
            </w:pPr>
            <w:r>
              <w:rPr>
                <w:b/>
                <w:bCs/>
                <w:sz w:val="20"/>
                <w:szCs w:val="20"/>
              </w:rPr>
              <w:t>September 30,</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Nine months Ended</w:t>
            </w:r>
          </w:p>
          <w:p w:rsidR="00000000" w:rsidRDefault="005F676C">
            <w:pPr>
              <w:pStyle w:val="a3"/>
              <w:spacing w:before="0" w:beforeAutospacing="0" w:after="0" w:afterAutospacing="0"/>
              <w:jc w:val="center"/>
              <w:rPr>
                <w:sz w:val="20"/>
                <w:szCs w:val="20"/>
              </w:rPr>
            </w:pPr>
            <w:r>
              <w:rPr>
                <w:b/>
                <w:bCs/>
                <w:sz w:val="20"/>
                <w:szCs w:val="20"/>
              </w:rPr>
              <w:t>September 30,</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i/>
                <w:iCs/>
                <w:sz w:val="20"/>
                <w:szCs w:val="20"/>
              </w:rPr>
              <w:t>Computation of Basic and Diluted Earnings Per Share:</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i/>
                <w:iCs/>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Net income available to the Company's common shareholders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59,048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85,624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247,176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365,977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360" w:hanging="360"/>
              <w:rPr>
                <w:sz w:val="20"/>
                <w:szCs w:val="20"/>
              </w:rPr>
            </w:pPr>
            <w:r>
              <w:rPr>
                <w:sz w:val="20"/>
                <w:szCs w:val="20"/>
              </w:rPr>
              <w:t>Change in estimated redemption value of redeemable noncontrolling interests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(3,918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(3,918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Earnings attributable to participating securities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(654</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(604</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(1,939</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(1,818</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360" w:hanging="360"/>
              <w:rPr>
                <w:sz w:val="20"/>
                <w:szCs w:val="20"/>
              </w:rPr>
            </w:pPr>
            <w:r>
              <w:rPr>
                <w:sz w:val="20"/>
                <w:szCs w:val="20"/>
              </w:rPr>
              <w:t>Net income availa</w:t>
            </w:r>
            <w:r>
              <w:rPr>
                <w:sz w:val="20"/>
                <w:szCs w:val="20"/>
              </w:rPr>
              <w:t>ble to the Company’s common shareholders for basic earnings per share</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58,394</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81,102</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245,237</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360,241</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Distributions on convertible units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20</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683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360" w:hanging="360"/>
              <w:rPr>
                <w:sz w:val="20"/>
                <w:szCs w:val="20"/>
              </w:rPr>
            </w:pPr>
            <w:r>
              <w:rPr>
                <w:sz w:val="20"/>
                <w:szCs w:val="20"/>
              </w:rPr>
              <w:t>Net income available to the Company’s common shareholders for diluted earnings per share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58,394</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81,102</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245,257</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360,924</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Weighted average common shares outstanding – basic</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419,823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419,230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419,663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421,106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Effect of dilutive securities (1):</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Equity awards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1,120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534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1,273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515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Assumed conversion of convertible units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59</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50</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822</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Weighted average common shares outstanding – diluted</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421,002</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419,764</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420,986</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422,443</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Net income available to the Company's common shareholders:</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Basic earnings per share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0.14</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0.19</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0.58</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0.86</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Diluted earnings per share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0.14</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0.19</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0.58</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0.85</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676C">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rsidR="00000000" w:rsidRDefault="005F676C">
            <w:pPr>
              <w:pStyle w:val="a3"/>
              <w:spacing w:before="0" w:beforeAutospacing="0" w:after="0" w:afterAutospacing="0"/>
              <w:ind w:right="810"/>
              <w:jc w:val="both"/>
              <w:rPr>
                <w:sz w:val="20"/>
                <w:szCs w:val="20"/>
              </w:rPr>
            </w:pPr>
            <w:r>
              <w:rPr>
                <w:sz w:val="20"/>
                <w:szCs w:val="20"/>
              </w:rPr>
              <w:t>The effect of the assumed conversion of certain convertible units had an anti-dilutive effect upon the calculation of Net income available to the Company’s common shareholders per share. Accordingly, the impact of such conversions has</w:t>
            </w:r>
            <w:r>
              <w:rPr>
                <w:sz w:val="20"/>
                <w:szCs w:val="20"/>
              </w:rPr>
              <w:t xml:space="preserve"> </w:t>
            </w:r>
            <w:r>
              <w:rPr>
                <w:rStyle w:val="a6"/>
                <w:i w:val="0"/>
                <w:iCs w:val="0"/>
                <w:sz w:val="20"/>
                <w:szCs w:val="20"/>
              </w:rPr>
              <w:t>not</w:t>
            </w:r>
            <w:r>
              <w:rPr>
                <w:sz w:val="20"/>
                <w:szCs w:val="20"/>
              </w:rPr>
              <w:t xml:space="preserve"> been included in </w:t>
            </w:r>
            <w:r>
              <w:rPr>
                <w:sz w:val="20"/>
                <w:szCs w:val="20"/>
              </w:rPr>
              <w:t>the determination of diluted earnings per share calculations. Additionally, there were 0.5 million and 1.3 million stock options that were</w:t>
            </w:r>
            <w:r>
              <w:rPr>
                <w:sz w:val="20"/>
                <w:szCs w:val="20"/>
              </w:rPr>
              <w:t xml:space="preserve"> </w:t>
            </w:r>
            <w:r>
              <w:rPr>
                <w:rStyle w:val="a6"/>
                <w:i w:val="0"/>
                <w:iCs w:val="0"/>
                <w:sz w:val="20"/>
                <w:szCs w:val="20"/>
              </w:rPr>
              <w:t>not</w:t>
            </w:r>
            <w:r>
              <w:rPr>
                <w:sz w:val="20"/>
                <w:szCs w:val="20"/>
              </w:rPr>
              <w:t xml:space="preserve"> dilutive as of</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2018,</w:t>
            </w:r>
            <w:r>
              <w:rPr>
                <w:sz w:val="20"/>
                <w:szCs w:val="20"/>
              </w:rPr>
              <w:t xml:space="preserve"> respectively.</w:t>
            </w:r>
          </w:p>
        </w:tc>
      </w:tr>
    </w:tbl>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 unvested restricted share awards contain non-forfeitable rights to distributions or distribution equivalents. The impact of the unvested restricted share awards on earnings per share has been calculated using the</w:t>
      </w:r>
      <w:r>
        <w:rPr>
          <w:sz w:val="20"/>
          <w:szCs w:val="20"/>
        </w:rPr>
        <w:t xml:space="preserve"> </w:t>
      </w:r>
      <w:r>
        <w:rPr>
          <w:rStyle w:val="a6"/>
          <w:i w:val="0"/>
          <w:iCs w:val="0"/>
          <w:sz w:val="20"/>
          <w:szCs w:val="20"/>
        </w:rPr>
        <w:t>two</w:t>
      </w:r>
      <w:r>
        <w:rPr>
          <w:sz w:val="20"/>
          <w:szCs w:val="20"/>
        </w:rPr>
        <w:t>-class method whereby earn</w:t>
      </w:r>
      <w:r>
        <w:rPr>
          <w:sz w:val="20"/>
          <w:szCs w:val="20"/>
        </w:rPr>
        <w:t>ings are allocated to the unvested restricted share awards based on dividends declared and the unvested restricted shares' participation rights in undistributed earnings.</w:t>
      </w:r>
    </w:p>
    <w:p w:rsidR="00000000" w:rsidRDefault="005F676C">
      <w:pPr>
        <w:pStyle w:val="a3"/>
        <w:spacing w:before="0" w:beforeAutospacing="0" w:after="0" w:afterAutospacing="0"/>
        <w:rPr>
          <w:sz w:val="20"/>
          <w:szCs w:val="20"/>
        </w:rPr>
      </w:pPr>
      <w:r>
        <w:rPr>
          <w:sz w:val="20"/>
          <w:szCs w:val="20"/>
        </w:rPr>
        <w:t> </w:t>
      </w:r>
    </w:p>
    <w:p w:rsidR="00000000" w:rsidRDefault="005F676C">
      <w:pPr>
        <w:jc w:val="center"/>
        <w:divId w:val="280114684"/>
        <w:rPr>
          <w:rFonts w:eastAsia="Times New Roman"/>
          <w:sz w:val="20"/>
          <w:szCs w:val="20"/>
        </w:rPr>
      </w:pPr>
      <w:r>
        <w:rPr>
          <w:rFonts w:eastAsia="Times New Roman"/>
          <w:sz w:val="20"/>
          <w:szCs w:val="20"/>
        </w:rPr>
        <w:t xml:space="preserve">21 </w:t>
      </w:r>
    </w:p>
    <w:p w:rsidR="00000000" w:rsidRDefault="005F676C">
      <w:pPr>
        <w:divId w:val="280114684"/>
        <w:rPr>
          <w:rFonts w:eastAsia="Times New Roman"/>
          <w:sz w:val="20"/>
          <w:szCs w:val="20"/>
        </w:rPr>
      </w:pPr>
      <w:r>
        <w:rPr>
          <w:rFonts w:eastAsia="Times New Roman"/>
          <w:sz w:val="20"/>
          <w:szCs w:val="20"/>
        </w:rPr>
        <w:pict>
          <v:rect id="_x0000_i1049" style="width:0;height:1.5pt" o:hralign="center" o:hrstd="t" o:hr="t" fillcolor="#a0a0a0" stroked="f"/>
        </w:pict>
      </w:r>
    </w:p>
    <w:p w:rsidR="00000000" w:rsidRDefault="005F676C">
      <w:pPr>
        <w:divId w:val="280114684"/>
        <w:rPr>
          <w:rFonts w:eastAsia="Times New Roman"/>
          <w:sz w:val="20"/>
          <w:szCs w:val="20"/>
        </w:rPr>
      </w:pPr>
      <w:hyperlink w:anchor="toc" w:history="1">
        <w:r>
          <w:rPr>
            <w:rStyle w:val="a4"/>
            <w:rFonts w:eastAsia="Times New Roman"/>
            <w:sz w:val="20"/>
            <w:szCs w:val="20"/>
          </w:rPr>
          <w:t>Table of Content</w:t>
        </w:r>
        <w:r>
          <w:rPr>
            <w:rStyle w:val="a4"/>
            <w:rFonts w:eastAsia="Times New Roman"/>
            <w:sz w:val="20"/>
            <w:szCs w:val="20"/>
          </w:rPr>
          <w: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divId w:val="419765450"/>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rStyle w:val="a6"/>
          <w:i w:val="0"/>
          <w:iCs w:val="0"/>
          <w:sz w:val="20"/>
          <w:szCs w:val="20"/>
        </w:rPr>
        <w:t>15.</w:t>
      </w:r>
      <w:r>
        <w:rPr>
          <w:sz w:val="20"/>
          <w:szCs w:val="20"/>
        </w:rPr>
        <w:t xml:space="preserve"> </w:t>
      </w:r>
      <w:r>
        <w:rPr>
          <w:sz w:val="20"/>
          <w:szCs w:val="20"/>
          <w:u w:val="single"/>
        </w:rPr>
        <w:t>Stockholders’ Equity</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Preferred Stock -</w:t>
      </w:r>
    </w:p>
    <w:p w:rsidR="00000000" w:rsidRDefault="005F676C">
      <w:pPr>
        <w:pStyle w:val="a3"/>
        <w:spacing w:before="0" w:beforeAutospacing="0" w:after="0" w:afterAutospacing="0"/>
        <w:ind w:left="360"/>
        <w:jc w:val="both"/>
        <w:rPr>
          <w:sz w:val="20"/>
          <w:szCs w:val="20"/>
        </w:rPr>
      </w:pPr>
      <w:r>
        <w:rPr>
          <w:sz w:val="20"/>
          <w:szCs w:val="20"/>
        </w:rPr>
        <w:t> </w:t>
      </w:r>
    </w:p>
    <w:p w:rsidR="00000000" w:rsidRDefault="005F676C">
      <w:pPr>
        <w:pStyle w:val="a3"/>
        <w:spacing w:before="0" w:beforeAutospacing="0" w:after="0" w:afterAutospacing="0"/>
        <w:ind w:left="360"/>
        <w:jc w:val="both"/>
        <w:rPr>
          <w:sz w:val="20"/>
          <w:szCs w:val="20"/>
        </w:rPr>
      </w:pPr>
      <w:r>
        <w:rPr>
          <w:sz w:val="20"/>
          <w:szCs w:val="20"/>
        </w:rPr>
        <w:t>The Company’s outstanding Preferred Stock is detailed below:</w:t>
      </w:r>
    </w:p>
    <w:p w:rsidR="00000000" w:rsidRDefault="005F676C">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66"/>
        <w:gridCol w:w="50"/>
        <w:gridCol w:w="97"/>
        <w:gridCol w:w="870"/>
        <w:gridCol w:w="50"/>
        <w:gridCol w:w="50"/>
        <w:gridCol w:w="107"/>
        <w:gridCol w:w="961"/>
        <w:gridCol w:w="50"/>
        <w:gridCol w:w="50"/>
        <w:gridCol w:w="460"/>
        <w:gridCol w:w="1010"/>
        <w:gridCol w:w="50"/>
        <w:gridCol w:w="50"/>
        <w:gridCol w:w="779"/>
        <w:gridCol w:w="50"/>
        <w:gridCol w:w="50"/>
        <w:gridCol w:w="101"/>
        <w:gridCol w:w="840"/>
        <w:gridCol w:w="50"/>
        <w:gridCol w:w="50"/>
        <w:gridCol w:w="120"/>
        <w:gridCol w:w="450"/>
        <w:gridCol w:w="50"/>
        <w:gridCol w:w="1045"/>
      </w:tblGrid>
      <w:tr w:rsidR="00000000">
        <w:trPr>
          <w:tblCellSpacing w:w="0" w:type="dxa"/>
        </w:trPr>
        <w:tc>
          <w:tcPr>
            <w:tcW w:w="0" w:type="auto"/>
            <w:gridSpan w:val="25"/>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As of September 30, 2019</w:t>
            </w:r>
          </w:p>
        </w:tc>
      </w:tr>
      <w:tr w:rsidR="00000000">
        <w:trPr>
          <w:tblCellSpacing w:w="0" w:type="dxa"/>
        </w:trPr>
        <w:tc>
          <w:tcPr>
            <w:tcW w:w="67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Class of</w:t>
            </w:r>
          </w:p>
          <w:p w:rsidR="00000000" w:rsidRDefault="005F676C">
            <w:pPr>
              <w:pStyle w:val="a3"/>
              <w:spacing w:before="0" w:beforeAutospacing="0" w:after="0" w:afterAutospacing="0"/>
              <w:jc w:val="center"/>
              <w:rPr>
                <w:sz w:val="20"/>
                <w:szCs w:val="20"/>
              </w:rPr>
            </w:pPr>
            <w:r>
              <w:rPr>
                <w:b/>
                <w:bCs/>
                <w:sz w:val="20"/>
                <w:szCs w:val="20"/>
              </w:rPr>
              <w:t>Preferred</w:t>
            </w:r>
          </w:p>
          <w:p w:rsidR="00000000" w:rsidRDefault="005F676C">
            <w:pPr>
              <w:pStyle w:val="a3"/>
              <w:spacing w:before="0" w:beforeAutospacing="0" w:after="0" w:afterAutospacing="0"/>
              <w:jc w:val="center"/>
              <w:rPr>
                <w:sz w:val="20"/>
                <w:szCs w:val="20"/>
              </w:rPr>
            </w:pPr>
            <w:r>
              <w:rPr>
                <w:b/>
                <w:bCs/>
                <w:sz w:val="20"/>
                <w:szCs w:val="20"/>
              </w:rPr>
              <w:t>Stock</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Shares</w:t>
            </w:r>
          </w:p>
          <w:p w:rsidR="00000000" w:rsidRDefault="005F676C">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Shares</w:t>
            </w:r>
          </w:p>
          <w:p w:rsidR="00000000" w:rsidRDefault="005F676C">
            <w:pPr>
              <w:pStyle w:val="a3"/>
              <w:spacing w:before="0" w:beforeAutospacing="0" w:after="0" w:afterAutospacing="0"/>
              <w:jc w:val="center"/>
              <w:rPr>
                <w:sz w:val="20"/>
                <w:szCs w:val="20"/>
              </w:rPr>
            </w:pPr>
            <w:r>
              <w:rPr>
                <w:b/>
                <w:bCs/>
                <w:sz w:val="20"/>
                <w:szCs w:val="20"/>
              </w:rPr>
              <w:t>Issued and</w:t>
            </w:r>
          </w:p>
          <w:p w:rsidR="00000000" w:rsidRDefault="005F676C">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Liquidation</w:t>
            </w:r>
          </w:p>
          <w:p w:rsidR="00000000" w:rsidRDefault="005F676C">
            <w:pPr>
              <w:pStyle w:val="a3"/>
              <w:spacing w:before="0" w:beforeAutospacing="0" w:after="0" w:afterAutospacing="0"/>
              <w:jc w:val="center"/>
              <w:rPr>
                <w:sz w:val="20"/>
                <w:szCs w:val="20"/>
              </w:rPr>
            </w:pPr>
            <w:r>
              <w:rPr>
                <w:b/>
                <w:bCs/>
                <w:sz w:val="20"/>
                <w:szCs w:val="20"/>
              </w:rPr>
              <w:t>Preference</w:t>
            </w:r>
          </w:p>
          <w:p w:rsidR="00000000" w:rsidRDefault="005F676C">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Dividend</w:t>
            </w:r>
          </w:p>
          <w:p w:rsidR="00000000" w:rsidRDefault="005F676C">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Annual</w:t>
            </w:r>
          </w:p>
          <w:p w:rsidR="00000000" w:rsidRDefault="005F676C">
            <w:pPr>
              <w:pStyle w:val="a3"/>
              <w:spacing w:before="0" w:beforeAutospacing="0" w:after="0" w:afterAutospacing="0"/>
              <w:jc w:val="center"/>
              <w:rPr>
                <w:sz w:val="20"/>
                <w:szCs w:val="20"/>
              </w:rPr>
            </w:pPr>
            <w:r>
              <w:rPr>
                <w:b/>
                <w:bCs/>
                <w:sz w:val="20"/>
                <w:szCs w:val="20"/>
              </w:rPr>
              <w:t xml:space="preserve">Dividend per </w:t>
            </w:r>
          </w:p>
          <w:p w:rsidR="00000000" w:rsidRDefault="005F676C">
            <w:pPr>
              <w:pStyle w:val="a3"/>
              <w:spacing w:before="0" w:beforeAutospacing="0" w:after="0" w:afterAutospacing="0"/>
              <w:jc w:val="center"/>
              <w:rPr>
                <w:sz w:val="20"/>
                <w:szCs w:val="20"/>
              </w:rPr>
            </w:pPr>
            <w:r>
              <w:rPr>
                <w:b/>
                <w:bCs/>
                <w:sz w:val="20"/>
                <w:szCs w:val="20"/>
              </w:rPr>
              <w:t>Depositary</w:t>
            </w:r>
          </w:p>
          <w:p w:rsidR="00000000" w:rsidRDefault="005F676C">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sz w:val="20"/>
                <w:szCs w:val="20"/>
              </w:rPr>
              <w:t> </w:t>
            </w:r>
          </w:p>
          <w:p w:rsidR="00000000" w:rsidRDefault="005F676C">
            <w:pPr>
              <w:pStyle w:val="a3"/>
              <w:spacing w:before="0" w:beforeAutospacing="0" w:after="0" w:afterAutospacing="0"/>
              <w:jc w:val="center"/>
              <w:rPr>
                <w:sz w:val="20"/>
                <w:szCs w:val="20"/>
              </w:rPr>
            </w:pPr>
            <w:r>
              <w:rPr>
                <w:b/>
                <w:bCs/>
                <w:sz w:val="20"/>
                <w:szCs w:val="20"/>
              </w:rPr>
              <w:t>Par</w:t>
            </w:r>
          </w:p>
          <w:p w:rsidR="00000000" w:rsidRDefault="005F676C">
            <w:pPr>
              <w:pStyle w:val="a3"/>
              <w:spacing w:before="0" w:beforeAutospacing="0" w:after="0" w:afterAutospacing="0"/>
              <w:jc w:val="center"/>
              <w:rPr>
                <w:sz w:val="20"/>
                <w:szCs w:val="20"/>
              </w:rPr>
            </w:pPr>
            <w:r>
              <w:rPr>
                <w:b/>
                <w:bCs/>
                <w:sz w:val="20"/>
                <w:szCs w:val="20"/>
              </w:rPr>
              <w:t>Value</w:t>
            </w:r>
          </w:p>
        </w:tc>
        <w:tc>
          <w:tcPr>
            <w:tcW w:w="0" w:type="auto"/>
            <w:tcBorders>
              <w:bottom w:val="single" w:sz="6" w:space="0" w:color="000000"/>
            </w:tcBorders>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73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Optional</w:t>
            </w:r>
          </w:p>
          <w:p w:rsidR="00000000" w:rsidRDefault="005F676C">
            <w:pPr>
              <w:pStyle w:val="a3"/>
              <w:spacing w:before="0" w:beforeAutospacing="0" w:after="0" w:afterAutospacing="0"/>
              <w:jc w:val="center"/>
              <w:rPr>
                <w:sz w:val="20"/>
                <w:szCs w:val="20"/>
              </w:rPr>
            </w:pPr>
            <w:r>
              <w:rPr>
                <w:b/>
                <w:bCs/>
                <w:sz w:val="20"/>
                <w:szCs w:val="20"/>
              </w:rPr>
              <w:t>Redemption</w:t>
            </w:r>
          </w:p>
          <w:p w:rsidR="00000000" w:rsidRDefault="005F676C">
            <w:pPr>
              <w:pStyle w:val="a3"/>
              <w:spacing w:before="0" w:beforeAutospacing="0" w:after="0" w:afterAutospacing="0"/>
              <w:jc w:val="center"/>
              <w:rPr>
                <w:sz w:val="20"/>
                <w:szCs w:val="20"/>
              </w:rPr>
            </w:pPr>
            <w:r>
              <w:rPr>
                <w:b/>
                <w:bCs/>
                <w:sz w:val="20"/>
                <w:szCs w:val="20"/>
              </w:rPr>
              <w:t>Date</w:t>
            </w:r>
          </w:p>
        </w:tc>
      </w:tr>
      <w:tr w:rsidR="00000000">
        <w:trPr>
          <w:tblCellSpacing w:w="0" w:type="dxa"/>
        </w:trPr>
        <w:tc>
          <w:tcPr>
            <w:tcW w:w="0" w:type="auto"/>
            <w:tcBorders>
              <w:bottom w:val="nil"/>
            </w:tcBorders>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Class J</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225,000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5.500%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1.37500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pStyle w:val="a3"/>
              <w:spacing w:before="0" w:beforeAutospacing="0" w:after="0" w:afterAutospacing="0"/>
              <w:ind w:left="40"/>
              <w:jc w:val="center"/>
              <w:rPr>
                <w:sz w:val="20"/>
                <w:szCs w:val="20"/>
              </w:rPr>
            </w:pPr>
            <w:r>
              <w:rPr>
                <w:rStyle w:val="a6"/>
                <w:i w:val="0"/>
                <w:iCs w:val="0"/>
                <w:sz w:val="20"/>
                <w:szCs w:val="20"/>
              </w:rPr>
              <w:t>7/25/2017</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Class L</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10,350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225,000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5.125%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1.28125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pStyle w:val="a3"/>
              <w:spacing w:before="0" w:beforeAutospacing="0" w:after="0" w:afterAutospacing="0"/>
              <w:ind w:left="40"/>
              <w:jc w:val="center"/>
              <w:rPr>
                <w:sz w:val="20"/>
                <w:szCs w:val="20"/>
              </w:rPr>
            </w:pPr>
            <w:r>
              <w:rPr>
                <w:rStyle w:val="a6"/>
                <w:i w:val="0"/>
                <w:iCs w:val="0"/>
                <w:sz w:val="20"/>
                <w:szCs w:val="20"/>
              </w:rPr>
              <w:t>8/16/2022</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Class M</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10,580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10,580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264,500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5.250%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1.31250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pStyle w:val="a3"/>
              <w:spacing w:before="0" w:beforeAutospacing="0" w:after="0" w:afterAutospacing="0"/>
              <w:ind w:left="40"/>
              <w:jc w:val="center"/>
              <w:rPr>
                <w:sz w:val="20"/>
                <w:szCs w:val="20"/>
              </w:rPr>
            </w:pPr>
            <w:r>
              <w:rPr>
                <w:rStyle w:val="a6"/>
                <w:i w:val="0"/>
                <w:iCs w:val="0"/>
                <w:sz w:val="20"/>
                <w:szCs w:val="20"/>
              </w:rPr>
              <w:t>12/20/2022</w:t>
            </w:r>
          </w:p>
        </w:tc>
      </w:tr>
      <w:tr w:rsidR="00000000">
        <w:trPr>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28,580</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ind w:left="360"/>
              <w:jc w:val="right"/>
              <w:rPr>
                <w:rFonts w:eastAsia="Times New Roman"/>
                <w:sz w:val="20"/>
                <w:szCs w:val="20"/>
              </w:rPr>
            </w:pPr>
            <w:r>
              <w:rPr>
                <w:rFonts w:eastAsia="Times New Roman"/>
                <w:sz w:val="20"/>
                <w:szCs w:val="20"/>
              </w:rPr>
              <w:t>714,500</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Style w:val="a6"/>
                <w:rFonts w:eastAsia="Times New Roman"/>
                <w:i w:val="0"/>
                <w:iCs w:val="0"/>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833"/>
        <w:gridCol w:w="50"/>
        <w:gridCol w:w="97"/>
        <w:gridCol w:w="870"/>
        <w:gridCol w:w="50"/>
        <w:gridCol w:w="50"/>
        <w:gridCol w:w="107"/>
        <w:gridCol w:w="961"/>
        <w:gridCol w:w="50"/>
        <w:gridCol w:w="50"/>
        <w:gridCol w:w="460"/>
        <w:gridCol w:w="1160"/>
        <w:gridCol w:w="50"/>
        <w:gridCol w:w="50"/>
        <w:gridCol w:w="779"/>
        <w:gridCol w:w="50"/>
        <w:gridCol w:w="50"/>
        <w:gridCol w:w="101"/>
        <w:gridCol w:w="840"/>
        <w:gridCol w:w="50"/>
        <w:gridCol w:w="50"/>
        <w:gridCol w:w="120"/>
        <w:gridCol w:w="450"/>
        <w:gridCol w:w="50"/>
        <w:gridCol w:w="1045"/>
      </w:tblGrid>
      <w:tr w:rsidR="00000000">
        <w:trPr>
          <w:tblCellSpacing w:w="0" w:type="dxa"/>
        </w:trPr>
        <w:tc>
          <w:tcPr>
            <w:tcW w:w="0" w:type="auto"/>
            <w:gridSpan w:val="25"/>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As of December 31, 2018</w:t>
            </w:r>
          </w:p>
        </w:tc>
      </w:tr>
      <w:tr w:rsidR="00000000">
        <w:trPr>
          <w:tblCellSpacing w:w="0" w:type="dxa"/>
        </w:trPr>
        <w:tc>
          <w:tcPr>
            <w:tcW w:w="67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Class of </w:t>
            </w:r>
          </w:p>
          <w:p w:rsidR="00000000" w:rsidRDefault="005F676C">
            <w:pPr>
              <w:pStyle w:val="a3"/>
              <w:spacing w:before="0" w:beforeAutospacing="0" w:after="0" w:afterAutospacing="0"/>
              <w:jc w:val="center"/>
              <w:rPr>
                <w:sz w:val="20"/>
                <w:szCs w:val="20"/>
              </w:rPr>
            </w:pPr>
            <w:r>
              <w:rPr>
                <w:b/>
                <w:bCs/>
                <w:sz w:val="20"/>
                <w:szCs w:val="20"/>
              </w:rPr>
              <w:t>Preferred</w:t>
            </w:r>
          </w:p>
          <w:p w:rsidR="00000000" w:rsidRDefault="005F676C">
            <w:pPr>
              <w:pStyle w:val="a3"/>
              <w:spacing w:before="0" w:beforeAutospacing="0" w:after="0" w:afterAutospacing="0"/>
              <w:jc w:val="center"/>
              <w:rPr>
                <w:sz w:val="20"/>
                <w:szCs w:val="20"/>
              </w:rPr>
            </w:pPr>
            <w:r>
              <w:rPr>
                <w:b/>
                <w:bCs/>
                <w:sz w:val="20"/>
                <w:szCs w:val="20"/>
              </w:rPr>
              <w:t>Stock</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Shares</w:t>
            </w:r>
          </w:p>
          <w:p w:rsidR="00000000" w:rsidRDefault="005F676C">
            <w:pPr>
              <w:pStyle w:val="a3"/>
              <w:spacing w:before="0" w:beforeAutospacing="0" w:after="0" w:afterAutospacing="0"/>
              <w:jc w:val="center"/>
              <w:rPr>
                <w:sz w:val="20"/>
                <w:szCs w:val="20"/>
              </w:rPr>
            </w:pPr>
            <w:r>
              <w:rPr>
                <w:b/>
                <w:bCs/>
                <w:sz w:val="20"/>
                <w:szCs w:val="20"/>
              </w:rPr>
              <w:t>Authorized</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Shares</w:t>
            </w:r>
          </w:p>
          <w:p w:rsidR="00000000" w:rsidRDefault="005F676C">
            <w:pPr>
              <w:pStyle w:val="a3"/>
              <w:spacing w:before="0" w:beforeAutospacing="0" w:after="0" w:afterAutospacing="0"/>
              <w:jc w:val="center"/>
              <w:rPr>
                <w:sz w:val="20"/>
                <w:szCs w:val="20"/>
              </w:rPr>
            </w:pPr>
            <w:r>
              <w:rPr>
                <w:b/>
                <w:bCs/>
                <w:sz w:val="20"/>
                <w:szCs w:val="20"/>
              </w:rPr>
              <w:t>Issued and</w:t>
            </w:r>
          </w:p>
          <w:p w:rsidR="00000000" w:rsidRDefault="005F676C">
            <w:pPr>
              <w:pStyle w:val="a3"/>
              <w:spacing w:before="0" w:beforeAutospacing="0" w:after="0" w:afterAutospacing="0"/>
              <w:jc w:val="center"/>
              <w:rPr>
                <w:sz w:val="20"/>
                <w:szCs w:val="20"/>
              </w:rPr>
            </w:pPr>
            <w:r>
              <w:rPr>
                <w:b/>
                <w:bCs/>
                <w:sz w:val="20"/>
                <w:szCs w:val="20"/>
              </w:rPr>
              <w:t>Outstanding</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Liquidation</w:t>
            </w:r>
          </w:p>
          <w:p w:rsidR="00000000" w:rsidRDefault="005F676C">
            <w:pPr>
              <w:pStyle w:val="a3"/>
              <w:spacing w:before="0" w:beforeAutospacing="0" w:after="0" w:afterAutospacing="0"/>
              <w:jc w:val="center"/>
              <w:rPr>
                <w:sz w:val="20"/>
                <w:szCs w:val="20"/>
              </w:rPr>
            </w:pPr>
            <w:r>
              <w:rPr>
                <w:b/>
                <w:bCs/>
                <w:sz w:val="20"/>
                <w:szCs w:val="20"/>
              </w:rPr>
              <w:t>Preference</w:t>
            </w:r>
          </w:p>
          <w:p w:rsidR="00000000" w:rsidRDefault="005F676C">
            <w:pPr>
              <w:pStyle w:val="a3"/>
              <w:spacing w:before="0" w:beforeAutospacing="0" w:after="0" w:afterAutospacing="0"/>
              <w:jc w:val="center"/>
              <w:rPr>
                <w:sz w:val="20"/>
                <w:szCs w:val="20"/>
              </w:rPr>
            </w:pPr>
            <w:r>
              <w:rPr>
                <w:b/>
                <w:bCs/>
                <w:sz w:val="20"/>
                <w:szCs w:val="20"/>
              </w:rPr>
              <w:t>(in thousands)</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Dividend</w:t>
            </w:r>
          </w:p>
          <w:p w:rsidR="00000000" w:rsidRDefault="005F676C">
            <w:pPr>
              <w:pStyle w:val="a3"/>
              <w:spacing w:before="0" w:beforeAutospacing="0" w:after="0" w:afterAutospacing="0"/>
              <w:jc w:val="center"/>
              <w:rPr>
                <w:sz w:val="20"/>
                <w:szCs w:val="20"/>
              </w:rPr>
            </w:pPr>
            <w:r>
              <w:rPr>
                <w:b/>
                <w:bCs/>
                <w:sz w:val="20"/>
                <w:szCs w:val="20"/>
              </w:rPr>
              <w:t>Rate</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Annual </w:t>
            </w:r>
          </w:p>
          <w:p w:rsidR="00000000" w:rsidRDefault="005F676C">
            <w:pPr>
              <w:pStyle w:val="a3"/>
              <w:spacing w:before="0" w:beforeAutospacing="0" w:after="0" w:afterAutospacing="0"/>
              <w:jc w:val="center"/>
              <w:rPr>
                <w:sz w:val="20"/>
                <w:szCs w:val="20"/>
              </w:rPr>
            </w:pPr>
            <w:r>
              <w:rPr>
                <w:b/>
                <w:bCs/>
                <w:sz w:val="20"/>
                <w:szCs w:val="20"/>
              </w:rPr>
              <w:t xml:space="preserve">Dividend per </w:t>
            </w:r>
          </w:p>
          <w:p w:rsidR="00000000" w:rsidRDefault="005F676C">
            <w:pPr>
              <w:pStyle w:val="a3"/>
              <w:spacing w:before="0" w:beforeAutospacing="0" w:after="0" w:afterAutospacing="0"/>
              <w:jc w:val="center"/>
              <w:rPr>
                <w:sz w:val="20"/>
                <w:szCs w:val="20"/>
              </w:rPr>
            </w:pPr>
            <w:r>
              <w:rPr>
                <w:b/>
                <w:bCs/>
                <w:sz w:val="20"/>
                <w:szCs w:val="20"/>
              </w:rPr>
              <w:t>Depositary</w:t>
            </w:r>
          </w:p>
          <w:p w:rsidR="00000000" w:rsidRDefault="005F676C">
            <w:pPr>
              <w:pStyle w:val="a3"/>
              <w:spacing w:before="0" w:beforeAutospacing="0" w:after="0" w:afterAutospacing="0"/>
              <w:jc w:val="center"/>
              <w:rPr>
                <w:sz w:val="20"/>
                <w:szCs w:val="20"/>
              </w:rPr>
            </w:pPr>
            <w:r>
              <w:rPr>
                <w:b/>
                <w:bCs/>
                <w:sz w:val="20"/>
                <w:szCs w:val="20"/>
              </w:rPr>
              <w:t>Share</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sz w:val="20"/>
                <w:szCs w:val="20"/>
              </w:rPr>
              <w:t> </w:t>
            </w:r>
          </w:p>
          <w:p w:rsidR="00000000" w:rsidRDefault="005F676C">
            <w:pPr>
              <w:pStyle w:val="a3"/>
              <w:spacing w:before="0" w:beforeAutospacing="0" w:after="0" w:afterAutospacing="0"/>
              <w:jc w:val="center"/>
              <w:rPr>
                <w:sz w:val="20"/>
                <w:szCs w:val="20"/>
              </w:rPr>
            </w:pPr>
            <w:r>
              <w:rPr>
                <w:b/>
                <w:bCs/>
                <w:sz w:val="20"/>
                <w:szCs w:val="20"/>
              </w:rPr>
              <w:t>Par</w:t>
            </w:r>
          </w:p>
          <w:p w:rsidR="00000000" w:rsidRDefault="005F676C">
            <w:pPr>
              <w:pStyle w:val="a3"/>
              <w:spacing w:before="0" w:beforeAutospacing="0" w:after="0" w:afterAutospacing="0"/>
              <w:jc w:val="center"/>
              <w:rPr>
                <w:sz w:val="20"/>
                <w:szCs w:val="20"/>
              </w:rPr>
            </w:pPr>
            <w:r>
              <w:rPr>
                <w:b/>
                <w:bCs/>
                <w:sz w:val="20"/>
                <w:szCs w:val="20"/>
              </w:rPr>
              <w:t>Value</w:t>
            </w:r>
          </w:p>
        </w:tc>
        <w:tc>
          <w:tcPr>
            <w:tcW w:w="0" w:type="auto"/>
            <w:tcBorders>
              <w:bottom w:val="single" w:sz="6" w:space="0" w:color="000000"/>
            </w:tcBorders>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73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Optional</w:t>
            </w:r>
          </w:p>
          <w:p w:rsidR="00000000" w:rsidRDefault="005F676C">
            <w:pPr>
              <w:pStyle w:val="a3"/>
              <w:spacing w:before="0" w:beforeAutospacing="0" w:after="0" w:afterAutospacing="0"/>
              <w:jc w:val="center"/>
              <w:rPr>
                <w:sz w:val="20"/>
                <w:szCs w:val="20"/>
              </w:rPr>
            </w:pPr>
            <w:r>
              <w:rPr>
                <w:b/>
                <w:bCs/>
                <w:sz w:val="20"/>
                <w:szCs w:val="20"/>
              </w:rPr>
              <w:t>Redemption</w:t>
            </w:r>
          </w:p>
          <w:p w:rsidR="00000000" w:rsidRDefault="005F676C">
            <w:pPr>
              <w:pStyle w:val="a3"/>
              <w:spacing w:before="0" w:beforeAutospacing="0" w:after="0" w:afterAutospacing="0"/>
              <w:jc w:val="center"/>
              <w:rPr>
                <w:sz w:val="20"/>
                <w:szCs w:val="20"/>
              </w:rPr>
            </w:pPr>
            <w:r>
              <w:rPr>
                <w:b/>
                <w:bCs/>
                <w:sz w:val="20"/>
                <w:szCs w:val="20"/>
              </w:rPr>
              <w:t>Date</w:t>
            </w:r>
          </w:p>
        </w:tc>
      </w:tr>
      <w:tr w:rsidR="00000000">
        <w:trPr>
          <w:tblCellSpacing w:w="0" w:type="dxa"/>
        </w:trPr>
        <w:tc>
          <w:tcPr>
            <w:tcW w:w="0" w:type="auto"/>
            <w:tcBorders>
              <w:bottom w:val="nil"/>
            </w:tcBorders>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Class I</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18,400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175,000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6.000%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1.50000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pStyle w:val="a3"/>
              <w:spacing w:before="0" w:beforeAutospacing="0" w:after="0" w:afterAutospacing="0"/>
              <w:ind w:left="40"/>
              <w:jc w:val="center"/>
              <w:rPr>
                <w:sz w:val="20"/>
                <w:szCs w:val="20"/>
              </w:rPr>
            </w:pPr>
            <w:r>
              <w:rPr>
                <w:rStyle w:val="a6"/>
                <w:i w:val="0"/>
                <w:iCs w:val="0"/>
                <w:sz w:val="20"/>
                <w:szCs w:val="20"/>
              </w:rPr>
              <w:t>3/20/2017</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Class J</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225,000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5.500%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1.37500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pStyle w:val="a3"/>
              <w:spacing w:before="0" w:beforeAutospacing="0" w:after="0" w:afterAutospacing="0"/>
              <w:ind w:left="40"/>
              <w:jc w:val="center"/>
              <w:rPr>
                <w:sz w:val="20"/>
                <w:szCs w:val="20"/>
              </w:rPr>
            </w:pPr>
            <w:r>
              <w:rPr>
                <w:rStyle w:val="a6"/>
                <w:i w:val="0"/>
                <w:iCs w:val="0"/>
                <w:sz w:val="20"/>
                <w:szCs w:val="20"/>
              </w:rPr>
              <w:t>7/25/2017</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Class K</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8,050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7,000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175,000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5.625%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1.40625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pStyle w:val="a3"/>
              <w:spacing w:before="0" w:beforeAutospacing="0" w:after="0" w:afterAutospacing="0"/>
              <w:ind w:left="40"/>
              <w:jc w:val="center"/>
              <w:rPr>
                <w:sz w:val="20"/>
                <w:szCs w:val="20"/>
              </w:rPr>
            </w:pPr>
            <w:r>
              <w:rPr>
                <w:rStyle w:val="a6"/>
                <w:i w:val="0"/>
                <w:iCs w:val="0"/>
                <w:sz w:val="20"/>
                <w:szCs w:val="20"/>
              </w:rPr>
              <w:t>12/7/2017</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Class L</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10,350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225,000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5.125%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1.28125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ind w:left="20"/>
              <w:rPr>
                <w:rFonts w:eastAsia="Times New Roman"/>
                <w:sz w:val="20"/>
                <w:szCs w:val="20"/>
              </w:rPr>
            </w:pPr>
            <w:r>
              <w:rPr>
                <w:rFonts w:eastAsia="Times New Roman"/>
                <w:sz w:val="20"/>
                <w:szCs w:val="20"/>
              </w:rPr>
              <w:t>$</w:t>
            </w:r>
          </w:p>
        </w:tc>
        <w:tc>
          <w:tcPr>
            <w:tcW w:w="450" w:type="pct"/>
            <w:shd w:val="clear" w:color="auto" w:fill="FFFFFF"/>
            <w:vAlign w:val="bottom"/>
            <w:hideMark/>
          </w:tcPr>
          <w:p w:rsidR="00000000" w:rsidRDefault="005F676C">
            <w:pPr>
              <w:ind w:left="20"/>
              <w:jc w:val="right"/>
              <w:rPr>
                <w:rFonts w:eastAsia="Times New Roman"/>
                <w:sz w:val="20"/>
                <w:szCs w:val="20"/>
              </w:rPr>
            </w:pPr>
            <w:r>
              <w:rPr>
                <w:rFonts w:eastAsia="Times New Roman"/>
                <w:sz w:val="20"/>
                <w:szCs w:val="20"/>
              </w:rPr>
              <w:t>1.00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pStyle w:val="a3"/>
              <w:spacing w:before="0" w:beforeAutospacing="0" w:after="0" w:afterAutospacing="0"/>
              <w:ind w:left="40"/>
              <w:jc w:val="center"/>
              <w:rPr>
                <w:sz w:val="20"/>
                <w:szCs w:val="20"/>
              </w:rPr>
            </w:pPr>
            <w:r>
              <w:rPr>
                <w:rStyle w:val="a6"/>
                <w:i w:val="0"/>
                <w:iCs w:val="0"/>
                <w:sz w:val="20"/>
                <w:szCs w:val="20"/>
              </w:rPr>
              <w:t>8/16/2022</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Class M</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10,580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10,580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264,500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5.250%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1.31250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20"/>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5F676C">
            <w:pPr>
              <w:ind w:left="20"/>
              <w:jc w:val="right"/>
              <w:rPr>
                <w:rFonts w:eastAsia="Times New Roman"/>
                <w:sz w:val="20"/>
                <w:szCs w:val="20"/>
              </w:rPr>
            </w:pPr>
            <w:r>
              <w:rPr>
                <w:rFonts w:eastAsia="Times New Roman"/>
                <w:sz w:val="20"/>
                <w:szCs w:val="20"/>
              </w:rPr>
              <w:t>1.00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pStyle w:val="a3"/>
              <w:spacing w:before="0" w:beforeAutospacing="0" w:after="0" w:afterAutospacing="0"/>
              <w:ind w:left="40"/>
              <w:jc w:val="center"/>
              <w:rPr>
                <w:sz w:val="20"/>
                <w:szCs w:val="20"/>
              </w:rPr>
            </w:pPr>
            <w:r>
              <w:rPr>
                <w:rStyle w:val="a6"/>
                <w:i w:val="0"/>
                <w:iCs w:val="0"/>
                <w:sz w:val="20"/>
                <w:szCs w:val="20"/>
              </w:rPr>
              <w:t>12/20/2022</w:t>
            </w:r>
          </w:p>
        </w:tc>
      </w:tr>
      <w:tr w:rsidR="00000000">
        <w:trPr>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42,580</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ind w:left="360"/>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ind w:left="360"/>
              <w:jc w:val="right"/>
              <w:rPr>
                <w:rFonts w:eastAsia="Times New Roman"/>
                <w:sz w:val="20"/>
                <w:szCs w:val="20"/>
              </w:rPr>
            </w:pPr>
            <w:r>
              <w:rPr>
                <w:rFonts w:eastAsia="Times New Roman"/>
                <w:sz w:val="20"/>
                <w:szCs w:val="20"/>
              </w:rPr>
              <w:t>1,064,500</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Style w:val="a6"/>
                <w:rFonts w:eastAsia="Times New Roman"/>
                <w:i w:val="0"/>
                <w:iCs w:val="0"/>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Style w:val="a6"/>
                <w:rFonts w:eastAsia="Times New Roman"/>
                <w:i w:val="0"/>
                <w:iCs w:val="0"/>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left="360"/>
        <w:jc w:val="both"/>
        <w:rPr>
          <w:sz w:val="20"/>
          <w:szCs w:val="20"/>
        </w:rPr>
      </w:pPr>
      <w:r>
        <w:rPr>
          <w:sz w:val="20"/>
          <w:szCs w:val="20"/>
        </w:rPr>
        <w:t>The following Preferred Stock classes were redeemed 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September 30, 2019:</w:t>
      </w:r>
    </w:p>
    <w:p w:rsidR="00000000" w:rsidRDefault="005F676C">
      <w:pPr>
        <w:pStyle w:val="a3"/>
        <w:spacing w:before="0" w:beforeAutospacing="0" w:after="0" w:afterAutospacing="0"/>
        <w:ind w:left="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1436"/>
        <w:gridCol w:w="50"/>
        <w:gridCol w:w="1045"/>
        <w:gridCol w:w="50"/>
        <w:gridCol w:w="934"/>
        <w:gridCol w:w="50"/>
        <w:gridCol w:w="50"/>
        <w:gridCol w:w="101"/>
        <w:gridCol w:w="964"/>
        <w:gridCol w:w="50"/>
        <w:gridCol w:w="50"/>
        <w:gridCol w:w="101"/>
        <w:gridCol w:w="964"/>
        <w:gridCol w:w="50"/>
        <w:gridCol w:w="50"/>
        <w:gridCol w:w="101"/>
        <w:gridCol w:w="964"/>
        <w:gridCol w:w="50"/>
      </w:tblGrid>
      <w:tr w:rsidR="00000000">
        <w:trPr>
          <w:tblCellSpacing w:w="0" w:type="dxa"/>
        </w:trPr>
        <w:tc>
          <w:tcPr>
            <w:tcW w:w="13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Class of</w:t>
            </w:r>
          </w:p>
          <w:p w:rsidR="00000000" w:rsidRDefault="005F676C">
            <w:pPr>
              <w:pStyle w:val="a3"/>
              <w:spacing w:before="0" w:beforeAutospacing="0" w:after="0" w:afterAutospacing="0"/>
              <w:jc w:val="center"/>
              <w:rPr>
                <w:sz w:val="20"/>
                <w:szCs w:val="20"/>
              </w:rPr>
            </w:pPr>
            <w:r>
              <w:rPr>
                <w:b/>
                <w:bCs/>
                <w:sz w:val="20"/>
                <w:szCs w:val="20"/>
              </w:rPr>
              <w:t>Preferred Stock</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Redemption</w:t>
            </w:r>
          </w:p>
          <w:p w:rsidR="00000000" w:rsidRDefault="005F676C">
            <w:pPr>
              <w:pStyle w:val="a3"/>
              <w:spacing w:before="0" w:beforeAutospacing="0" w:after="0" w:afterAutospacing="0"/>
              <w:jc w:val="center"/>
              <w:rPr>
                <w:sz w:val="20"/>
                <w:szCs w:val="20"/>
              </w:rPr>
            </w:pPr>
            <w:r>
              <w:rPr>
                <w:b/>
                <w:bCs/>
                <w:sz w:val="20"/>
                <w:szCs w:val="20"/>
              </w:rPr>
              <w:t>Date</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Depositary</w:t>
            </w:r>
          </w:p>
          <w:p w:rsidR="00000000" w:rsidRDefault="005F676C">
            <w:pPr>
              <w:pStyle w:val="a3"/>
              <w:spacing w:before="0" w:beforeAutospacing="0" w:after="0" w:afterAutospacing="0"/>
              <w:jc w:val="center"/>
              <w:rPr>
                <w:sz w:val="20"/>
                <w:szCs w:val="20"/>
              </w:rPr>
            </w:pPr>
            <w:r>
              <w:rPr>
                <w:b/>
                <w:bCs/>
                <w:sz w:val="20"/>
                <w:szCs w:val="20"/>
              </w:rPr>
              <w:t>Shares</w:t>
            </w:r>
          </w:p>
          <w:p w:rsidR="00000000" w:rsidRDefault="005F676C">
            <w:pPr>
              <w:pStyle w:val="a3"/>
              <w:spacing w:before="0" w:beforeAutospacing="0" w:after="0" w:afterAutospacing="0"/>
              <w:jc w:val="center"/>
              <w:rPr>
                <w:sz w:val="20"/>
                <w:szCs w:val="20"/>
              </w:rPr>
            </w:pPr>
            <w:r>
              <w:rPr>
                <w:b/>
                <w:bCs/>
                <w:sz w:val="20"/>
                <w:szCs w:val="20"/>
              </w:rPr>
              <w:t>Redeemed</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Redemption</w:t>
            </w:r>
          </w:p>
          <w:p w:rsidR="00000000" w:rsidRDefault="005F676C">
            <w:pPr>
              <w:pStyle w:val="a3"/>
              <w:spacing w:before="0" w:beforeAutospacing="0" w:after="0" w:afterAutospacing="0"/>
              <w:jc w:val="center"/>
              <w:rPr>
                <w:sz w:val="20"/>
                <w:szCs w:val="20"/>
              </w:rPr>
            </w:pPr>
            <w:r>
              <w:rPr>
                <w:b/>
                <w:bCs/>
                <w:sz w:val="20"/>
                <w:szCs w:val="20"/>
              </w:rPr>
              <w:t>Price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Redemption</w:t>
            </w:r>
          </w:p>
          <w:p w:rsidR="00000000" w:rsidRDefault="005F676C">
            <w:pPr>
              <w:pStyle w:val="a3"/>
              <w:spacing w:before="0" w:beforeAutospacing="0" w:after="0" w:afterAutospacing="0"/>
              <w:jc w:val="center"/>
              <w:rPr>
                <w:sz w:val="20"/>
                <w:szCs w:val="20"/>
              </w:rPr>
            </w:pPr>
            <w:r>
              <w:rPr>
                <w:b/>
                <w:bCs/>
                <w:sz w:val="20"/>
                <w:szCs w:val="20"/>
              </w:rPr>
              <w:t>Amount</w:t>
            </w:r>
          </w:p>
          <w:p w:rsidR="00000000" w:rsidRDefault="005F676C">
            <w:pPr>
              <w:pStyle w:val="a3"/>
              <w:spacing w:before="0" w:beforeAutospacing="0" w:after="0" w:afterAutospacing="0"/>
              <w:jc w:val="center"/>
              <w:rPr>
                <w:sz w:val="20"/>
                <w:szCs w:val="20"/>
              </w:rPr>
            </w:pPr>
            <w:r>
              <w:rPr>
                <w:b/>
                <w:bCs/>
                <w:sz w:val="20"/>
                <w:szCs w:val="20"/>
              </w:rPr>
              <w:t>(in millions)</w:t>
            </w:r>
          </w:p>
        </w:tc>
        <w:tc>
          <w:tcPr>
            <w:tcW w:w="50" w:type="pct"/>
            <w:tcBorders>
              <w:bottom w:val="single" w:sz="6" w:space="0" w:color="000000"/>
            </w:tcBorders>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Redemption</w:t>
            </w:r>
          </w:p>
          <w:p w:rsidR="00000000" w:rsidRDefault="005F676C">
            <w:pPr>
              <w:pStyle w:val="a3"/>
              <w:spacing w:before="0" w:beforeAutospacing="0" w:after="0" w:afterAutospacing="0"/>
              <w:jc w:val="center"/>
              <w:rPr>
                <w:sz w:val="20"/>
                <w:szCs w:val="20"/>
              </w:rPr>
            </w:pPr>
            <w:r>
              <w:rPr>
                <w:b/>
                <w:bCs/>
                <w:sz w:val="20"/>
                <w:szCs w:val="20"/>
              </w:rPr>
              <w:t>Charges (1)</w:t>
            </w:r>
          </w:p>
          <w:p w:rsidR="00000000" w:rsidRDefault="005F676C">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300" w:type="pct"/>
            <w:tcBorders>
              <w:bottom w:val="nil"/>
            </w:tcBorders>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Class I</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rsidR="00000000" w:rsidRDefault="005F676C">
            <w:pPr>
              <w:pStyle w:val="a3"/>
              <w:spacing w:before="0" w:beforeAutospacing="0" w:after="0" w:afterAutospacing="0"/>
              <w:jc w:val="center"/>
              <w:rPr>
                <w:sz w:val="20"/>
                <w:szCs w:val="20"/>
              </w:rPr>
            </w:pPr>
            <w:r>
              <w:rPr>
                <w:rStyle w:val="a6"/>
                <w:i w:val="0"/>
                <w:iCs w:val="0"/>
                <w:sz w:val="20"/>
                <w:szCs w:val="20"/>
              </w:rPr>
              <w:t>9/14/2019</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5F676C">
            <w:pPr>
              <w:jc w:val="center"/>
              <w:rPr>
                <w:rFonts w:eastAsia="Times New Roman"/>
                <w:sz w:val="20"/>
                <w:szCs w:val="20"/>
              </w:rPr>
            </w:pPr>
            <w:r>
              <w:rPr>
                <w:rFonts w:eastAsia="Times New Roman"/>
                <w:sz w:val="20"/>
                <w:szCs w:val="20"/>
              </w:rPr>
              <w:t>7,000,000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25.00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175.0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5.5</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300" w:type="pct"/>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Class K</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pStyle w:val="a3"/>
              <w:spacing w:before="0" w:beforeAutospacing="0" w:after="0" w:afterAutospacing="0"/>
              <w:jc w:val="center"/>
              <w:rPr>
                <w:sz w:val="20"/>
                <w:szCs w:val="20"/>
              </w:rPr>
            </w:pPr>
            <w:r>
              <w:rPr>
                <w:rStyle w:val="a6"/>
                <w:i w:val="0"/>
                <w:iCs w:val="0"/>
                <w:sz w:val="20"/>
                <w:szCs w:val="20"/>
              </w:rPr>
              <w:t>9/14/2019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7,000,000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25.00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175.0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left="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676C">
            <w:pPr>
              <w:pStyle w:val="a3"/>
              <w:spacing w:before="0" w:beforeAutospacing="0" w:after="0" w:afterAutospacing="0"/>
              <w:jc w:val="both"/>
              <w:rPr>
                <w:sz w:val="20"/>
                <w:szCs w:val="20"/>
              </w:rPr>
            </w:pPr>
            <w:r>
              <w:rPr>
                <w:sz w:val="20"/>
                <w:szCs w:val="20"/>
              </w:rPr>
              <w:t>(</w:t>
            </w:r>
            <w:r>
              <w:rPr>
                <w:rStyle w:val="a6"/>
                <w:i w:val="0"/>
                <w:iCs w:val="0"/>
                <w:sz w:val="20"/>
                <w:szCs w:val="20"/>
              </w:rPr>
              <w:t>1</w:t>
            </w: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Redemption charges resulting from the difference between the redemption amount and the carrying amount of the respective preferred stock class on the Company’s Condensed Consolidated Balance Sheets are accounted for in accordance with the FASB’s guidanc</w:t>
            </w:r>
            <w:r>
              <w:rPr>
                <w:sz w:val="20"/>
                <w:szCs w:val="20"/>
              </w:rPr>
              <w:t>e on Distinguishing Liabilities from Equity. These charges were subtracted from net income attributable to the Company to arrive at net income available to the Company’s common shareholders and used in the calculation of earnings per share.</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Common Stock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w:t>
      </w:r>
      <w:r>
        <w:rPr>
          <w:sz w:val="20"/>
          <w:szCs w:val="20"/>
        </w:rPr>
        <w:t xml:space="preserve"> </w:t>
      </w:r>
      <w:r>
        <w:rPr>
          <w:rStyle w:val="a6"/>
          <w:i w:val="0"/>
          <w:iCs w:val="0"/>
          <w:sz w:val="20"/>
          <w:szCs w:val="20"/>
        </w:rPr>
        <w:t xml:space="preserve">February 2018, </w:t>
      </w:r>
      <w:r>
        <w:rPr>
          <w:sz w:val="20"/>
          <w:szCs w:val="20"/>
        </w:rPr>
        <w:t>the Company’s Board of Directors authorized a share repurchase program, which is effective for a term of</w:t>
      </w:r>
      <w:r>
        <w:rPr>
          <w:sz w:val="20"/>
          <w:szCs w:val="20"/>
        </w:rPr>
        <w:t xml:space="preserve"> </w:t>
      </w:r>
      <w:r>
        <w:rPr>
          <w:rStyle w:val="a6"/>
          <w:i w:val="0"/>
          <w:iCs w:val="0"/>
          <w:sz w:val="20"/>
          <w:szCs w:val="20"/>
        </w:rPr>
        <w:t>two</w:t>
      </w:r>
      <w:r>
        <w:rPr>
          <w:sz w:val="20"/>
          <w:szCs w:val="20"/>
        </w:rPr>
        <w:t xml:space="preserve"> years, pursuant to which the Company</w:t>
      </w:r>
      <w:r>
        <w:rPr>
          <w:sz w:val="20"/>
          <w:szCs w:val="20"/>
        </w:rPr>
        <w:t xml:space="preserve"> </w:t>
      </w:r>
      <w:r>
        <w:rPr>
          <w:rStyle w:val="a6"/>
          <w:i w:val="0"/>
          <w:iCs w:val="0"/>
          <w:sz w:val="20"/>
          <w:szCs w:val="20"/>
        </w:rPr>
        <w:t xml:space="preserve">may </w:t>
      </w:r>
      <w:r>
        <w:rPr>
          <w:sz w:val="20"/>
          <w:szCs w:val="20"/>
        </w:rPr>
        <w:t>repurchase shares of its common stock, par value $0.01 per share, w</w:t>
      </w:r>
      <w:r>
        <w:rPr>
          <w:sz w:val="20"/>
          <w:szCs w:val="20"/>
        </w:rPr>
        <w:t>ith an aggregate gross purchase price of up to $300.0 million. The Company did</w:t>
      </w:r>
      <w:r>
        <w:rPr>
          <w:sz w:val="20"/>
          <w:szCs w:val="20"/>
        </w:rPr>
        <w:t xml:space="preserve"> </w:t>
      </w:r>
      <w:r>
        <w:rPr>
          <w:rStyle w:val="a6"/>
          <w:i w:val="0"/>
          <w:iCs w:val="0"/>
          <w:sz w:val="20"/>
          <w:szCs w:val="20"/>
        </w:rPr>
        <w:t>not</w:t>
      </w:r>
      <w:r>
        <w:rPr>
          <w:sz w:val="20"/>
          <w:szCs w:val="20"/>
        </w:rPr>
        <w:t xml:space="preserve"> repurchase any shares under the share repurchase program during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As of</w:t>
      </w:r>
      <w:r>
        <w:rPr>
          <w:sz w:val="20"/>
          <w:szCs w:val="20"/>
        </w:rPr>
        <w:t xml:space="preserve"> </w:t>
      </w:r>
      <w:r>
        <w:rPr>
          <w:rStyle w:val="a6"/>
          <w:i w:val="0"/>
          <w:iCs w:val="0"/>
          <w:sz w:val="20"/>
          <w:szCs w:val="20"/>
        </w:rPr>
        <w:t xml:space="preserve">September 30, 2019, </w:t>
      </w:r>
      <w:r>
        <w:rPr>
          <w:sz w:val="20"/>
          <w:szCs w:val="20"/>
        </w:rPr>
        <w:t xml:space="preserve">the Company had $224.9 million available </w:t>
      </w:r>
      <w:r>
        <w:rPr>
          <w:sz w:val="20"/>
          <w:szCs w:val="20"/>
        </w:rPr>
        <w:t>under this common share repurchase program.</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w:t>
      </w:r>
      <w:r>
        <w:rPr>
          <w:sz w:val="20"/>
          <w:szCs w:val="20"/>
        </w:rPr>
        <w:t xml:space="preserve"> </w:t>
      </w:r>
      <w:r>
        <w:rPr>
          <w:rStyle w:val="a6"/>
          <w:i w:val="0"/>
          <w:iCs w:val="0"/>
          <w:sz w:val="20"/>
          <w:szCs w:val="20"/>
        </w:rPr>
        <w:t xml:space="preserve">September 2019, </w:t>
      </w:r>
      <w:r>
        <w:rPr>
          <w:sz w:val="20"/>
          <w:szCs w:val="20"/>
        </w:rPr>
        <w:t>the Company established an at the market continuous offering program (the “ATM program”), which will concurrently expire with the Company’s shelf registration statement in</w:t>
      </w:r>
      <w:r>
        <w:rPr>
          <w:sz w:val="20"/>
          <w:szCs w:val="20"/>
        </w:rPr>
        <w:t xml:space="preserve"> </w:t>
      </w:r>
      <w:r>
        <w:rPr>
          <w:rStyle w:val="a6"/>
          <w:i w:val="0"/>
          <w:iCs w:val="0"/>
          <w:sz w:val="20"/>
          <w:szCs w:val="20"/>
        </w:rPr>
        <w:t xml:space="preserve">February 2021, </w:t>
      </w:r>
      <w:r>
        <w:rPr>
          <w:sz w:val="20"/>
          <w:szCs w:val="20"/>
        </w:rPr>
        <w:t>pursuant to which the Company</w:t>
      </w:r>
      <w:r>
        <w:rPr>
          <w:sz w:val="20"/>
          <w:szCs w:val="20"/>
        </w:rPr>
        <w:t xml:space="preserve"> </w:t>
      </w:r>
      <w:r>
        <w:rPr>
          <w:rStyle w:val="a6"/>
          <w:i w:val="0"/>
          <w:iCs w:val="0"/>
          <w:sz w:val="20"/>
          <w:szCs w:val="20"/>
        </w:rPr>
        <w:t xml:space="preserve">may </w:t>
      </w:r>
      <w:r>
        <w:rPr>
          <w:sz w:val="20"/>
          <w:szCs w:val="20"/>
        </w:rPr>
        <w:t>offer and sell shares of its common stock, par value $0.01 per share, with an aggregate gross sales price of up to $500.0 million through a consortium of banks acting as sales agents. Sales of the shares of common stock</w:t>
      </w:r>
      <w:r>
        <w:rPr>
          <w:sz w:val="20"/>
          <w:szCs w:val="20"/>
        </w:rPr>
        <w:t xml:space="preserve"> </w:t>
      </w:r>
      <w:r>
        <w:rPr>
          <w:rStyle w:val="a6"/>
          <w:i w:val="0"/>
          <w:iCs w:val="0"/>
          <w:sz w:val="20"/>
          <w:szCs w:val="20"/>
        </w:rPr>
        <w:t>ma</w:t>
      </w:r>
      <w:r>
        <w:rPr>
          <w:rStyle w:val="a6"/>
          <w:i w:val="0"/>
          <w:iCs w:val="0"/>
          <w:sz w:val="20"/>
          <w:szCs w:val="20"/>
        </w:rPr>
        <w:t xml:space="preserve">y </w:t>
      </w:r>
      <w:r>
        <w:rPr>
          <w:sz w:val="20"/>
          <w:szCs w:val="20"/>
        </w:rPr>
        <w:t>have be made, as needed, from time to time in “at the market” offerings as defined in Rule</w:t>
      </w:r>
      <w:r>
        <w:rPr>
          <w:sz w:val="20"/>
          <w:szCs w:val="20"/>
        </w:rPr>
        <w:t xml:space="preserve"> </w:t>
      </w:r>
      <w:r>
        <w:rPr>
          <w:rStyle w:val="a6"/>
          <w:i w:val="0"/>
          <w:iCs w:val="0"/>
          <w:sz w:val="20"/>
          <w:szCs w:val="20"/>
        </w:rPr>
        <w:t>415</w:t>
      </w:r>
      <w:r>
        <w:rPr>
          <w:sz w:val="20"/>
          <w:szCs w:val="20"/>
        </w:rPr>
        <w:t xml:space="preserve"> of the Securities Act of</w:t>
      </w:r>
      <w:r>
        <w:rPr>
          <w:sz w:val="20"/>
          <w:szCs w:val="20"/>
        </w:rPr>
        <w:t xml:space="preserve"> </w:t>
      </w:r>
      <w:r>
        <w:rPr>
          <w:rStyle w:val="a6"/>
          <w:i w:val="0"/>
          <w:iCs w:val="0"/>
          <w:sz w:val="20"/>
          <w:szCs w:val="20"/>
        </w:rPr>
        <w:t>1933,</w:t>
      </w:r>
      <w:r>
        <w:rPr>
          <w:sz w:val="20"/>
          <w:szCs w:val="20"/>
        </w:rPr>
        <w:t xml:space="preserve"> including by means of ordinary brokers’ transactions on the New York Stock Exchange (the “NYSE”) or otherwise (i) at market pric</w:t>
      </w:r>
      <w:r>
        <w:rPr>
          <w:sz w:val="20"/>
          <w:szCs w:val="20"/>
        </w:rPr>
        <w:t>es prevailing at the time of sale, (ii) at prices related to prevailing market prices or (iii) as otherwise agreed to with the applicable sales agent. The Company did</w:t>
      </w:r>
      <w:r>
        <w:rPr>
          <w:sz w:val="20"/>
          <w:szCs w:val="20"/>
        </w:rPr>
        <w:t xml:space="preserve"> </w:t>
      </w:r>
      <w:r>
        <w:rPr>
          <w:rStyle w:val="a6"/>
          <w:i w:val="0"/>
          <w:iCs w:val="0"/>
          <w:sz w:val="20"/>
          <w:szCs w:val="20"/>
        </w:rPr>
        <w:t>not</w:t>
      </w:r>
      <w:r>
        <w:rPr>
          <w:sz w:val="20"/>
          <w:szCs w:val="20"/>
        </w:rPr>
        <w:t xml:space="preserve"> offer for sale any shares of common stock under the ATM program during</w:t>
      </w:r>
      <w:r>
        <w:rPr>
          <w:sz w:val="20"/>
          <w:szCs w:val="20"/>
        </w:rPr>
        <w:t xml:space="preserve"> </w:t>
      </w:r>
      <w:r>
        <w:rPr>
          <w:rStyle w:val="a6"/>
          <w:i w:val="0"/>
          <w:iCs w:val="0"/>
          <w:sz w:val="20"/>
          <w:szCs w:val="20"/>
        </w:rPr>
        <w:t>September 2019</w:t>
      </w:r>
      <w:r>
        <w:rPr>
          <w:rStyle w:val="a6"/>
          <w:i w:val="0"/>
          <w:iCs w:val="0"/>
          <w:sz w:val="20"/>
          <w:szCs w:val="20"/>
        </w:rPr>
        <w:t>.</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Dividends Declared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left="360"/>
        <w:jc w:val="both"/>
        <w:rPr>
          <w:sz w:val="20"/>
          <w:szCs w:val="20"/>
        </w:rPr>
      </w:pPr>
      <w:r>
        <w:rPr>
          <w:sz w:val="20"/>
          <w:szCs w:val="20"/>
        </w:rPr>
        <w:t>The following table provides a summary of the dividends declared per share:</w:t>
      </w:r>
    </w:p>
    <w:p w:rsidR="00000000" w:rsidRDefault="005F676C">
      <w:pPr>
        <w:pStyle w:val="a3"/>
        <w:spacing w:before="0" w:beforeAutospacing="0" w:after="0" w:afterAutospacing="0"/>
        <w:ind w:left="360"/>
        <w:jc w:val="both"/>
        <w:rPr>
          <w:sz w:val="20"/>
          <w:szCs w:val="20"/>
        </w:rPr>
      </w:pPr>
      <w:r>
        <w:rPr>
          <w:sz w:val="20"/>
          <w:szCs w:val="20"/>
        </w:rPr>
        <w:t> </w:t>
      </w:r>
    </w:p>
    <w:tbl>
      <w:tblPr>
        <w:tblW w:w="4750" w:type="pct"/>
        <w:tblCellSpacing w:w="0" w:type="dxa"/>
        <w:tblInd w:w="2" w:type="dxa"/>
        <w:tblCellMar>
          <w:left w:w="0" w:type="dxa"/>
          <w:right w:w="0" w:type="dxa"/>
        </w:tblCellMar>
        <w:tblLook w:val="04A0" w:firstRow="1" w:lastRow="0" w:firstColumn="1" w:lastColumn="0" w:noHBand="0" w:noVBand="1"/>
      </w:tblPr>
      <w:tblGrid>
        <w:gridCol w:w="3465"/>
        <w:gridCol w:w="72"/>
        <w:gridCol w:w="100"/>
        <w:gridCol w:w="861"/>
        <w:gridCol w:w="72"/>
        <w:gridCol w:w="72"/>
        <w:gridCol w:w="100"/>
        <w:gridCol w:w="861"/>
        <w:gridCol w:w="72"/>
        <w:gridCol w:w="73"/>
        <w:gridCol w:w="100"/>
        <w:gridCol w:w="862"/>
        <w:gridCol w:w="73"/>
        <w:gridCol w:w="73"/>
        <w:gridCol w:w="100"/>
        <w:gridCol w:w="862"/>
        <w:gridCol w:w="73"/>
      </w:tblGrid>
      <w:tr w:rsidR="00000000">
        <w:trPr>
          <w:tblCellSpacing w:w="0" w:type="dxa"/>
        </w:trPr>
        <w:tc>
          <w:tcPr>
            <w:tcW w:w="22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75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Three Months Ended September 30,</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75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Nine months Ended September 30,</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2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Common Shares</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0.28000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0.28000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0.84000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0.84000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Class I Depositary Shares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0.24583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0.37500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0.99583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1.12500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Class J Depositary Shares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0.34375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0.34375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1.03125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1.03125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Class K Depositary Shares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0.23047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0.35156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0.93359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1.05468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Class L Depositary Shares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0.32031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0.32031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0.96093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0.96093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2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Class M Depositary Shares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0.32813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0.32813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0.98439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0.98439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left="360"/>
        <w:jc w:val="both"/>
        <w:rPr>
          <w:sz w:val="20"/>
          <w:szCs w:val="20"/>
        </w:rPr>
      </w:pPr>
      <w:r>
        <w:rPr>
          <w:sz w:val="20"/>
          <w:szCs w:val="20"/>
        </w:rPr>
        <w:t> </w:t>
      </w:r>
    </w:p>
    <w:p w:rsidR="00000000" w:rsidRDefault="005F676C">
      <w:pPr>
        <w:jc w:val="center"/>
        <w:divId w:val="1819229230"/>
        <w:rPr>
          <w:rFonts w:eastAsia="Times New Roman"/>
          <w:sz w:val="20"/>
          <w:szCs w:val="20"/>
        </w:rPr>
      </w:pPr>
      <w:r>
        <w:rPr>
          <w:rFonts w:eastAsia="Times New Roman"/>
          <w:sz w:val="20"/>
          <w:szCs w:val="20"/>
        </w:rPr>
        <w:t xml:space="preserve">22 </w:t>
      </w:r>
    </w:p>
    <w:p w:rsidR="00000000" w:rsidRDefault="005F676C">
      <w:pPr>
        <w:divId w:val="1819229230"/>
        <w:rPr>
          <w:rFonts w:eastAsia="Times New Roman"/>
          <w:sz w:val="20"/>
          <w:szCs w:val="20"/>
        </w:rPr>
      </w:pPr>
      <w:r>
        <w:rPr>
          <w:rFonts w:eastAsia="Times New Roman"/>
          <w:sz w:val="20"/>
          <w:szCs w:val="20"/>
        </w:rPr>
        <w:pict>
          <v:rect id="_x0000_i1050" style="width:0;height:1.5pt" o:hralign="center" o:hrstd="t" o:hr="t" fillcolor="#a0a0a0" stroked="f"/>
        </w:pict>
      </w:r>
    </w:p>
    <w:p w:rsidR="00000000" w:rsidRDefault="005F676C">
      <w:pPr>
        <w:divId w:val="18192292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divId w:val="1007753354"/>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rStyle w:val="a6"/>
          <w:i w:val="0"/>
          <w:iCs w:val="0"/>
          <w:sz w:val="20"/>
          <w:szCs w:val="20"/>
        </w:rPr>
        <w:t>16.</w:t>
      </w:r>
      <w:r>
        <w:rPr>
          <w:sz w:val="20"/>
          <w:szCs w:val="20"/>
        </w:rPr>
        <w:t xml:space="preserve"> </w:t>
      </w:r>
      <w:r>
        <w:rPr>
          <w:sz w:val="20"/>
          <w:szCs w:val="20"/>
          <w:u w:val="single"/>
        </w:rPr>
        <w:t>Supplemental Schedule of Non-Cash Investing / Financing Activities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following schedule summarizes the non-cash investing and financing activities of the Company for the</w:t>
      </w:r>
      <w:r>
        <w:rPr>
          <w:sz w:val="20"/>
          <w:szCs w:val="20"/>
        </w:rPr>
        <w:t xml:space="preserve"> </w:t>
      </w:r>
      <w:r>
        <w:rPr>
          <w:rStyle w:val="a6"/>
          <w:i w:val="0"/>
          <w:iCs w:val="0"/>
          <w:sz w:val="20"/>
          <w:szCs w:val="20"/>
        </w:rPr>
        <w:t>nine</w:t>
      </w:r>
      <w:r>
        <w:rPr>
          <w:sz w:val="20"/>
          <w:szCs w:val="20"/>
        </w:rPr>
        <w:t xml:space="preserve"> months ended</w:t>
      </w:r>
      <w:r>
        <w:rPr>
          <w:sz w:val="20"/>
          <w:szCs w:val="20"/>
        </w:rPr>
        <w:t xml:space="preserve"> </w:t>
      </w:r>
      <w:r>
        <w:rPr>
          <w:rStyle w:val="a6"/>
          <w:i w:val="0"/>
          <w:iCs w:val="0"/>
          <w:sz w:val="20"/>
          <w:szCs w:val="20"/>
        </w:rPr>
        <w:t xml:space="preserve">September 30, 2019 </w:t>
      </w:r>
      <w:r>
        <w:rPr>
          <w:sz w:val="20"/>
          <w:szCs w:val="20"/>
        </w:rPr>
        <w:t>and</w:t>
      </w:r>
      <w:r>
        <w:rPr>
          <w:sz w:val="20"/>
          <w:szCs w:val="20"/>
        </w:rPr>
        <w:t xml:space="preserve"> </w:t>
      </w:r>
      <w:r>
        <w:rPr>
          <w:rStyle w:val="a6"/>
          <w:i w:val="0"/>
          <w:iCs w:val="0"/>
          <w:sz w:val="20"/>
          <w:szCs w:val="20"/>
        </w:rPr>
        <w:t>2018</w:t>
      </w:r>
      <w:r>
        <w:rPr>
          <w:sz w:val="20"/>
          <w:szCs w:val="20"/>
        </w:rPr>
        <w:t xml:space="preserve"> (in thousands):</w:t>
      </w:r>
    </w:p>
    <w:p w:rsidR="00000000" w:rsidRDefault="005F676C">
      <w:pPr>
        <w:pStyle w:val="a3"/>
        <w:spacing w:before="0" w:beforeAutospacing="0" w:after="0" w:afterAutospacing="0"/>
        <w:ind w:firstLine="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359"/>
        <w:gridCol w:w="73"/>
        <w:gridCol w:w="100"/>
        <w:gridCol w:w="1020"/>
        <w:gridCol w:w="73"/>
        <w:gridCol w:w="73"/>
        <w:gridCol w:w="100"/>
        <w:gridCol w:w="1020"/>
        <w:gridCol w:w="73"/>
      </w:tblGrid>
      <w:tr w:rsidR="00000000">
        <w:trPr>
          <w:tblCellSpacing w:w="0" w:type="dxa"/>
        </w:trPr>
        <w:tc>
          <w:tcPr>
            <w:tcW w:w="34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Acquisition of real estate interests through proceeds held in es</w:t>
            </w:r>
            <w:r>
              <w:rPr>
                <w:sz w:val="20"/>
                <w:szCs w:val="20"/>
              </w:rPr>
              <w:t>crow</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30,970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Proceeds deposited in escrow through sale of real estate interests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16,842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Disposition of real estate interests through the issuance of mortgage receivables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14,700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Disposition of real estate interests by foreclosure of debt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7,444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Forgiveness of debt due to foreclosure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12,415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Surrender of restricted common stock</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3,948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4,290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Declaration of dividends paid in succeeding period</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126,203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130,263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Capital expenditures accrual</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73,958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84,873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center"/>
            <w:hideMark/>
          </w:tcPr>
          <w:p w:rsidR="00000000" w:rsidRDefault="005F676C">
            <w:pPr>
              <w:rPr>
                <w:rFonts w:eastAsia="Times New Roman"/>
                <w:sz w:val="20"/>
                <w:szCs w:val="20"/>
              </w:rPr>
            </w:pPr>
            <w:r>
              <w:rPr>
                <w:rFonts w:eastAsia="Times New Roman"/>
                <w:sz w:val="20"/>
                <w:szCs w:val="20"/>
              </w:rPr>
              <w:t>Increase in redeemable noncontrolling interests’ carrying amount</w:t>
            </w:r>
          </w:p>
        </w:tc>
        <w:tc>
          <w:tcPr>
            <w:tcW w:w="50" w:type="pct"/>
            <w:shd w:val="clear" w:color="auto" w:fill="CCEEFF"/>
            <w:vAlign w:val="center"/>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center"/>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center"/>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center"/>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center"/>
            <w:hideMark/>
          </w:tcPr>
          <w:p w:rsidR="00000000" w:rsidRDefault="005F676C">
            <w:pPr>
              <w:jc w:val="right"/>
              <w:rPr>
                <w:rFonts w:eastAsia="Times New Roman"/>
                <w:sz w:val="20"/>
                <w:szCs w:val="20"/>
              </w:rPr>
            </w:pPr>
            <w:r>
              <w:rPr>
                <w:rFonts w:eastAsia="Times New Roman"/>
                <w:sz w:val="20"/>
                <w:szCs w:val="20"/>
              </w:rPr>
              <w:t>3,918</w:t>
            </w:r>
          </w:p>
        </w:tc>
        <w:tc>
          <w:tcPr>
            <w:tcW w:w="50" w:type="pct"/>
            <w:shd w:val="clear" w:color="auto" w:fill="CCEEFF"/>
            <w:vAlign w:val="center"/>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Deconsolidation of Joint Ventures: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Decrease in real estate and other assets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300,299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Increase in investments in and advances to real estate joint ventures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62,429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400" w:type="pct"/>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Decrease in mortgages and construction loan payable, other liabilities and noncontrolling interests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248,274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left="144" w:right="144"/>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jc w:val="center"/>
        <w:divId w:val="58528427"/>
        <w:rPr>
          <w:rFonts w:eastAsia="Times New Roman"/>
          <w:sz w:val="20"/>
          <w:szCs w:val="20"/>
        </w:rPr>
      </w:pPr>
      <w:r>
        <w:rPr>
          <w:rFonts w:eastAsia="Times New Roman"/>
          <w:sz w:val="20"/>
          <w:szCs w:val="20"/>
        </w:rPr>
        <w:t xml:space="preserve">23 </w:t>
      </w:r>
    </w:p>
    <w:p w:rsidR="00000000" w:rsidRDefault="005F676C">
      <w:pPr>
        <w:divId w:val="58528427"/>
        <w:rPr>
          <w:rFonts w:eastAsia="Times New Roman"/>
          <w:sz w:val="20"/>
          <w:szCs w:val="20"/>
        </w:rPr>
      </w:pPr>
      <w:r>
        <w:rPr>
          <w:rFonts w:eastAsia="Times New Roman"/>
          <w:sz w:val="20"/>
          <w:szCs w:val="20"/>
        </w:rPr>
        <w:pict>
          <v:rect id="_x0000_i1051" style="width:0;height:1.5pt" o:hralign="center" o:hrstd="t" o:hr="t" fillcolor="#a0a0a0" stroked="f"/>
        </w:pict>
      </w:r>
    </w:p>
    <w:p w:rsidR="00000000" w:rsidRDefault="005F676C">
      <w:pPr>
        <w:divId w:val="5852842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divId w:val="826167414"/>
        <w:rPr>
          <w:rFonts w:eastAsia="Times New Roman"/>
          <w:sz w:val="20"/>
          <w:szCs w:val="20"/>
        </w:rPr>
      </w:pPr>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b/>
          <w:bCs/>
          <w:sz w:val="20"/>
          <w:szCs w:val="20"/>
        </w:rPr>
        <w:t>Item 2. Management's Discussion and Analysis of Financial Condition and Results of Operations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u w:val="single"/>
        </w:rPr>
        <w:t>Forward-Looking Statements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This Quarterly Report on Form 10-Q, together with other statements and information publicly disseminated by Kimco Realty Corporatio</w:t>
      </w:r>
      <w:r>
        <w:rPr>
          <w:sz w:val="20"/>
          <w:szCs w:val="20"/>
        </w:rPr>
        <w:t>n (the “Company”) contains certain forward-looking statements within the meaning of Section 27A of the Securities Act of 1933, as amended, and Section 21E of the Securities Exchange Act of 1934, as amended. The Company intends such forward-looking statemen</w:t>
      </w:r>
      <w:r>
        <w:rPr>
          <w:sz w:val="20"/>
          <w:szCs w:val="20"/>
        </w:rPr>
        <w:t>ts to be covered by the safe harbor provisions for forward-looking statements contained in the Private Securities Litigation Reform Act of 1995 and includes this statement for purposes of complying with the safe harbor provisions. Forward-looking statement</w:t>
      </w:r>
      <w:r>
        <w:rPr>
          <w:sz w:val="20"/>
          <w:szCs w:val="20"/>
        </w:rPr>
        <w:t xml:space="preserve">s, which are based on certain assumptions and describe the Company’s future plans, strategies and expectations, are generally identifiable by use of the words “believe,” “expect,” “intend,” “anticipate,” “estimate,” “project,” “will,” “target,” “forecast” </w:t>
      </w:r>
      <w:r>
        <w:rPr>
          <w:sz w:val="20"/>
          <w:szCs w:val="20"/>
        </w:rPr>
        <w:t>or similar expressions. You should not rely on forward-looking statements since they involve known and unknown risks, uncertainties and other factors which are, in some cases, beyond the Company’s control and could materially affect actual results, perform</w:t>
      </w:r>
      <w:r>
        <w:rPr>
          <w:sz w:val="20"/>
          <w:szCs w:val="20"/>
        </w:rPr>
        <w:t>ances or achievements. Factors which may cause actual results to differ materially from current expectations include, but are not limited to (i) general adverse economic and local real estate conditions, (ii) the inability of major tenants to continue payi</w:t>
      </w:r>
      <w:r>
        <w:rPr>
          <w:sz w:val="20"/>
          <w:szCs w:val="20"/>
        </w:rPr>
        <w:t>ng their rent obligations due to bankruptcy, insolvency or a general downturn in their business, (iii) financing risks, such as the inability to obtain equity, debt or other sources of financing or refinancing on favorable terms to the Company, (iv) the Co</w:t>
      </w:r>
      <w:r>
        <w:rPr>
          <w:sz w:val="20"/>
          <w:szCs w:val="20"/>
        </w:rPr>
        <w:t>mpany’s ability to raise capital by selling its assets, (v) changes in governmental laws and regulations and management’s ability to estimate the impact of such changes, (vi) the level and volatility of interest rates and managements’ ability to estimate t</w:t>
      </w:r>
      <w:r>
        <w:rPr>
          <w:sz w:val="20"/>
          <w:szCs w:val="20"/>
        </w:rPr>
        <w:t>he impact thereof, (vii) risks related to the Company’s international operations, (viii) the availability of suitable acquisition, disposition, development and redevelopment opportunities, and risks related to acquisitions not performing in accordance with</w:t>
      </w:r>
      <w:r>
        <w:rPr>
          <w:sz w:val="20"/>
          <w:szCs w:val="20"/>
        </w:rPr>
        <w:t xml:space="preserve"> our expectations, (ix) valuation and risks related to the Company’s joint venture and preferred equity investments, (x) valuation of marketable securities and other investments, (xi) increases in operating costs, (xii) changes in the dividend policy for t</w:t>
      </w:r>
      <w:r>
        <w:rPr>
          <w:sz w:val="20"/>
          <w:szCs w:val="20"/>
        </w:rPr>
        <w:t>he Company’s common and preferred stock and the Company’s ability to pay dividends at current levels, (xiii) the reduction in the Company’s income in the event of multiple lease terminations by tenants or a failure by multiple tenants to occupy their premi</w:t>
      </w:r>
      <w:r>
        <w:rPr>
          <w:sz w:val="20"/>
          <w:szCs w:val="20"/>
        </w:rPr>
        <w:t>ses in a shopping center, (xiv) impairment charges, (xv) unanticipated changes in the Company’s intention or ability to prepay certain debt prior to maturity and/or hold certain securities until maturity and (xvi) the risks and uncertainties identified und</w:t>
      </w:r>
      <w:r>
        <w:rPr>
          <w:sz w:val="20"/>
          <w:szCs w:val="20"/>
        </w:rPr>
        <w:t>er Item 1A, “Risk Factors” in our Annual Report on Form 10-K for the year-ended December 31, 2018. Accordingly, there is no assurance that the Company’s expectations will be realized. The Company disclaims any intention or obligation to update the forward-</w:t>
      </w:r>
      <w:r>
        <w:rPr>
          <w:sz w:val="20"/>
          <w:szCs w:val="20"/>
        </w:rPr>
        <w:t>looking statements, whether as a result of new information, future events or otherwise. You are advised to refer to any further disclosures the Company makes or related subjects in the Company’s Current Reports on Form 8-K that the Company files with the S</w:t>
      </w:r>
      <w:r>
        <w:rPr>
          <w:sz w:val="20"/>
          <w:szCs w:val="20"/>
        </w:rPr>
        <w:t>ecurities and Exchange Commission (“SEC”).</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following discussion should be read in conjunction with the accompanying Condensed Consolidated Financial Statements and Notes thereto.  These unaudited financial statements include all adjustments which are</w:t>
      </w:r>
      <w:r>
        <w:rPr>
          <w:sz w:val="20"/>
          <w:szCs w:val="20"/>
        </w:rPr>
        <w:t>, in the opinion of management, necessary to reflect a fair statement of the results for the interim periods presented, and all such adjustments are of a normal recurring nature.</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u w:val="single"/>
        </w:rPr>
        <w:t>Executive Overview</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Kimco Realty Corporation, a Maryland corporation, is o</w:t>
      </w:r>
      <w:r>
        <w:rPr>
          <w:sz w:val="20"/>
          <w:szCs w:val="20"/>
        </w:rPr>
        <w:t>ne of North America’s largest publicly traded owners and operators of open-air shopping centers.   The terms “Kimco,” the “Company,” “we,” “our” and “us” each refer to Kimco Realty Corporation and our subsidiaries, unless the context indicates otherwise.  </w:t>
      </w:r>
      <w:r>
        <w:rPr>
          <w:sz w:val="20"/>
          <w:szCs w:val="20"/>
        </w:rPr>
        <w:t>The Company’s mission is to create destinations for everyday living that inspire a sense of community and deliver value to our many stakeholders.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is a self-administered real estate investment trust (“REIT”) and has owned and operated open-air</w:t>
      </w:r>
      <w:r>
        <w:rPr>
          <w:sz w:val="20"/>
          <w:szCs w:val="20"/>
        </w:rPr>
        <w:t xml:space="preserve"> shopping centers for over 60 years.  The Company has not engaged, nor does it expect to retain, any REIT advisors in connection with the operation of its properties. As of September 30, 2019, the Company had interests in 420 shopping center properties, ag</w:t>
      </w:r>
      <w:r>
        <w:rPr>
          <w:sz w:val="20"/>
          <w:szCs w:val="20"/>
        </w:rPr>
        <w:t>gregating 73.6 million square feet of gross leasable area (“GLA”), located in 27 states and Puerto Rico. In addition, the Company had 247 other property interests, primarily through the Company’s preferred equity investments and other real estate investmen</w:t>
      </w:r>
      <w:r>
        <w:rPr>
          <w:sz w:val="20"/>
          <w:szCs w:val="20"/>
        </w:rPr>
        <w:t>ts, totaling 4.5 million square feet of GLA. The Company’s ownership interests in real estate consist of its consolidated portfolio and portfolios where the Company owns an economic interest, such as properties in the Company’s investment real estate manag</w:t>
      </w:r>
      <w:r>
        <w:rPr>
          <w:sz w:val="20"/>
          <w:szCs w:val="20"/>
        </w:rPr>
        <w:t>ement programs, where the Company partners with institutional investors and also retains management.  </w:t>
      </w:r>
    </w:p>
    <w:p w:rsidR="00000000" w:rsidRDefault="005F676C">
      <w:pPr>
        <w:pStyle w:val="a3"/>
        <w:spacing w:before="0" w:beforeAutospacing="0" w:after="0" w:afterAutospacing="0"/>
        <w:ind w:firstLine="36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 operating strategies are to (i) own and operate its shopping center properties at their highest potential through maximizing and maintain</w:t>
      </w:r>
      <w:r>
        <w:rPr>
          <w:sz w:val="20"/>
          <w:szCs w:val="20"/>
        </w:rPr>
        <w:t>ing rental income and occupancy levels, (ii) attract local area customers to its shopping centers, which offer off-price merchandise and day-to-day necessities rather than high-priced luxury items, and (iii) maintain a strong balance sheet.</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 investment strategy is to invest capital into high quality assets focusing on major metropolitan-area U.S. markets, predominantly on the East and West coasts and in the Sunbelt region, which are supported by strong demographics, significant p</w:t>
      </w:r>
      <w:r>
        <w:rPr>
          <w:sz w:val="20"/>
          <w:szCs w:val="20"/>
        </w:rPr>
        <w:t>rojected population growth, and where the Company perceives significant barriers to entry while disposing of lesser quality assets in less desirable locations. Through this strategy, the Company has steadily progressed in its transformation of its portfoli</w:t>
      </w:r>
      <w:r>
        <w:rPr>
          <w:sz w:val="20"/>
          <w:szCs w:val="20"/>
        </w:rPr>
        <w:t xml:space="preserve">o and will continue these efforts as deemed necessary to maximize the quality and growth of its portfolio. The properties acquired are primarily located in major metropolitan areas allowing tenants to generate higher foot traffic resulting in higher sales </w:t>
      </w:r>
      <w:r>
        <w:rPr>
          <w:sz w:val="20"/>
          <w:szCs w:val="20"/>
        </w:rPr>
        <w:t>volume. The Company believes that this will enable it to maintain higher occupancy levels, rental rates and rental growth. In addition, the Company, on a selective basis, has embarked on several ground-up development and re-development projects which inclu</w:t>
      </w:r>
      <w:r>
        <w:rPr>
          <w:sz w:val="20"/>
          <w:szCs w:val="20"/>
        </w:rPr>
        <w:t>de residential and mixed-use components.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jc w:val="center"/>
        <w:divId w:val="1377436674"/>
        <w:rPr>
          <w:rFonts w:eastAsia="Times New Roman"/>
          <w:sz w:val="20"/>
          <w:szCs w:val="20"/>
        </w:rPr>
      </w:pPr>
      <w:r>
        <w:rPr>
          <w:rFonts w:eastAsia="Times New Roman"/>
          <w:sz w:val="20"/>
          <w:szCs w:val="20"/>
        </w:rPr>
        <w:t xml:space="preserve">24 </w:t>
      </w:r>
    </w:p>
    <w:p w:rsidR="00000000" w:rsidRDefault="005F676C">
      <w:pPr>
        <w:divId w:val="1377436674"/>
        <w:rPr>
          <w:rFonts w:eastAsia="Times New Roman"/>
          <w:sz w:val="20"/>
          <w:szCs w:val="20"/>
        </w:rPr>
      </w:pPr>
      <w:r>
        <w:rPr>
          <w:rFonts w:eastAsia="Times New Roman"/>
          <w:sz w:val="20"/>
          <w:szCs w:val="20"/>
        </w:rPr>
        <w:pict>
          <v:rect id="_x0000_i1052" style="width:0;height:1.5pt" o:hralign="center" o:hrstd="t" o:hr="t" fillcolor="#a0a0a0" stroked="f"/>
        </w:pict>
      </w:r>
    </w:p>
    <w:p w:rsidR="00000000" w:rsidRDefault="005F676C">
      <w:pPr>
        <w:divId w:val="137743667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 investment strategy also includes the retail re-tenanting, renovation and expansion of its existing centers and</w:t>
      </w:r>
      <w:r>
        <w:rPr>
          <w:sz w:val="20"/>
          <w:szCs w:val="20"/>
        </w:rPr>
        <w:t xml:space="preserve"> acquired centers, while also pursuing redevelopment opportunities to increase overall value within its portfolio. The Company may selectively acquire established income-producing real estate properties and properties requiring significant re-tenanting and</w:t>
      </w:r>
      <w:r>
        <w:rPr>
          <w:sz w:val="20"/>
          <w:szCs w:val="20"/>
        </w:rPr>
        <w:t xml:space="preserve"> redevelopment, primarily in geographic regions in which the Company presently operates. Additionally, the Company may selectively acquire land parcels in its key markets for real estate development projects for long-term investment. The Company may consid</w:t>
      </w:r>
      <w:r>
        <w:rPr>
          <w:sz w:val="20"/>
          <w:szCs w:val="20"/>
        </w:rPr>
        <w:t>er investments in other real estate sectors and in geographic markets where it does not presently operate should suitable opportunities arise. The Company also continues to simplify its business by reducing the number of its joint venture investments.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As</w:t>
      </w:r>
      <w:r>
        <w:rPr>
          <w:sz w:val="20"/>
          <w:szCs w:val="20"/>
        </w:rPr>
        <w:t xml:space="preserve"> part of the Company’s investment strategy each property is evaluated for its highest and best use, which may include residential and mixed-use components. In addition, the Company may consider other opportunistic investments related to retailer controlled</w:t>
      </w:r>
      <w:r>
        <w:rPr>
          <w:sz w:val="20"/>
          <w:szCs w:val="20"/>
        </w:rPr>
        <w:t xml:space="preserve"> real estate such as, repositioning underperforming retail locations, retail real estate financing and bankruptcy transaction support. The Company has an active capital recycling program which provides for the disposition of certain properties. If the esti</w:t>
      </w:r>
      <w:r>
        <w:rPr>
          <w:sz w:val="20"/>
          <w:szCs w:val="20"/>
        </w:rPr>
        <w:t>mated fair value for any of these assets is less than their net carrying values, the Company would be required to take impairment charges and such amounts could be material.</w:t>
      </w:r>
    </w:p>
    <w:p w:rsidR="00000000" w:rsidRDefault="005F676C">
      <w:pPr>
        <w:pStyle w:val="a3"/>
        <w:spacing w:before="0" w:beforeAutospacing="0" w:after="0" w:afterAutospacing="0"/>
        <w:ind w:firstLine="36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u w:val="single"/>
        </w:rPr>
        <w:t>Results of Operations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Comparison of the three and nine months ended September </w:t>
      </w:r>
      <w:r>
        <w:rPr>
          <w:i/>
          <w:iCs/>
          <w:sz w:val="20"/>
          <w:szCs w:val="20"/>
        </w:rPr>
        <w:t>30, 2019 and 2018</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rPr>
          <w:sz w:val="20"/>
          <w:szCs w:val="20"/>
        </w:rPr>
      </w:pPr>
      <w:r>
        <w:rPr>
          <w:sz w:val="20"/>
          <w:szCs w:val="20"/>
        </w:rPr>
        <w:t xml:space="preserve">The following table presents the comparative results from the Company’s Condensed Consolidated Statements of Income for the three and nine months ended September 30, 2019, as compared to the corresponding periods in 2018 (in thousands, </w:t>
      </w:r>
      <w:r>
        <w:rPr>
          <w:sz w:val="20"/>
          <w:szCs w:val="20"/>
        </w:rPr>
        <w:t>except per share data):</w:t>
      </w:r>
    </w:p>
    <w:p w:rsidR="00000000" w:rsidRDefault="005F676C">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936"/>
        <w:gridCol w:w="50"/>
        <w:gridCol w:w="100"/>
        <w:gridCol w:w="650"/>
        <w:gridCol w:w="67"/>
        <w:gridCol w:w="50"/>
        <w:gridCol w:w="100"/>
        <w:gridCol w:w="650"/>
        <w:gridCol w:w="67"/>
        <w:gridCol w:w="50"/>
        <w:gridCol w:w="100"/>
        <w:gridCol w:w="617"/>
        <w:gridCol w:w="67"/>
        <w:gridCol w:w="50"/>
        <w:gridCol w:w="100"/>
        <w:gridCol w:w="717"/>
        <w:gridCol w:w="67"/>
        <w:gridCol w:w="50"/>
        <w:gridCol w:w="100"/>
        <w:gridCol w:w="717"/>
        <w:gridCol w:w="67"/>
        <w:gridCol w:w="50"/>
        <w:gridCol w:w="100"/>
        <w:gridCol w:w="717"/>
        <w:gridCol w:w="67"/>
      </w:tblGrid>
      <w:tr w:rsidR="00000000">
        <w:trPr>
          <w:tblCellSpacing w:w="0" w:type="dxa"/>
        </w:trPr>
        <w:tc>
          <w:tcPr>
            <w:tcW w:w="20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1050" w:type="pct"/>
            <w:gridSpan w:val="10"/>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Three Months Ended September 30, </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1050" w:type="pct"/>
            <w:gridSpan w:val="10"/>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Nine Months Ended September 30, </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Change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Change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3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3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3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3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3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3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Revenues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Revenues from rental properties, net (1)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279,181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278,699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482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850,525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867,799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(17,274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Management and other fee income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3,690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4,381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(691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12,229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(533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Operating expenses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Rent (2)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(2,836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(2,702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(8,452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(8,262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(190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Real estate taxes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(37,519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(37,862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343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(113,871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(115,570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1,699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Operating and maintenance (3)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(39,758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(39,265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(493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(123,871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(123,921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General and administrative (4)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(23,832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(21,348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(2,484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(72,296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(67,775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(4,521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Provision for doubtful accounts (5)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(1,389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1,389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(4,571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4,571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Impairment charges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(19,609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(3,336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(16,273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(41,235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(33,855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(7,380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Depreciation and amortization</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(68,874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(74,972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6,098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(209,440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(236,114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26,674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9,025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28,250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(19,225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47,382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180,461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(133,079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Other income/(expense)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Other income,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4,327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5,219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(892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8,887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14,675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(5,788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Interest expense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(43,146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(44,081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935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(131,638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(140,458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8,820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Early extinguishment of debt charges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Benefit for income taxes,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3,866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315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3,551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3,580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983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2,597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Equity in income of joint ventures,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17,673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16,533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1,140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58,960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52,486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6,474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Equity in income of other real estate investments,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3,265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5,045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(1,780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22,758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24,638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(1,880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Net income attributable to noncontrolling interests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(1,463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(567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(896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(2,332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(882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(1,450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Preferred stock redemption charges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(11,369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(11,369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(11,369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(11,369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Preferred dividends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(13,573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(14,534</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961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(42,641</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(43,657</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1,016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ind w:left="360"/>
              <w:rPr>
                <w:sz w:val="20"/>
                <w:szCs w:val="20"/>
              </w:rPr>
            </w:pPr>
            <w:r>
              <w:rPr>
                <w:sz w:val="20"/>
                <w:szCs w:val="20"/>
              </w:rPr>
              <w:t>Net income available to the Company's common shareholders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59,048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85,624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(26,576</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247,176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365,977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(118,801</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000" w:type="pct"/>
            <w:shd w:val="clear" w:color="auto" w:fill="FFFFFF"/>
            <w:vAlign w:val="bottom"/>
            <w:hideMark/>
          </w:tcPr>
          <w:p w:rsidR="00000000" w:rsidRDefault="005F676C">
            <w:pPr>
              <w:pStyle w:val="a3"/>
              <w:spacing w:before="0" w:beforeAutospacing="0" w:after="0" w:afterAutospacing="0"/>
              <w:ind w:left="360"/>
              <w:rPr>
                <w:sz w:val="20"/>
                <w:szCs w:val="20"/>
              </w:rPr>
            </w:pPr>
            <w:r>
              <w:rPr>
                <w:sz w:val="20"/>
                <w:szCs w:val="20"/>
              </w:rPr>
              <w:t>Net income available to the Company:</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0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Diluted per common share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0.14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0.19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(0.05</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0.58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0.85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(0.27</w:t>
            </w:r>
          </w:p>
        </w:tc>
        <w:tc>
          <w:tcPr>
            <w:tcW w:w="50" w:type="pct"/>
            <w:shd w:val="clear" w:color="auto" w:fill="CCEE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bl>
    <w:p w:rsidR="00000000" w:rsidRDefault="005F676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(1)</w:t>
            </w:r>
          </w:p>
        </w:tc>
        <w:tc>
          <w:tcPr>
            <w:tcW w:w="0" w:type="auto"/>
            <w:hideMark/>
          </w:tcPr>
          <w:p w:rsidR="00000000" w:rsidRDefault="005F676C">
            <w:pPr>
              <w:pStyle w:val="a3"/>
              <w:spacing w:before="0" w:beforeAutospacing="0" w:after="0" w:afterAutospacing="0"/>
              <w:jc w:val="both"/>
              <w:rPr>
                <w:sz w:val="20"/>
                <w:szCs w:val="20"/>
              </w:rPr>
            </w:pPr>
            <w:r>
              <w:rPr>
                <w:sz w:val="20"/>
                <w:szCs w:val="20"/>
              </w:rPr>
              <w:t>Upon the adoption of Topic 842, the Company reclassified $58.0 million and $182.9 million of Reimbursement income, respectively, and $5.6 million and $16.8 million of Other rental property income, respectively, to Revenues from rental properties, net on th</w:t>
            </w:r>
            <w:r>
              <w:rPr>
                <w:sz w:val="20"/>
                <w:szCs w:val="20"/>
              </w:rPr>
              <w:t>e Company’s Condensed Consolidated Statements of Income for the three and nine months ended September 30, 2018. See Footnote 2 to the Notes to the Company’s Condensed Consolidated Financial Statements for additional disclosure.</w:t>
            </w:r>
          </w:p>
        </w:tc>
      </w:tr>
      <w:tr w:rsidR="00000000">
        <w:trPr>
          <w:tblCellSpacing w:w="0" w:type="dxa"/>
        </w:trPr>
        <w:tc>
          <w:tcPr>
            <w:tcW w:w="360" w:type="dxa"/>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(2)</w:t>
            </w:r>
          </w:p>
        </w:tc>
        <w:tc>
          <w:tcPr>
            <w:tcW w:w="0" w:type="auto"/>
            <w:hideMark/>
          </w:tcPr>
          <w:p w:rsidR="00000000" w:rsidRDefault="005F676C">
            <w:pPr>
              <w:pStyle w:val="a3"/>
              <w:spacing w:before="0" w:beforeAutospacing="0" w:after="0" w:afterAutospacing="0"/>
              <w:jc w:val="both"/>
              <w:rPr>
                <w:sz w:val="20"/>
                <w:szCs w:val="20"/>
              </w:rPr>
            </w:pPr>
            <w:r>
              <w:rPr>
                <w:sz w:val="20"/>
                <w:szCs w:val="20"/>
              </w:rPr>
              <w:t>Rent expense relates to ground lease payments for which the Company is the lessee.</w:t>
            </w:r>
          </w:p>
        </w:tc>
      </w:tr>
      <w:tr w:rsidR="00000000">
        <w:trPr>
          <w:tblCellSpacing w:w="0" w:type="dxa"/>
        </w:trPr>
        <w:tc>
          <w:tcPr>
            <w:tcW w:w="360" w:type="dxa"/>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(3)</w:t>
            </w:r>
          </w:p>
        </w:tc>
        <w:tc>
          <w:tcPr>
            <w:tcW w:w="0" w:type="auto"/>
            <w:hideMark/>
          </w:tcPr>
          <w:p w:rsidR="00000000" w:rsidRDefault="005F676C">
            <w:pPr>
              <w:pStyle w:val="a3"/>
              <w:spacing w:before="0" w:beforeAutospacing="0" w:after="0" w:afterAutospacing="0"/>
              <w:jc w:val="both"/>
              <w:rPr>
                <w:sz w:val="20"/>
                <w:szCs w:val="20"/>
              </w:rPr>
            </w:pPr>
            <w:r>
              <w:rPr>
                <w:sz w:val="20"/>
                <w:szCs w:val="20"/>
              </w:rPr>
              <w:t>Operating and maintenance expense consists of property related costs including repairs and maintenance costs, roof repair, landscaping, parking lot repair, snow remov</w:t>
            </w:r>
            <w:r>
              <w:rPr>
                <w:sz w:val="20"/>
                <w:szCs w:val="20"/>
              </w:rPr>
              <w:t>al, utilities, property insurance costs, security and various other property related expenses.</w:t>
            </w:r>
          </w:p>
        </w:tc>
      </w:tr>
      <w:tr w:rsidR="00000000">
        <w:trPr>
          <w:tblCellSpacing w:w="0" w:type="dxa"/>
        </w:trPr>
        <w:tc>
          <w:tcPr>
            <w:tcW w:w="360" w:type="dxa"/>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(4)</w:t>
            </w:r>
          </w:p>
        </w:tc>
        <w:tc>
          <w:tcPr>
            <w:tcW w:w="0" w:type="auto"/>
            <w:hideMark/>
          </w:tcPr>
          <w:p w:rsidR="00000000" w:rsidRDefault="005F676C">
            <w:pPr>
              <w:pStyle w:val="a3"/>
              <w:spacing w:before="0" w:beforeAutospacing="0" w:after="0" w:afterAutospacing="0"/>
              <w:jc w:val="both"/>
              <w:rPr>
                <w:sz w:val="20"/>
                <w:szCs w:val="20"/>
              </w:rPr>
            </w:pPr>
            <w:r>
              <w:rPr>
                <w:sz w:val="20"/>
                <w:szCs w:val="20"/>
              </w:rPr>
              <w:t>General and administrative expense includes employee-related expenses (including salaries, bonuses, equity awards, benefits, severance costs and payroll t</w:t>
            </w:r>
            <w:r>
              <w:rPr>
                <w:sz w:val="20"/>
                <w:szCs w:val="20"/>
              </w:rPr>
              <w:t>axes), professional fees, office rent, travel expense and other company-specific expenses.</w:t>
            </w:r>
          </w:p>
        </w:tc>
      </w:tr>
      <w:tr w:rsidR="00000000">
        <w:trPr>
          <w:tblCellSpacing w:w="0" w:type="dxa"/>
        </w:trPr>
        <w:tc>
          <w:tcPr>
            <w:tcW w:w="360" w:type="dxa"/>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(5)</w:t>
            </w:r>
          </w:p>
        </w:tc>
        <w:tc>
          <w:tcPr>
            <w:tcW w:w="0" w:type="auto"/>
            <w:hideMark/>
          </w:tcPr>
          <w:p w:rsidR="00000000" w:rsidRDefault="005F676C">
            <w:pPr>
              <w:pStyle w:val="a3"/>
              <w:spacing w:before="0" w:beforeAutospacing="0" w:after="0" w:afterAutospacing="0"/>
              <w:jc w:val="both"/>
              <w:rPr>
                <w:sz w:val="20"/>
                <w:szCs w:val="20"/>
              </w:rPr>
            </w:pPr>
            <w:r>
              <w:rPr>
                <w:sz w:val="20"/>
                <w:szCs w:val="20"/>
              </w:rPr>
              <w:t>In accordance with the adoption of Topic 842 the Company, as of January 1, 2019, includes Provision for doubtful accounts amounts in Revenues from rental prop</w:t>
            </w:r>
            <w:r>
              <w:rPr>
                <w:sz w:val="20"/>
                <w:szCs w:val="20"/>
              </w:rPr>
              <w:t>erties, net.</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jc w:val="center"/>
        <w:divId w:val="830635785"/>
        <w:rPr>
          <w:rFonts w:eastAsia="Times New Roman"/>
          <w:sz w:val="20"/>
          <w:szCs w:val="20"/>
        </w:rPr>
      </w:pPr>
      <w:r>
        <w:rPr>
          <w:rFonts w:eastAsia="Times New Roman"/>
          <w:sz w:val="20"/>
          <w:szCs w:val="20"/>
        </w:rPr>
        <w:t xml:space="preserve">25 </w:t>
      </w:r>
    </w:p>
    <w:p w:rsidR="00000000" w:rsidRDefault="005F676C">
      <w:pPr>
        <w:divId w:val="830635785"/>
        <w:rPr>
          <w:rFonts w:eastAsia="Times New Roman"/>
          <w:sz w:val="20"/>
          <w:szCs w:val="20"/>
        </w:rPr>
      </w:pPr>
      <w:r>
        <w:rPr>
          <w:rFonts w:eastAsia="Times New Roman"/>
          <w:sz w:val="20"/>
          <w:szCs w:val="20"/>
        </w:rPr>
        <w:pict>
          <v:rect id="_x0000_i1053" style="width:0;height:1.5pt" o:hralign="center" o:hrstd="t" o:hr="t" fillcolor="#a0a0a0" stroked="f"/>
        </w:pict>
      </w:r>
    </w:p>
    <w:p w:rsidR="00000000" w:rsidRDefault="005F676C">
      <w:pPr>
        <w:divId w:val="83063578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Net income available to the Company’</w:t>
      </w:r>
      <w:r>
        <w:rPr>
          <w:sz w:val="20"/>
          <w:szCs w:val="20"/>
        </w:rPr>
        <w:t>s common shareholders was $59.0 million for the three months ended September 30, 2019, as compared to $85.6 million for the comparable period in 2018. On a diluted per common share basis, net income available to the Company for the three months ended Septe</w:t>
      </w:r>
      <w:r>
        <w:rPr>
          <w:sz w:val="20"/>
          <w:szCs w:val="20"/>
        </w:rPr>
        <w:t>mber 30, 2019, was $0.14 as compared to $0.19 for the comparable period in 2018.</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Net income available to the Company’s common shareholders was $247.2 million for the nine months ended September 30, 2019, as compared to $366.0 million for the comparable p</w:t>
      </w:r>
      <w:r>
        <w:rPr>
          <w:sz w:val="20"/>
          <w:szCs w:val="20"/>
        </w:rPr>
        <w:t>eriod in 2018. On a diluted per common share basis, net income available to the Company for the nine months ended September 30, 2019, was $0.58 as compared to $0.85 for the comparable period in 2018.</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following describes the changes of certain line it</w:t>
      </w:r>
      <w:r>
        <w:rPr>
          <w:sz w:val="20"/>
          <w:szCs w:val="20"/>
        </w:rPr>
        <w:t>ems included in Net income available to the Company’s common shareholders on the Company’s Condensed Consolidated Statements of Income, which it believes represent items that have significant changes during the three and nine months ended September 30, 201</w:t>
      </w:r>
      <w:r>
        <w:rPr>
          <w:sz w:val="20"/>
          <w:szCs w:val="20"/>
        </w:rPr>
        <w:t>9, as compared to the corresponding periods in 2018:</w:t>
      </w:r>
    </w:p>
    <w:p w:rsidR="00000000" w:rsidRDefault="005F676C">
      <w:pPr>
        <w:pStyle w:val="a3"/>
        <w:spacing w:before="0" w:beforeAutospacing="0" w:after="0" w:afterAutospacing="0"/>
        <w:ind w:firstLine="45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Revenue from rental properties, net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decrease in Revenues from rental properties, net of $17.3 million for the nine months ended September 30, 2019, as compared to the corresponding period in 20</w:t>
      </w:r>
      <w:r>
        <w:rPr>
          <w:sz w:val="20"/>
          <w:szCs w:val="20"/>
        </w:rPr>
        <w:t>18, is primarily from (i) a decrease in revenues of $51.4 million due to properties sold during 2019 and 2018, partially offset by (ii) the completion of certain redevelopment and development projects, acquisitions, tenant buyouts and net growth in the cur</w:t>
      </w:r>
      <w:r>
        <w:rPr>
          <w:sz w:val="20"/>
          <w:szCs w:val="20"/>
        </w:rPr>
        <w:t>rent portfolio, which provided incremental revenues for the nine months ended September 30, 2019 of $34.1 million, as compared to the corresponding period in 2018.</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General and administrative – </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increase in General and administrative expense of $2.5</w:t>
      </w:r>
      <w:r>
        <w:rPr>
          <w:sz w:val="20"/>
          <w:szCs w:val="20"/>
        </w:rPr>
        <w:t xml:space="preserve"> million and $4.5 million for the three and nine months ended September 30, 2019, respectively, as compared to the corresponding periods in 2018, is primarily due to (i) a decrease in capitalization of internal leasing commissions of $3.3 million and $8.3 </w:t>
      </w:r>
      <w:r>
        <w:rPr>
          <w:sz w:val="20"/>
          <w:szCs w:val="20"/>
        </w:rPr>
        <w:t>million, respectively, in association with the adoption of Topic 842, which allows only the initial direct cost of a lease to be capitalized (see Footnote 2 of the Notes to the Condensed Consolidated Financial Statements), partially offset by (ii) a reduct</w:t>
      </w:r>
      <w:r>
        <w:rPr>
          <w:sz w:val="20"/>
          <w:szCs w:val="20"/>
        </w:rPr>
        <w:t>ion in salary and severance expense for the three and nine months ended September 30, 2019 of $0.5 million and $3.8 million, respectively.</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Impairment charges –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 nine months ended September 30, 2019 and 2018, the Company recognized impairment</w:t>
      </w:r>
      <w:r>
        <w:rPr>
          <w:sz w:val="20"/>
          <w:szCs w:val="20"/>
        </w:rPr>
        <w:t xml:space="preserve"> charges related to adjustments to property carrying values of $41.2 million and $33.9 million, respectively, for which the Company’s estimated fair values were primarily based upon (i) signed contracts or letters of intent from third party offers or (ii) </w:t>
      </w:r>
      <w:r>
        <w:rPr>
          <w:sz w:val="20"/>
          <w:szCs w:val="20"/>
        </w:rPr>
        <w:t>discounted cash flow models. These adjustments to property carrying values were recognized in connection with the Company’s efforts to market certain properties and management’s assessment as to the likelihood and timing of such potential transactions. Cer</w:t>
      </w:r>
      <w:r>
        <w:rPr>
          <w:sz w:val="20"/>
          <w:szCs w:val="20"/>
        </w:rPr>
        <w:t>tain of the calculations to determine fair value utilized unobservable inputs and as such are classified as Level 3 of the fair value hierarchy.</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Depreciation and amortization –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decrease in Depreciation and amortization of $6.1 million for the thre</w:t>
      </w:r>
      <w:r>
        <w:rPr>
          <w:sz w:val="20"/>
          <w:szCs w:val="20"/>
        </w:rPr>
        <w:t>e months ended September 30, 2019, as compared to the corresponding period in 2018, is primarily due to (i) a decrease of $3.4 million resulting from property dispositions in 2019 and 2018, (ii) a decrease of $2.1 million related to fewer tenant vacates an</w:t>
      </w:r>
      <w:r>
        <w:rPr>
          <w:sz w:val="20"/>
          <w:szCs w:val="20"/>
        </w:rPr>
        <w:t>d write-offs during the three months ended September 30, 2018, as compared to the corresponding period in 2019 and (iii) a decrease of $0.6 million related to the acceleration of depreciable lives of assets within the Company’s redevelopment projects durin</w:t>
      </w:r>
      <w:r>
        <w:rPr>
          <w:sz w:val="20"/>
          <w:szCs w:val="20"/>
        </w:rPr>
        <w:t>g the three months ended September 30, 2018.</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decrease in Depreciation and amortization of $26.7 million for the nine months ended September 30, 2019, as compared to the corresponding period in 2018, is primarily due to (i) a decrease of $15.0 million resulting from property dispositions in 2019 a</w:t>
      </w:r>
      <w:r>
        <w:rPr>
          <w:sz w:val="20"/>
          <w:szCs w:val="20"/>
        </w:rPr>
        <w:t>nd 2018, (ii) a decrease of $8.0 million related to the acceleration of depreciable lives of assets within the Company’s redevelopment projects during the nine months ended September 30, 2018 and (iii) a decrease of $3.7 million related to fewer tenant vac</w:t>
      </w:r>
      <w:r>
        <w:rPr>
          <w:sz w:val="20"/>
          <w:szCs w:val="20"/>
        </w:rPr>
        <w:t>ates and write-offs during the nine months ended September 30, 2018, as compared to the corresponding period in 2019.</w:t>
      </w:r>
    </w:p>
    <w:p w:rsidR="00000000" w:rsidRDefault="005F676C">
      <w:pPr>
        <w:pStyle w:val="a3"/>
        <w:spacing w:before="0" w:beforeAutospacing="0" w:after="0" w:afterAutospacing="0"/>
        <w:ind w:firstLine="360"/>
        <w:jc w:val="both"/>
        <w:rPr>
          <w:sz w:val="20"/>
          <w:szCs w:val="20"/>
        </w:rPr>
      </w:pPr>
      <w:r>
        <w:rPr>
          <w:i/>
          <w:iCs/>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Gain on sale of properties/change in control of interests – </w:t>
      </w:r>
    </w:p>
    <w:p w:rsidR="00000000" w:rsidRDefault="005F676C">
      <w:pPr>
        <w:pStyle w:val="a3"/>
        <w:spacing w:before="0" w:beforeAutospacing="0" w:after="0" w:afterAutospacing="0"/>
        <w:ind w:firstLine="36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During the nine months ended September 30, 2019, the Company disposed of </w:t>
      </w:r>
      <w:r>
        <w:rPr>
          <w:sz w:val="20"/>
          <w:szCs w:val="20"/>
        </w:rPr>
        <w:t>12 operating properties and seven out-parcels, in separate transactions, for an aggregate sales price of $163.8 million. These transactions resulted in aggregate gains of $47.4 million.</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 nine months ended September 30, 2018, the Company dispose</w:t>
      </w:r>
      <w:r>
        <w:rPr>
          <w:sz w:val="20"/>
          <w:szCs w:val="20"/>
        </w:rPr>
        <w:t>d of 45 operating properties (including the deconsolidation of one operating property) and four out-parcels, in separate transactions, for an aggregate sales price of $973.5 million. These transactions resulted in an aggregate gain of $180.5 million.</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jc w:val="center"/>
        <w:divId w:val="664092402"/>
        <w:rPr>
          <w:rFonts w:eastAsia="Times New Roman"/>
          <w:sz w:val="20"/>
          <w:szCs w:val="20"/>
        </w:rPr>
      </w:pPr>
      <w:r>
        <w:rPr>
          <w:rFonts w:eastAsia="Times New Roman"/>
          <w:sz w:val="20"/>
          <w:szCs w:val="20"/>
        </w:rPr>
        <w:t xml:space="preserve">26 </w:t>
      </w:r>
    </w:p>
    <w:p w:rsidR="00000000" w:rsidRDefault="005F676C">
      <w:pPr>
        <w:divId w:val="664092402"/>
        <w:rPr>
          <w:rFonts w:eastAsia="Times New Roman"/>
          <w:sz w:val="20"/>
          <w:szCs w:val="20"/>
        </w:rPr>
      </w:pPr>
      <w:r>
        <w:rPr>
          <w:rFonts w:eastAsia="Times New Roman"/>
          <w:sz w:val="20"/>
          <w:szCs w:val="20"/>
        </w:rPr>
        <w:pict>
          <v:rect id="_x0000_i1054" style="width:0;height:1.5pt" o:hralign="center" o:hrstd="t" o:hr="t" fillcolor="#a0a0a0" stroked="f"/>
        </w:pict>
      </w:r>
    </w:p>
    <w:p w:rsidR="00000000" w:rsidRDefault="005F676C">
      <w:pPr>
        <w:divId w:val="66409240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Other income, net –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decrease in Other income, net of $5.8 million for the nine months ended September 30, 2019, as compared to the corresponding period in 2018, is primarily due to (i) the recognition of gain on forgiveness of debt of $4.3 million and relief of accrued in</w:t>
      </w:r>
      <w:r>
        <w:rPr>
          <w:sz w:val="20"/>
          <w:szCs w:val="20"/>
        </w:rPr>
        <w:t>terest expense of $3.4 million resulting from the foreclosure of an encumbered property during the nine months ended September 30, 2018, and (ii) the recognition of a gain on land sales of $6.3 million during the nine months ended September 30, 2018, parti</w:t>
      </w:r>
      <w:r>
        <w:rPr>
          <w:sz w:val="20"/>
          <w:szCs w:val="20"/>
        </w:rPr>
        <w:t>ally offset by (iii) an increase in net gains on changes in fair value of available-for-sale marketable securities of $3.4 million for the nine months ended September 30, 2019, as compared to the corresponding period in 2018, (iv) settlement proceeds of $3</w:t>
      </w:r>
      <w:r>
        <w:rPr>
          <w:sz w:val="20"/>
          <w:szCs w:val="20"/>
        </w:rPr>
        <w:t>.3 million related to a property condemnation during the nine months ended September 30, 2019, and (v) an increase of $1.5 million related to the recognition of income from the Company’s Puerto Rico properties, resulting from the receipt of casualty insura</w:t>
      </w:r>
      <w:r>
        <w:rPr>
          <w:sz w:val="20"/>
          <w:szCs w:val="20"/>
        </w:rPr>
        <w:t>nce claims in excess of the value of the assets written-off during the nine months ended September 30, 2019, as compared to the corresponding period in 2018.</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Interest expense – </w:t>
      </w:r>
    </w:p>
    <w:p w:rsidR="00000000" w:rsidRDefault="005F676C">
      <w:pPr>
        <w:pStyle w:val="a3"/>
        <w:spacing w:before="0" w:beforeAutospacing="0" w:after="0" w:afterAutospacing="0"/>
        <w:ind w:firstLine="36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decrease in Interest expense of $8.8 million for the nine months ended</w:t>
      </w:r>
      <w:r>
        <w:rPr>
          <w:sz w:val="20"/>
          <w:szCs w:val="20"/>
        </w:rPr>
        <w:t xml:space="preserve"> September 30, 2019, as compared to the corresponding period in 2018, is primarily the result of the repayment of maturing debt during 2019 and 2018 and lower levels of borrowings during the nine months ended September 30, 2019, as compared to the correspo</w:t>
      </w:r>
      <w:r>
        <w:rPr>
          <w:sz w:val="20"/>
          <w:szCs w:val="20"/>
        </w:rPr>
        <w:t>nding period in 2018.</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Early extinguishment of debt charges –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 three and nine months ended September 30, 2018, the Company incurred early extinguishment of debt charges of $12.8 million in connection with the optional make-whole provisions of</w:t>
      </w:r>
      <w:r>
        <w:rPr>
          <w:sz w:val="20"/>
          <w:szCs w:val="20"/>
        </w:rPr>
        <w:t xml:space="preserve"> unsecured notes that were repaid prior to maturity.</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Benefit for income taxes, net –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increase in Benefit for income taxes, net of $3.6 million and $2.6 million for the three and nine months ended September 30, 2019, respectively, as compared to the corresponding periods in 2018, is primarily due to an increase in federal tax refunds.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Equity in income of joint ventures, net – </w:t>
      </w:r>
    </w:p>
    <w:p w:rsidR="00000000" w:rsidRDefault="005F676C">
      <w:pPr>
        <w:pStyle w:val="a3"/>
        <w:spacing w:before="0" w:beforeAutospacing="0" w:after="0" w:afterAutospacing="0"/>
        <w:ind w:firstLine="36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The increase in Equity in income of joint ventures, net of $6.5 million for the nine months ended September 30, 2019, as compared to the corresponding period in 2018, is primarily due to (i) an increase in net </w:t>
      </w:r>
      <w:r>
        <w:rPr>
          <w:sz w:val="20"/>
          <w:szCs w:val="20"/>
        </w:rPr>
        <w:t>gains of $5.7 million resulting from the sale of properties within various joint venture investments during 2019, as compared to the corresponding period in 2018, and (ii) higher equity in income of $2.4 million within various joint venture investments dur</w:t>
      </w:r>
      <w:r>
        <w:rPr>
          <w:sz w:val="20"/>
          <w:szCs w:val="20"/>
        </w:rPr>
        <w:t>ing 2019, as compared to the corresponding period in 2018, partially offset by (iii) an increase in impairment charges of $1.6 million resulting from the sale of properties within various joint venture investments during 2019, as compared to the correspond</w:t>
      </w:r>
      <w:r>
        <w:rPr>
          <w:sz w:val="20"/>
          <w:szCs w:val="20"/>
        </w:rPr>
        <w:t>ing period in 2018.</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 xml:space="preserve">Preferred stock redemption charges –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September 2019, the Company redeemed all its outstanding Class I Preferred Stock and Class K Preferred Stock and as a result, the Company recorded a redemption charge of $11.4 million. Th</w:t>
      </w:r>
      <w:r>
        <w:rPr>
          <w:sz w:val="20"/>
          <w:szCs w:val="20"/>
        </w:rPr>
        <w:t>is $11.4 million charge was subtracted from net income attributable to the Company to arrive at net income available to the Company’s common shareholders and used in the calculation of earnings per share for the three and nine months ended September 30, 20</w:t>
      </w:r>
      <w:r>
        <w:rPr>
          <w:sz w:val="20"/>
          <w:szCs w:val="20"/>
        </w:rPr>
        <w:t>19.</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u w:val="single"/>
        </w:rPr>
        <w:t>Tenant Concentration</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seeks to reduce its operating and leasing risks through diversification achieved by the geographic distribution of its properties and a large tenant base. At September 30, 2019, the Company’s five largest tenants we</w:t>
      </w:r>
      <w:r>
        <w:rPr>
          <w:sz w:val="20"/>
          <w:szCs w:val="20"/>
        </w:rPr>
        <w:t>re TJX Companies, Home Depot, Ahold Delhaize USA, Albertsons and PetSmart, which represented 3.8%, 2.4%, 2.2%, 1.9% and 1.8%, respectively, of the Company’s annualized base rental revenues, including the proportionate share of base rental revenues from pro</w:t>
      </w:r>
      <w:r>
        <w:rPr>
          <w:sz w:val="20"/>
          <w:szCs w:val="20"/>
        </w:rPr>
        <w:t>perties in which the Company has less than a 100% economic interest.</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u w:val="single"/>
        </w:rPr>
        <w:t>Liquidity and Capital Resources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The Company’s capital resources include accessing the public debt and equity capital markets, mortgages and construction loan financing, and immediate </w:t>
      </w:r>
      <w:r>
        <w:rPr>
          <w:sz w:val="20"/>
          <w:szCs w:val="20"/>
        </w:rPr>
        <w:t>access to an unsecured revolving credit facility (the “Credit Facility”) with bank commitments of $2.25 billion which can be increased to $2.75 billion through an accordion feature.</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 cash flow activities are summarized as follows (in thousan</w:t>
      </w:r>
      <w:r>
        <w:rPr>
          <w:sz w:val="20"/>
          <w:szCs w:val="20"/>
        </w:rPr>
        <w:t>ds): </w:t>
      </w:r>
    </w:p>
    <w:p w:rsidR="00000000" w:rsidRDefault="005F676C">
      <w:pPr>
        <w:pStyle w:val="a3"/>
        <w:spacing w:before="0" w:beforeAutospacing="0" w:after="0" w:afterAutospacing="0"/>
        <w:ind w:firstLine="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650"/>
        <w:gridCol w:w="61"/>
        <w:gridCol w:w="100"/>
        <w:gridCol w:w="978"/>
        <w:gridCol w:w="67"/>
        <w:gridCol w:w="57"/>
        <w:gridCol w:w="100"/>
        <w:gridCol w:w="980"/>
        <w:gridCol w:w="67"/>
      </w:tblGrid>
      <w:tr w:rsidR="00000000">
        <w:trPr>
          <w:tblCellSpacing w:w="0" w:type="dxa"/>
        </w:trPr>
        <w:tc>
          <w:tcPr>
            <w:tcW w:w="33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90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Nine months Ended September 30,</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3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Cash and cash equivalents, beginning of the period</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143,581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7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238,513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Net cash flow provided by operating activities</w:t>
            </w:r>
          </w:p>
        </w:tc>
        <w:tc>
          <w:tcPr>
            <w:tcW w:w="50" w:type="pct"/>
            <w:tcBorders>
              <w:bottom w:val="nil"/>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nil"/>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482,459</w:t>
            </w:r>
          </w:p>
        </w:tc>
        <w:tc>
          <w:tcPr>
            <w:tcW w:w="50" w:type="pct"/>
            <w:tcBorders>
              <w:bottom w:val="nil"/>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nil"/>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516,331</w:t>
            </w:r>
          </w:p>
        </w:tc>
        <w:tc>
          <w:tcPr>
            <w:tcW w:w="50" w:type="pct"/>
            <w:tcBorders>
              <w:bottom w:val="nil"/>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Net cash flow (used for)/provided by investing activities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(161,307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230,755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Net cash flow used for financing activities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(323,423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(839,213</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3300" w:type="pct"/>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Net change in cash and cash equivalents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(2,271</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(92,127</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33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Cash and cash equivalents, end of the period</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141,310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146,386</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jc w:val="center"/>
        <w:divId w:val="706679134"/>
        <w:rPr>
          <w:rFonts w:eastAsia="Times New Roman"/>
          <w:sz w:val="20"/>
          <w:szCs w:val="20"/>
        </w:rPr>
      </w:pPr>
      <w:r>
        <w:rPr>
          <w:rFonts w:eastAsia="Times New Roman"/>
          <w:sz w:val="20"/>
          <w:szCs w:val="20"/>
        </w:rPr>
        <w:t xml:space="preserve">27 </w:t>
      </w:r>
    </w:p>
    <w:p w:rsidR="00000000" w:rsidRDefault="005F676C">
      <w:pPr>
        <w:divId w:val="706679134"/>
        <w:rPr>
          <w:rFonts w:eastAsia="Times New Roman"/>
          <w:sz w:val="20"/>
          <w:szCs w:val="20"/>
        </w:rPr>
      </w:pPr>
      <w:r>
        <w:rPr>
          <w:rFonts w:eastAsia="Times New Roman"/>
          <w:sz w:val="20"/>
          <w:szCs w:val="20"/>
        </w:rPr>
        <w:pict>
          <v:rect id="_x0000_i1055" style="width:0;height:1.5pt" o:hralign="center" o:hrstd="t" o:hr="t" fillcolor="#a0a0a0" stroked="f"/>
        </w:pict>
      </w:r>
    </w:p>
    <w:p w:rsidR="00000000" w:rsidRDefault="005F676C">
      <w:pPr>
        <w:divId w:val="70667913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u w:val="single"/>
        </w:rPr>
        <w:t>Operating Activities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anticipates that cash on hand, net cash flow provided by operating activities, borrowings under its Credit Facility, and the issuance of equity and public debt, as well as other debt and equity alternatives, will provide the necessary capital r</w:t>
      </w:r>
      <w:r>
        <w:rPr>
          <w:sz w:val="20"/>
          <w:szCs w:val="20"/>
        </w:rPr>
        <w:t>equired by the Company.  </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Net cash flow provided by operating activities for the nine months ended September 30, 2019, was $482.5 million, as compared to $516.3 million for the comparable period in 2018. The decrease of $33.8 million is primarily attribu</w:t>
      </w:r>
      <w:r>
        <w:rPr>
          <w:sz w:val="20"/>
          <w:szCs w:val="20"/>
        </w:rPr>
        <w:t>table to:</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changes in operating assets and liabilities due to timing of receipts and payments;</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the disposition of operating properties in 2019 and 2018; and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a decrease in distributions from the Company’s joint venture programs; partially offset by</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new leasing, expansion and re-tenanting of core portfolio properties; and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the acquisition of operating properties during 2019.</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 nine months ended September 30, 2019 and 2018, the Company capitalized personnel costs of $1.9 million and $10.2 million, respectively, relating to deferred leasing costs.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u w:val="single"/>
        </w:rPr>
        <w:t>Investing Activ</w:t>
      </w:r>
      <w:r>
        <w:rPr>
          <w:sz w:val="20"/>
          <w:szCs w:val="20"/>
          <w:u w:val="single"/>
        </w:rPr>
        <w:t>ities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Net cash flow used for investing activities was $161.3 million for the nine months ended September 30, 2019, as compared to net cash flow provided by investing activities of $230.8 million for the comparable period in 2018.</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Investing activities d</w:t>
      </w:r>
      <w:r>
        <w:rPr>
          <w:sz w:val="20"/>
          <w:szCs w:val="20"/>
        </w:rPr>
        <w:t>uring 2019 primarily consisted of:</w:t>
      </w:r>
    </w:p>
    <w:p w:rsidR="00000000" w:rsidRDefault="005F676C">
      <w:pPr>
        <w:pStyle w:val="a3"/>
        <w:spacing w:before="0" w:beforeAutospacing="0" w:after="0" w:afterAutospacing="0"/>
        <w:ind w:firstLine="540"/>
        <w:jc w:val="both"/>
        <w:rPr>
          <w:sz w:val="20"/>
          <w:szCs w:val="20"/>
        </w:rPr>
      </w:pPr>
      <w:r>
        <w:rPr>
          <w:sz w:val="20"/>
          <w:szCs w:val="20"/>
        </w:rPr>
        <w:t> </w:t>
      </w:r>
    </w:p>
    <w:p w:rsidR="00000000" w:rsidRDefault="005F676C">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$163.2 million in proceeds from the sale of 12 consolidated operating properties and seven out-parcels;</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 xml:space="preserve">$16.2 million in reimbursements of investments in and advances to real estate joint ventures and reimbursements of investments in and advances to </w:t>
            </w:r>
            <w:r>
              <w:rPr>
                <w:sz w:val="20"/>
                <w:szCs w:val="20"/>
              </w:rPr>
              <w:t>other real estate investments, primarily related to the sale of properties within the Company’s joint venture portfolio and Preferred Equity Program;</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$5.4 million in collection of mortgage loans receivable;</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$3.0 million in proceeds from insuran</w:t>
            </w:r>
            <w:r>
              <w:rPr>
                <w:sz w:val="20"/>
                <w:szCs w:val="20"/>
              </w:rPr>
              <w:t>ce casualty claims; and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$1.9 million in proceeds from sale/repayments of marketable securities.</w:t>
            </w:r>
          </w:p>
        </w:tc>
      </w:tr>
    </w:tbl>
    <w:p w:rsidR="00000000" w:rsidRDefault="005F676C">
      <w:pPr>
        <w:pStyle w:val="a3"/>
        <w:spacing w:before="0" w:beforeAutospacing="0" w:after="0" w:afterAutospacing="0"/>
        <w:ind w:left="1080"/>
        <w:jc w:val="both"/>
        <w:rPr>
          <w:sz w:val="20"/>
          <w:szCs w:val="20"/>
        </w:rPr>
      </w:pPr>
      <w:r>
        <w:rPr>
          <w:sz w:val="20"/>
          <w:szCs w:val="20"/>
        </w:rPr>
        <w:t> </w:t>
      </w:r>
    </w:p>
    <w:p w:rsidR="00000000" w:rsidRDefault="005F676C">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$313.6 million for improvements to operating real estate primarily related to the Company’s active redevelopment pipeline and improvements to real estate under development; and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$34.6 million for investments in and advances to real estate joint ventur</w:t>
            </w:r>
            <w:r>
              <w:rPr>
                <w:sz w:val="20"/>
                <w:szCs w:val="20"/>
              </w:rPr>
              <w:t>es, primarily related to a redevelopment project within the Company’s joint venture portfolio, and investments in other real estate investments, primarily related to repayment of a mortgage within the Company’s Preferred Equity Program.</w:t>
            </w:r>
          </w:p>
        </w:tc>
      </w:tr>
    </w:tbl>
    <w:p w:rsidR="00000000" w:rsidRDefault="005F676C">
      <w:pPr>
        <w:pStyle w:val="a3"/>
        <w:spacing w:before="0" w:beforeAutospacing="0" w:after="0" w:afterAutospacing="0"/>
        <w:ind w:left="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Investing activi</w:t>
      </w:r>
      <w:r>
        <w:rPr>
          <w:sz w:val="20"/>
          <w:szCs w:val="20"/>
        </w:rPr>
        <w:t>ties during 2018 primarily consisted of:</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540"/>
        <w:jc w:val="both"/>
        <w:rPr>
          <w:sz w:val="20"/>
          <w:szCs w:val="20"/>
        </w:rPr>
      </w:pPr>
      <w:r>
        <w:rPr>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$596.5 million in proceeds from the sale of 45 consolidated operating properties, four out-parcels and 10 land parcels;</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 xml:space="preserve">$17.8 million in reimbursements of investments in and advances to real estate joint ventures and reimbursements of investments in </w:t>
            </w:r>
            <w:r>
              <w:rPr>
                <w:sz w:val="20"/>
                <w:szCs w:val="20"/>
              </w:rPr>
              <w:t>and advances to other real estate investments, primarily related to disposition of properties and loan refinancing within the joint venture portfolio and the Company’s Preferred Equity Program;</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$13.5 million in proceeds from insurance casualty claims</w:t>
            </w:r>
            <w:r>
              <w:rPr>
                <w:sz w:val="20"/>
                <w:szCs w:val="20"/>
              </w:rPr>
              <w:t xml:space="preserve"> in connection with Hurricane Maria; and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$7.4 million in collection of mortgage loans receivable.</w:t>
            </w:r>
          </w:p>
        </w:tc>
      </w:tr>
    </w:tbl>
    <w:p w:rsidR="00000000" w:rsidRDefault="005F676C">
      <w:pPr>
        <w:pStyle w:val="a3"/>
        <w:spacing w:before="0" w:beforeAutospacing="0" w:after="0" w:afterAutospacing="0"/>
        <w:ind w:firstLine="540"/>
        <w:jc w:val="both"/>
        <w:rPr>
          <w:sz w:val="20"/>
          <w:szCs w:val="20"/>
        </w:rPr>
      </w:pPr>
      <w:r>
        <w:rPr>
          <w:sz w:val="20"/>
          <w:szCs w:val="20"/>
        </w:rPr>
        <w:t> </w:t>
      </w:r>
    </w:p>
    <w:p w:rsidR="00000000" w:rsidRDefault="005F676C">
      <w:pPr>
        <w:pStyle w:val="a3"/>
        <w:spacing w:before="0" w:beforeAutospacing="0" w:after="0" w:afterAutospacing="0"/>
        <w:ind w:firstLine="540"/>
        <w:jc w:val="both"/>
        <w:rPr>
          <w:sz w:val="20"/>
          <w:szCs w:val="20"/>
        </w:rPr>
      </w:pPr>
      <w:r>
        <w:rPr>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$368.6 million for improvements to operating real estate primarily related to the Company’s active redevelopment pipeline and improvements to real estate under development;</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 xml:space="preserve">$25.8 million for investments in and advances to real estate joint ventures, </w:t>
            </w:r>
            <w:r>
              <w:rPr>
                <w:sz w:val="20"/>
                <w:szCs w:val="20"/>
              </w:rPr>
              <w:t>primarily related to a redevelopment project within the Company’s joint venture portfolio; and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$10.0 million for acquisition of operating real estate and other related net assets, including two land parcels, and the acquisition of a land parcel at on</w:t>
            </w:r>
            <w:r>
              <w:rPr>
                <w:sz w:val="20"/>
                <w:szCs w:val="20"/>
              </w:rPr>
              <w:t>e development project.</w:t>
            </w:r>
          </w:p>
        </w:tc>
      </w:tr>
    </w:tbl>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jc w:val="center"/>
        <w:divId w:val="567108562"/>
        <w:rPr>
          <w:rFonts w:eastAsia="Times New Roman"/>
          <w:sz w:val="20"/>
          <w:szCs w:val="20"/>
        </w:rPr>
      </w:pPr>
      <w:r>
        <w:rPr>
          <w:rFonts w:eastAsia="Times New Roman"/>
          <w:sz w:val="20"/>
          <w:szCs w:val="20"/>
        </w:rPr>
        <w:t xml:space="preserve">28 </w:t>
      </w:r>
    </w:p>
    <w:p w:rsidR="00000000" w:rsidRDefault="005F676C">
      <w:pPr>
        <w:divId w:val="567108562"/>
        <w:rPr>
          <w:rFonts w:eastAsia="Times New Roman"/>
          <w:sz w:val="20"/>
          <w:szCs w:val="20"/>
        </w:rPr>
      </w:pPr>
      <w:r>
        <w:rPr>
          <w:rFonts w:eastAsia="Times New Roman"/>
          <w:sz w:val="20"/>
          <w:szCs w:val="20"/>
        </w:rPr>
        <w:pict>
          <v:rect id="_x0000_i1056" style="width:0;height:1.5pt" o:hralign="center" o:hrstd="t" o:hr="t" fillcolor="#a0a0a0" stroked="f"/>
        </w:pict>
      </w:r>
    </w:p>
    <w:p w:rsidR="00000000" w:rsidRDefault="005F676C">
      <w:pPr>
        <w:divId w:val="56710856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Acquisitions of Operating Real Estate and Other Related Net Assets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jc w:val="both"/>
        <w:rPr>
          <w:sz w:val="20"/>
          <w:szCs w:val="20"/>
        </w:rPr>
      </w:pPr>
      <w:r>
        <w:rPr>
          <w:sz w:val="20"/>
          <w:szCs w:val="20"/>
        </w:rPr>
        <w:t>       </w:t>
      </w:r>
      <w:r>
        <w:rPr>
          <w:sz w:val="20"/>
          <w:szCs w:val="20"/>
        </w:rPr>
        <w:t>During the nine months ended September 30, 2019 and 2018, the Company expended $0 (after use of 26 U.S.C. §1031 proceeds of $31.0 million) and $5.4 million, respectively, towards the acquisition of operating real estate properties and parcels adjacent to o</w:t>
      </w:r>
      <w:r>
        <w:rPr>
          <w:sz w:val="20"/>
          <w:szCs w:val="20"/>
        </w:rPr>
        <w:t>perating real estate properties. </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Improvements to Operating Real Estate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 nine months ended September 30, 2019 and 2018, the Company expended $228.0 million and $193.4 million, respectively, towards improvements to operating real estate. The</w:t>
      </w:r>
      <w:r>
        <w:rPr>
          <w:sz w:val="20"/>
          <w:szCs w:val="20"/>
        </w:rPr>
        <w:t>se amounts consist of the following (in thousands):</w:t>
      </w:r>
    </w:p>
    <w:p w:rsidR="00000000" w:rsidRDefault="005F676C">
      <w:pPr>
        <w:pStyle w:val="a3"/>
        <w:spacing w:before="0" w:beforeAutospacing="0" w:after="0" w:afterAutospacing="0"/>
        <w:ind w:firstLine="72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4651"/>
        <w:gridCol w:w="62"/>
        <w:gridCol w:w="100"/>
        <w:gridCol w:w="979"/>
        <w:gridCol w:w="62"/>
        <w:gridCol w:w="63"/>
        <w:gridCol w:w="100"/>
        <w:gridCol w:w="980"/>
        <w:gridCol w:w="63"/>
      </w:tblGrid>
      <w:tr w:rsidR="00000000">
        <w:trPr>
          <w:tblCellSpacing w:w="0" w:type="dxa"/>
        </w:trPr>
        <w:tc>
          <w:tcPr>
            <w:tcW w:w="33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90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Nine months Ended September 30,</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3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Redevelopment and renovations</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185,492</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7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140,265</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Tenant improvements and tenant allowances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42,250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51,384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Other</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287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1,796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300" w:type="pct"/>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Total improvements (1)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228,029</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193,445</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(1)</w:t>
            </w:r>
          </w:p>
        </w:tc>
        <w:tc>
          <w:tcPr>
            <w:tcW w:w="0" w:type="auto"/>
            <w:hideMark/>
          </w:tcPr>
          <w:p w:rsidR="00000000" w:rsidRDefault="005F676C">
            <w:pPr>
              <w:pStyle w:val="a3"/>
              <w:spacing w:before="0" w:beforeAutospacing="0" w:after="0" w:afterAutospacing="0"/>
              <w:jc w:val="both"/>
              <w:rPr>
                <w:sz w:val="20"/>
                <w:szCs w:val="20"/>
              </w:rPr>
            </w:pPr>
            <w:r>
              <w:rPr>
                <w:sz w:val="20"/>
                <w:szCs w:val="20"/>
              </w:rPr>
              <w:t>During the nine months ended September 30, 2019 and 2018, the Company capitalized payroll of $6.2 million and $4.8 million, respectively, and capitalized interest of $4.2 million and $2.6 million, respectively, in connection with the Company’s improvements</w:t>
            </w:r>
            <w:r>
              <w:rPr>
                <w:sz w:val="20"/>
                <w:szCs w:val="20"/>
              </w:rPr>
              <w:t xml:space="preserve"> to operating real estate.</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has an ongoing program to redevelop and re-tenant its properties to maintain or enhance its competitive position in the marketplace. The Company is actively pursuing redevelopment opportunities within its operating</w:t>
      </w:r>
      <w:r>
        <w:rPr>
          <w:sz w:val="20"/>
          <w:szCs w:val="20"/>
        </w:rPr>
        <w:t xml:space="preserve"> portfolio which it believes will increase the overall value by bringing in new tenants and improving the assets’ value. The Company has identified three categories of redevelopment, (i) large scale redevelopment, which involves demolishing and building ne</w:t>
      </w:r>
      <w:r>
        <w:rPr>
          <w:sz w:val="20"/>
          <w:szCs w:val="20"/>
        </w:rPr>
        <w:t>w square footage, (ii) value creation redevelopment, which includes the subdivision of large anchor spaces into multiple tenant layouts, and (iii) creation of out-parcels and pads located in the front of the shopping center properties. The Company anticipa</w:t>
      </w:r>
      <w:r>
        <w:rPr>
          <w:sz w:val="20"/>
          <w:szCs w:val="20"/>
        </w:rPr>
        <w:t>tes its capital commitment toward these redevelopment projects and re-tenanting efforts for the remainder of 2019 will be approximately $75.0 million to $100.0 million. The funding of these capital requirements will be provided by proceeds from property di</w:t>
      </w:r>
      <w:r>
        <w:rPr>
          <w:sz w:val="20"/>
          <w:szCs w:val="20"/>
        </w:rPr>
        <w:t>spositions, net cash flow provided by operating activities and availability under the Company’s Credit Facility.</w:t>
      </w:r>
    </w:p>
    <w:p w:rsidR="00000000" w:rsidRDefault="005F676C">
      <w:pPr>
        <w:pStyle w:val="a3"/>
        <w:spacing w:before="0" w:beforeAutospacing="0" w:after="0" w:afterAutospacing="0"/>
        <w:ind w:left="72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Real Estate Under Development –</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The Company is engaged in select real estate development projects, which are expected to be held as long-term investments. As of September 30, 2019, the Company had in progress a total of two active real estate development projects. During the nine months </w:t>
      </w:r>
      <w:r>
        <w:rPr>
          <w:sz w:val="20"/>
          <w:szCs w:val="20"/>
        </w:rPr>
        <w:t>ended September 30, 2019 and 2018, the Company expended $85.6 million and $175.1 million, respectively, towards improvements to real estate under development. The Company capitalized (i) interest of $6.6 million and $10.7 million, (ii) real estate taxes, i</w:t>
      </w:r>
      <w:r>
        <w:rPr>
          <w:sz w:val="20"/>
          <w:szCs w:val="20"/>
        </w:rPr>
        <w:t>nsurance and legal costs of $1.1 million and $2.5 million and (iii) payroll of $1.1 million and $1.2 million during the nine months ended September 30, 2019 and 2018, respectively, in connection with its real estate development projects. The Company antici</w:t>
      </w:r>
      <w:r>
        <w:rPr>
          <w:sz w:val="20"/>
          <w:szCs w:val="20"/>
        </w:rPr>
        <w:t>pates the total remaining costs to complete these active projects to be approximately $50.0 million to $100.0 million. The Company anticipates its capital commitment toward these development projects for the remainder of 2019 will be approximately $20.0 mi</w:t>
      </w:r>
      <w:r>
        <w:rPr>
          <w:sz w:val="20"/>
          <w:szCs w:val="20"/>
        </w:rPr>
        <w:t>llion to $35.0 million. The funding of these capital requirements will be provided by proceeds from property dispositions, net cash flow provided by operating activities, construction financing, where applicable, and availability under the Company’s Credit</w:t>
      </w:r>
      <w:r>
        <w:rPr>
          <w:sz w:val="20"/>
          <w:szCs w:val="20"/>
        </w:rPr>
        <w:t xml:space="preserve"> Facility.</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u w:val="single"/>
        </w:rPr>
        <w:t>Financing Activities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Net cash flow used for financing activities was $323.4 million for the nine months ended September 30, 2019, as compared to $839.2 million for the comparable period in 2018.</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Financing activities during 2019 primarily c</w:t>
      </w:r>
      <w:r>
        <w:rPr>
          <w:sz w:val="20"/>
          <w:szCs w:val="20"/>
        </w:rPr>
        <w:t>onsisted of:</w:t>
      </w:r>
    </w:p>
    <w:p w:rsidR="00000000" w:rsidRDefault="005F676C">
      <w:pPr>
        <w:pStyle w:val="a3"/>
        <w:spacing w:before="0" w:beforeAutospacing="0" w:after="0" w:afterAutospacing="0"/>
        <w:ind w:firstLine="540"/>
        <w:jc w:val="both"/>
        <w:rPr>
          <w:sz w:val="20"/>
          <w:szCs w:val="20"/>
        </w:rPr>
      </w:pPr>
      <w:r>
        <w:rPr>
          <w:i/>
          <w:iCs/>
          <w:sz w:val="20"/>
          <w:szCs w:val="20"/>
        </w:rPr>
        <w:t> </w:t>
      </w:r>
    </w:p>
    <w:p w:rsidR="00000000" w:rsidRDefault="005F676C">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$350.0 million in proceeds from issuance of unsecured notes,</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$100.0 million in proceeds from borrowings under the Company’s unsecured revolving credit facility, net; and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$8.8 million in proceeds from construction loan financing for one development project.</w:t>
            </w:r>
          </w:p>
        </w:tc>
      </w:tr>
    </w:tbl>
    <w:p w:rsidR="00000000" w:rsidRDefault="005F676C">
      <w:pPr>
        <w:pStyle w:val="a3"/>
        <w:spacing w:before="0" w:beforeAutospacing="0" w:after="0" w:afterAutospacing="0"/>
        <w:ind w:firstLine="540"/>
        <w:jc w:val="both"/>
        <w:rPr>
          <w:sz w:val="20"/>
          <w:szCs w:val="20"/>
        </w:rPr>
      </w:pPr>
      <w:r>
        <w:rPr>
          <w:i/>
          <w:iCs/>
          <w:sz w:val="20"/>
          <w:szCs w:val="20"/>
        </w:rPr>
        <w:t> </w:t>
      </w:r>
    </w:p>
    <w:p w:rsidR="00000000" w:rsidRDefault="005F676C">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$401.3 million of dividends paid;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$350.0 million for the redemption of the Company’s Class I and Class K Preferred Stock;</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$15.5 million for principal payments on debt (related to the repayment of debt on two encumbered properties), including normal amortization on rental property debt;</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$7.4 million for financing origination costs, primarily related to the issuance of un</w:t>
            </w:r>
            <w:r>
              <w:rPr>
                <w:sz w:val="20"/>
                <w:szCs w:val="20"/>
              </w:rPr>
              <w:t>secured notes; and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$6.5 million for the redemption/distribution of noncontrolling interests, primarily related to the redemption of certain partnership interests by consolidated subsidiaries.</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jc w:val="center"/>
        <w:divId w:val="601113331"/>
        <w:rPr>
          <w:rFonts w:eastAsia="Times New Roman"/>
          <w:sz w:val="20"/>
          <w:szCs w:val="20"/>
        </w:rPr>
      </w:pPr>
      <w:r>
        <w:rPr>
          <w:rFonts w:eastAsia="Times New Roman"/>
          <w:sz w:val="20"/>
          <w:szCs w:val="20"/>
        </w:rPr>
        <w:t xml:space="preserve">29 </w:t>
      </w:r>
    </w:p>
    <w:p w:rsidR="00000000" w:rsidRDefault="005F676C">
      <w:pPr>
        <w:divId w:val="601113331"/>
        <w:rPr>
          <w:rFonts w:eastAsia="Times New Roman"/>
          <w:sz w:val="20"/>
          <w:szCs w:val="20"/>
        </w:rPr>
      </w:pPr>
      <w:r>
        <w:rPr>
          <w:rFonts w:eastAsia="Times New Roman"/>
          <w:sz w:val="20"/>
          <w:szCs w:val="20"/>
        </w:rPr>
        <w:pict>
          <v:rect id="_x0000_i1057" style="width:0;height:1.5pt" o:hralign="center" o:hrstd="t" o:hr="t" fillcolor="#a0a0a0" stroked="f"/>
        </w:pict>
      </w:r>
    </w:p>
    <w:p w:rsidR="00000000" w:rsidRDefault="005F676C">
      <w:pPr>
        <w:divId w:val="60111333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Financing activities during 2018 primarily consisted of:</w:t>
      </w:r>
    </w:p>
    <w:p w:rsidR="00000000" w:rsidRDefault="005F676C">
      <w:pPr>
        <w:pStyle w:val="a3"/>
        <w:spacing w:before="0" w:beforeAutospacing="0" w:after="0" w:afterAutospacing="0"/>
        <w:ind w:firstLine="540"/>
        <w:jc w:val="both"/>
        <w:rPr>
          <w:sz w:val="20"/>
          <w:szCs w:val="20"/>
        </w:rPr>
      </w:pPr>
      <w:r>
        <w:rPr>
          <w:i/>
          <w:iCs/>
          <w:sz w:val="20"/>
          <w:szCs w:val="20"/>
        </w:rPr>
        <w:t> </w:t>
      </w:r>
    </w:p>
    <w:p w:rsidR="00000000" w:rsidRDefault="005F676C">
      <w:pPr>
        <w:pStyle w:val="a3"/>
        <w:spacing w:before="0" w:beforeAutospacing="0" w:after="0" w:afterAutospacing="0"/>
        <w:ind w:firstLine="540"/>
        <w:jc w:val="both"/>
        <w:rPr>
          <w:sz w:val="20"/>
          <w:szCs w:val="20"/>
        </w:rPr>
      </w:pPr>
      <w:r>
        <w:rPr>
          <w:i/>
          <w:iCs/>
          <w:sz w:val="20"/>
          <w:szCs w:val="20"/>
        </w:rPr>
        <w:t>Cash inflows: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$122.3 million in proceeds from the Company’s unsecured revolving credit facility, net:</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$33.6 million in proceeds primarily from the exercise of the Class M Preferred Stock over-allotment option; and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$30.4 million in proceeds from construction loan financing at one development project.</w:t>
            </w:r>
          </w:p>
        </w:tc>
      </w:tr>
    </w:tbl>
    <w:p w:rsidR="00000000" w:rsidRDefault="005F676C">
      <w:pPr>
        <w:pStyle w:val="a3"/>
        <w:spacing w:before="0" w:beforeAutospacing="0" w:after="0" w:afterAutospacing="0"/>
        <w:ind w:firstLine="540"/>
        <w:jc w:val="both"/>
        <w:rPr>
          <w:sz w:val="20"/>
          <w:szCs w:val="20"/>
        </w:rPr>
      </w:pPr>
      <w:r>
        <w:rPr>
          <w:i/>
          <w:iCs/>
          <w:sz w:val="20"/>
          <w:szCs w:val="20"/>
        </w:rPr>
        <w:t> </w:t>
      </w:r>
    </w:p>
    <w:p w:rsidR="00000000" w:rsidRDefault="005F676C">
      <w:pPr>
        <w:pStyle w:val="a3"/>
        <w:spacing w:before="0" w:beforeAutospacing="0" w:after="0" w:afterAutospacing="0"/>
        <w:ind w:firstLine="540"/>
        <w:jc w:val="both"/>
        <w:rPr>
          <w:sz w:val="20"/>
          <w:szCs w:val="20"/>
        </w:rPr>
      </w:pPr>
      <w:r>
        <w:rPr>
          <w:i/>
          <w:iCs/>
          <w:sz w:val="20"/>
          <w:szCs w:val="20"/>
        </w:rPr>
        <w:t>Cash outflows:</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$397.2 million of dividends paid;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$315.1 million for the repayment of unsecured notes;</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$212.8 million for principal payments on debt (related to the repayment of debt on five encumbered properties), including normal amortization on rental prope</w:t>
            </w:r>
            <w:r>
              <w:rPr>
                <w:sz w:val="20"/>
                <w:szCs w:val="20"/>
              </w:rPr>
              <w:t>rty debt;</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$75.1 million for the repurchase of common stock;</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$13.3 million for the payment of early extinguishment of debt charges; and</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w:t>
            </w:r>
          </w:p>
        </w:tc>
        <w:tc>
          <w:tcPr>
            <w:tcW w:w="0" w:type="auto"/>
            <w:hideMark/>
          </w:tcPr>
          <w:p w:rsidR="00000000" w:rsidRDefault="005F676C">
            <w:pPr>
              <w:pStyle w:val="a3"/>
              <w:spacing w:before="0" w:beforeAutospacing="0" w:after="0" w:afterAutospacing="0"/>
              <w:jc w:val="both"/>
              <w:rPr>
                <w:sz w:val="20"/>
                <w:szCs w:val="20"/>
              </w:rPr>
            </w:pPr>
            <w:r>
              <w:rPr>
                <w:sz w:val="20"/>
                <w:szCs w:val="20"/>
              </w:rPr>
              <w:t>$6.0 million for redemption/distribution of noncontrolling interests, primarily related to the redemption of certain partnership units by consolidated subsidiaries.</w:t>
            </w:r>
          </w:p>
        </w:tc>
      </w:tr>
    </w:tbl>
    <w:p w:rsidR="00000000" w:rsidRDefault="005F676C">
      <w:pPr>
        <w:pStyle w:val="a3"/>
        <w:spacing w:before="0" w:beforeAutospacing="0" w:after="0" w:afterAutospacing="0"/>
        <w:ind w:left="72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continually evaluates its debt maturities, and, based on management’s curren</w:t>
      </w:r>
      <w:r>
        <w:rPr>
          <w:sz w:val="20"/>
          <w:szCs w:val="20"/>
        </w:rPr>
        <w:t>t assessment, believes it has viable financing and refinancing alternatives that will not materially adversely impact its expected financial results. The Company continues to pursue borrowing opportunities with large commercial U.S. and global banks, selec</w:t>
      </w:r>
      <w:r>
        <w:rPr>
          <w:sz w:val="20"/>
          <w:szCs w:val="20"/>
        </w:rPr>
        <w:t>t life insurance companies and certain regional and local banks. The Company has noticed a continuing trend that, although pricing remains dependent on specific deal terms, generally spreads for non-recourse mortgage and construction loan financing have st</w:t>
      </w:r>
      <w:r>
        <w:rPr>
          <w:sz w:val="20"/>
          <w:szCs w:val="20"/>
        </w:rPr>
        <w:t>abilized, and the unsecured debt markets are functioning well with credit spreads at manageable levels.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There are no debt maturities for the remainder of 2019. The Company intends to maintain strong debt service coverage and fixed charge coverage ratios </w:t>
      </w:r>
      <w:r>
        <w:rPr>
          <w:sz w:val="20"/>
          <w:szCs w:val="20"/>
        </w:rPr>
        <w:t>as part of its commitment to maintain its investment-grade senior, unsecured debt ratings.  The Company may, from time-to-time, seek to obtain funds through additional common and preferred equity offerings, unsecured debt financings, mortgages and/or const</w:t>
      </w:r>
      <w:r>
        <w:rPr>
          <w:sz w:val="20"/>
          <w:szCs w:val="20"/>
        </w:rPr>
        <w:t>ruction loan financing and other capital alternatives.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Since the completion of the Company’s IPO in 1991, the Company has utilized the public debt and equity markets as its principal source of capital for its expansion needs. Since the IPO, the Company h</w:t>
      </w:r>
      <w:r>
        <w:rPr>
          <w:sz w:val="20"/>
          <w:szCs w:val="20"/>
        </w:rPr>
        <w:t>as completed additional offerings of its public unsecured debt and equity, raising in the aggregate over $14.1 billion.  Proceeds from public capital market activities have been used for the purposes of, among other things, repaying indebtedness, acquiring</w:t>
      </w:r>
      <w:r>
        <w:rPr>
          <w:sz w:val="20"/>
          <w:szCs w:val="20"/>
        </w:rPr>
        <w:t xml:space="preserve"> interests in open-air shopping centers, funding real estate under development projects, expanding and improving properties in the portfolio and other investments.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During February 2018, the Company filed a shelf registration statement on Form S-3, which </w:t>
      </w:r>
      <w:r>
        <w:rPr>
          <w:sz w:val="20"/>
          <w:szCs w:val="20"/>
        </w:rPr>
        <w:t>is effective for a term of three years, for the future unlimited offerings, from time-to-time, of debt securities, preferred stock, depositary shares, common stock and common stock warrants. The Company, pursuant to this shelf registration statement may, f</w:t>
      </w:r>
      <w:r>
        <w:rPr>
          <w:sz w:val="20"/>
          <w:szCs w:val="20"/>
        </w:rPr>
        <w:t>rom time-to-time, offer for sale its senior unsecured debt for any general corporate purposes, including (i) funding specific liquidity requirements in its business, including property acquisitions, development and redevelopment costs and (ii) managing the</w:t>
      </w:r>
      <w:r>
        <w:rPr>
          <w:sz w:val="20"/>
          <w:szCs w:val="20"/>
        </w:rPr>
        <w:t xml:space="preserve"> Company’s debt maturities.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Preferred Stock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left="360"/>
        <w:jc w:val="both"/>
        <w:rPr>
          <w:sz w:val="20"/>
          <w:szCs w:val="20"/>
        </w:rPr>
      </w:pPr>
      <w:r>
        <w:rPr>
          <w:sz w:val="20"/>
          <w:szCs w:val="20"/>
        </w:rPr>
        <w:t>The following Preferred Stock classes were redeemed during the nine months ended September 30, 2019:</w:t>
      </w:r>
    </w:p>
    <w:p w:rsidR="00000000" w:rsidRDefault="005F676C">
      <w:pPr>
        <w:pStyle w:val="a3"/>
        <w:spacing w:before="0" w:beforeAutospacing="0" w:after="0" w:afterAutospacing="0"/>
        <w:ind w:left="36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833"/>
        <w:gridCol w:w="1045"/>
        <w:gridCol w:w="50"/>
        <w:gridCol w:w="779"/>
        <w:gridCol w:w="50"/>
        <w:gridCol w:w="50"/>
        <w:gridCol w:w="934"/>
        <w:gridCol w:w="50"/>
        <w:gridCol w:w="50"/>
        <w:gridCol w:w="101"/>
        <w:gridCol w:w="957"/>
        <w:gridCol w:w="50"/>
        <w:gridCol w:w="50"/>
        <w:gridCol w:w="101"/>
        <w:gridCol w:w="964"/>
        <w:gridCol w:w="50"/>
        <w:gridCol w:w="50"/>
        <w:gridCol w:w="101"/>
        <w:gridCol w:w="964"/>
        <w:gridCol w:w="50"/>
      </w:tblGrid>
      <w:tr w:rsidR="00000000">
        <w:trPr>
          <w:tblCellSpacing w:w="0" w:type="dxa"/>
        </w:trPr>
        <w:tc>
          <w:tcPr>
            <w:tcW w:w="7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Class of</w:t>
            </w:r>
          </w:p>
          <w:p w:rsidR="00000000" w:rsidRDefault="005F676C">
            <w:pPr>
              <w:pStyle w:val="a3"/>
              <w:spacing w:before="0" w:beforeAutospacing="0" w:after="0" w:afterAutospacing="0"/>
              <w:jc w:val="center"/>
              <w:rPr>
                <w:sz w:val="20"/>
                <w:szCs w:val="20"/>
              </w:rPr>
            </w:pPr>
            <w:r>
              <w:rPr>
                <w:b/>
                <w:bCs/>
                <w:sz w:val="20"/>
                <w:szCs w:val="20"/>
              </w:rPr>
              <w:t>Preferred</w:t>
            </w:r>
          </w:p>
          <w:p w:rsidR="00000000" w:rsidRDefault="005F676C">
            <w:pPr>
              <w:pStyle w:val="a3"/>
              <w:spacing w:before="0" w:beforeAutospacing="0" w:after="0" w:afterAutospacing="0"/>
              <w:jc w:val="center"/>
              <w:rPr>
                <w:sz w:val="20"/>
                <w:szCs w:val="20"/>
              </w:rPr>
            </w:pPr>
            <w:r>
              <w:rPr>
                <w:b/>
                <w:bCs/>
                <w:sz w:val="20"/>
                <w:szCs w:val="20"/>
              </w:rPr>
              <w:t>Stock</w:t>
            </w:r>
          </w:p>
        </w:tc>
        <w:tc>
          <w:tcPr>
            <w:tcW w:w="7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Redemption</w:t>
            </w:r>
          </w:p>
          <w:p w:rsidR="00000000" w:rsidRDefault="005F676C">
            <w:pPr>
              <w:pStyle w:val="a3"/>
              <w:spacing w:before="0" w:beforeAutospacing="0" w:after="0" w:afterAutospacing="0"/>
              <w:jc w:val="center"/>
              <w:rPr>
                <w:sz w:val="20"/>
                <w:szCs w:val="20"/>
              </w:rPr>
            </w:pPr>
            <w:r>
              <w:rPr>
                <w:b/>
                <w:bCs/>
                <w:sz w:val="20"/>
                <w:szCs w:val="20"/>
              </w:rPr>
              <w:t>Date</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Dividend</w:t>
            </w:r>
          </w:p>
          <w:p w:rsidR="00000000" w:rsidRDefault="005F676C">
            <w:pPr>
              <w:pStyle w:val="a3"/>
              <w:spacing w:before="0" w:beforeAutospacing="0" w:after="0" w:afterAutospacing="0"/>
              <w:jc w:val="center"/>
              <w:rPr>
                <w:sz w:val="20"/>
                <w:szCs w:val="20"/>
              </w:rPr>
            </w:pPr>
            <w:r>
              <w:rPr>
                <w:b/>
                <w:bCs/>
                <w:sz w:val="20"/>
                <w:szCs w:val="20"/>
              </w:rPr>
              <w:t>Rate</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Depositary</w:t>
            </w:r>
          </w:p>
          <w:p w:rsidR="00000000" w:rsidRDefault="005F676C">
            <w:pPr>
              <w:pStyle w:val="a3"/>
              <w:spacing w:before="0" w:beforeAutospacing="0" w:after="0" w:afterAutospacing="0"/>
              <w:jc w:val="center"/>
              <w:rPr>
                <w:sz w:val="20"/>
                <w:szCs w:val="20"/>
              </w:rPr>
            </w:pPr>
            <w:r>
              <w:rPr>
                <w:b/>
                <w:bCs/>
                <w:sz w:val="20"/>
                <w:szCs w:val="20"/>
              </w:rPr>
              <w:t>Shares</w:t>
            </w:r>
          </w:p>
          <w:p w:rsidR="00000000" w:rsidRDefault="005F676C">
            <w:pPr>
              <w:pStyle w:val="a3"/>
              <w:spacing w:before="0" w:beforeAutospacing="0" w:after="0" w:afterAutospacing="0"/>
              <w:jc w:val="center"/>
              <w:rPr>
                <w:sz w:val="20"/>
                <w:szCs w:val="20"/>
              </w:rPr>
            </w:pPr>
            <w:r>
              <w:rPr>
                <w:b/>
                <w:bCs/>
                <w:sz w:val="20"/>
                <w:szCs w:val="20"/>
              </w:rPr>
              <w:t>Redeemed</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Redemption</w:t>
            </w:r>
          </w:p>
          <w:p w:rsidR="00000000" w:rsidRDefault="005F676C">
            <w:pPr>
              <w:pStyle w:val="a3"/>
              <w:spacing w:before="0" w:beforeAutospacing="0" w:after="0" w:afterAutospacing="0"/>
              <w:jc w:val="center"/>
              <w:rPr>
                <w:sz w:val="20"/>
                <w:szCs w:val="20"/>
              </w:rPr>
            </w:pPr>
            <w:r>
              <w:rPr>
                <w:b/>
                <w:bCs/>
                <w:sz w:val="20"/>
                <w:szCs w:val="20"/>
              </w:rPr>
              <w:t>Price</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Redemption</w:t>
            </w:r>
          </w:p>
          <w:p w:rsidR="00000000" w:rsidRDefault="005F676C">
            <w:pPr>
              <w:pStyle w:val="a3"/>
              <w:spacing w:before="0" w:beforeAutospacing="0" w:after="0" w:afterAutospacing="0"/>
              <w:jc w:val="center"/>
              <w:rPr>
                <w:sz w:val="20"/>
                <w:szCs w:val="20"/>
              </w:rPr>
            </w:pPr>
            <w:r>
              <w:rPr>
                <w:b/>
                <w:bCs/>
                <w:sz w:val="20"/>
                <w:szCs w:val="20"/>
              </w:rPr>
              <w:t>Amount</w:t>
            </w:r>
          </w:p>
          <w:p w:rsidR="00000000" w:rsidRDefault="005F676C">
            <w:pPr>
              <w:pStyle w:val="a3"/>
              <w:spacing w:before="0" w:beforeAutospacing="0" w:after="0" w:afterAutospacing="0"/>
              <w:jc w:val="center"/>
              <w:rPr>
                <w:sz w:val="20"/>
                <w:szCs w:val="20"/>
              </w:rPr>
            </w:pPr>
            <w:r>
              <w:rPr>
                <w:b/>
                <w:bCs/>
                <w:sz w:val="20"/>
                <w:szCs w:val="20"/>
              </w:rPr>
              <w:t>(in millions)</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Redemption</w:t>
            </w:r>
          </w:p>
          <w:p w:rsidR="00000000" w:rsidRDefault="005F676C">
            <w:pPr>
              <w:pStyle w:val="a3"/>
              <w:spacing w:before="0" w:beforeAutospacing="0" w:after="0" w:afterAutospacing="0"/>
              <w:jc w:val="center"/>
              <w:rPr>
                <w:sz w:val="20"/>
                <w:szCs w:val="20"/>
              </w:rPr>
            </w:pPr>
            <w:r>
              <w:rPr>
                <w:b/>
                <w:bCs/>
                <w:sz w:val="20"/>
                <w:szCs w:val="20"/>
              </w:rPr>
              <w:t>Charges (1)</w:t>
            </w:r>
          </w:p>
          <w:p w:rsidR="00000000" w:rsidRDefault="005F676C">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700" w:type="pct"/>
            <w:tcBorders>
              <w:bottom w:val="nil"/>
            </w:tcBorders>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Class I</w:t>
            </w:r>
          </w:p>
        </w:tc>
        <w:tc>
          <w:tcPr>
            <w:tcW w:w="700" w:type="pct"/>
            <w:tcBorders>
              <w:bottom w:val="nil"/>
            </w:tcBorders>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9/14/2019</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rsidR="00000000" w:rsidRDefault="005F676C">
            <w:pPr>
              <w:jc w:val="center"/>
              <w:rPr>
                <w:rFonts w:eastAsia="Times New Roman"/>
                <w:sz w:val="20"/>
                <w:szCs w:val="20"/>
              </w:rPr>
            </w:pPr>
            <w:r>
              <w:rPr>
                <w:rFonts w:eastAsia="Times New Roman"/>
                <w:sz w:val="20"/>
                <w:szCs w:val="20"/>
              </w:rPr>
              <w:t>6.00%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nil"/>
            </w:tcBorders>
            <w:shd w:val="clear" w:color="auto" w:fill="CCEEFF"/>
            <w:vAlign w:val="bottom"/>
            <w:hideMark/>
          </w:tcPr>
          <w:p w:rsidR="00000000" w:rsidRDefault="005F676C">
            <w:pPr>
              <w:jc w:val="center"/>
              <w:rPr>
                <w:rFonts w:eastAsia="Times New Roman"/>
                <w:sz w:val="20"/>
                <w:szCs w:val="20"/>
              </w:rPr>
            </w:pPr>
            <w:r>
              <w:rPr>
                <w:rFonts w:eastAsia="Times New Roman"/>
                <w:sz w:val="20"/>
                <w:szCs w:val="20"/>
              </w:rPr>
              <w:t>7,000,000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25</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175</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5.5</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700" w:type="pct"/>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Class K</w:t>
            </w:r>
          </w:p>
        </w:tc>
        <w:tc>
          <w:tcPr>
            <w:tcW w:w="700" w:type="pct"/>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9/14/2019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5.13%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7,000,000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175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left="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trPr>
          <w:tblCellSpacing w:w="0" w:type="dxa"/>
        </w:trPr>
        <w:tc>
          <w:tcPr>
            <w:tcW w:w="360" w:type="dxa"/>
            <w:hideMark/>
          </w:tcPr>
          <w:p w:rsidR="00000000" w:rsidRDefault="005F676C">
            <w:pPr>
              <w:pStyle w:val="a3"/>
              <w:spacing w:before="0" w:beforeAutospacing="0" w:after="0" w:afterAutospacing="0"/>
              <w:jc w:val="both"/>
              <w:rPr>
                <w:sz w:val="20"/>
                <w:szCs w:val="20"/>
              </w:rPr>
            </w:pPr>
            <w:r>
              <w:rPr>
                <w:sz w:val="20"/>
                <w:szCs w:val="20"/>
              </w:rPr>
              <w:t>(1)</w:t>
            </w:r>
          </w:p>
        </w:tc>
        <w:tc>
          <w:tcPr>
            <w:tcW w:w="0" w:type="auto"/>
            <w:hideMark/>
          </w:tcPr>
          <w:p w:rsidR="00000000" w:rsidRDefault="005F676C">
            <w:pPr>
              <w:pStyle w:val="a3"/>
              <w:spacing w:before="0" w:beforeAutospacing="0" w:after="0" w:afterAutospacing="0"/>
              <w:jc w:val="both"/>
              <w:rPr>
                <w:sz w:val="20"/>
                <w:szCs w:val="20"/>
              </w:rPr>
            </w:pPr>
            <w:r>
              <w:rPr>
                <w:sz w:val="20"/>
                <w:szCs w:val="20"/>
              </w:rPr>
              <w:t>Redemption charges resulting from the difference between the redemption amount and the carrying amount of the respective preferred stock class on the Company’s Condensed Consolidated Balance Sheets are accounted for in accordance with the FASB’s guidance o</w:t>
            </w:r>
            <w:r>
              <w:rPr>
                <w:sz w:val="20"/>
                <w:szCs w:val="20"/>
              </w:rPr>
              <w:t>n Distinguishing Liabilities from Equity. These charges were subtracted from net income attributable to the Company to arrive at net income available to the Company’s common shareholders and used in the calculation of earnings per share.</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jc w:val="center"/>
        <w:divId w:val="2031684507"/>
        <w:rPr>
          <w:rFonts w:eastAsia="Times New Roman"/>
          <w:sz w:val="20"/>
          <w:szCs w:val="20"/>
        </w:rPr>
      </w:pPr>
      <w:r>
        <w:rPr>
          <w:rFonts w:eastAsia="Times New Roman"/>
          <w:sz w:val="20"/>
          <w:szCs w:val="20"/>
        </w:rPr>
        <w:t xml:space="preserve">30 </w:t>
      </w:r>
    </w:p>
    <w:p w:rsidR="00000000" w:rsidRDefault="005F676C">
      <w:pPr>
        <w:divId w:val="2031684507"/>
        <w:rPr>
          <w:rFonts w:eastAsia="Times New Roman"/>
          <w:sz w:val="20"/>
          <w:szCs w:val="20"/>
        </w:rPr>
      </w:pPr>
      <w:r>
        <w:rPr>
          <w:rFonts w:eastAsia="Times New Roman"/>
          <w:sz w:val="20"/>
          <w:szCs w:val="20"/>
        </w:rPr>
        <w:pict>
          <v:rect id="_x0000_i1058" style="width:0;height:1.5pt" o:hralign="center" o:hrstd="t" o:hr="t" fillcolor="#a0a0a0" stroked="f"/>
        </w:pict>
      </w:r>
    </w:p>
    <w:p w:rsidR="00000000" w:rsidRDefault="005F676C">
      <w:pPr>
        <w:divId w:val="2031684507"/>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Common Stock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September 2019, the Company established an at the market continuous offering program (the “ATM program”), which will concurrently expire with the Com</w:t>
      </w:r>
      <w:r>
        <w:rPr>
          <w:sz w:val="20"/>
          <w:szCs w:val="20"/>
        </w:rPr>
        <w:t>pany’s shelf registration statement in February 2021, pursuant to which the Company may offer and sell shares of its common stock, par value $0.01 per share, with an aggregate gross sales price of up to $500.0 million through a consortium of banks acting a</w:t>
      </w:r>
      <w:r>
        <w:rPr>
          <w:sz w:val="20"/>
          <w:szCs w:val="20"/>
        </w:rPr>
        <w:t>s sales agents. Sales of the shares of common stock may be made, as needed, from time to time in “at the market” offerings as defined in Rule 415 of the Securities Act of 1933, including by means of ordinary brokers’ transactions on the New York Stock Exch</w:t>
      </w:r>
      <w:r>
        <w:rPr>
          <w:sz w:val="20"/>
          <w:szCs w:val="20"/>
        </w:rPr>
        <w:t>ange or otherwise (i) at market prices prevailing at the time of sale, (ii) at prices related to prevailing market prices or (iii) as otherwise agreed to with the applicable sales agent. The Company did not offer for sale any shares of common stock under t</w:t>
      </w:r>
      <w:r>
        <w:rPr>
          <w:sz w:val="20"/>
          <w:szCs w:val="20"/>
        </w:rPr>
        <w:t>he ATM program during September 2019.</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February 2018, the Company’s Board of Directors authorized a share repurchase program, which is effective for a term of two years, pursuant to which the Company may repurchase shares of its common stock, par v</w:t>
      </w:r>
      <w:r>
        <w:rPr>
          <w:sz w:val="20"/>
          <w:szCs w:val="20"/>
        </w:rPr>
        <w:t>alue $0.01 per share, with an aggregate gross purchase price of up to $300.0 million. The Company did not repurchase any shares under the share repurchase program during the nine months ended September 30, 2019. As of September 30, 2019, the Company had $2</w:t>
      </w:r>
      <w:r>
        <w:rPr>
          <w:sz w:val="20"/>
          <w:szCs w:val="20"/>
        </w:rPr>
        <w:t>24.9 million available under this common share repurchase program.</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jc w:val="both"/>
        <w:rPr>
          <w:sz w:val="20"/>
          <w:szCs w:val="20"/>
        </w:rPr>
      </w:pPr>
      <w:r>
        <w:rPr>
          <w:i/>
          <w:iCs/>
          <w:sz w:val="20"/>
          <w:szCs w:val="20"/>
        </w:rPr>
        <w:t>Senior Notes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 nine months ended September 30, 2019, the Company issued the following senior unsecured notes (dollars in millions):</w:t>
      </w:r>
    </w:p>
    <w:p w:rsidR="00000000" w:rsidRDefault="005F676C">
      <w:pPr>
        <w:pStyle w:val="a3"/>
        <w:spacing w:before="0" w:beforeAutospacing="0" w:after="0" w:afterAutospacing="0"/>
        <w:ind w:left="144" w:right="144"/>
        <w:jc w:val="both"/>
        <w:rPr>
          <w:sz w:val="20"/>
          <w:szCs w:val="20"/>
        </w:rPr>
      </w:pPr>
      <w:r>
        <w:rPr>
          <w:sz w:val="20"/>
          <w:szCs w:val="20"/>
        </w:rPr>
        <w:t> </w:t>
      </w:r>
    </w:p>
    <w:tbl>
      <w:tblPr>
        <w:tblW w:w="2410" w:type="pct"/>
        <w:tblCellSpacing w:w="0" w:type="dxa"/>
        <w:tblInd w:w="25" w:type="dxa"/>
        <w:tblCellMar>
          <w:left w:w="0" w:type="dxa"/>
          <w:right w:w="0" w:type="dxa"/>
        </w:tblCellMar>
        <w:tblLook w:val="04A0" w:firstRow="1" w:lastRow="0" w:firstColumn="1" w:lastColumn="0" w:noHBand="0" w:noVBand="1"/>
      </w:tblPr>
      <w:tblGrid>
        <w:gridCol w:w="880"/>
        <w:gridCol w:w="1041"/>
        <w:gridCol w:w="320"/>
        <w:gridCol w:w="841"/>
        <w:gridCol w:w="921"/>
      </w:tblGrid>
      <w:tr w:rsidR="00000000">
        <w:trPr>
          <w:tblCellSpacing w:w="0" w:type="dxa"/>
        </w:trPr>
        <w:tc>
          <w:tcPr>
            <w:tcW w:w="11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Date Issued</w:t>
            </w:r>
          </w:p>
        </w:tc>
        <w:tc>
          <w:tcPr>
            <w:tcW w:w="13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Maturity Date</w:t>
            </w:r>
          </w:p>
        </w:tc>
        <w:tc>
          <w:tcPr>
            <w:tcW w:w="400" w:type="pct"/>
            <w:tcBorders>
              <w:bottom w:val="single" w:sz="6" w:space="0" w:color="000000"/>
            </w:tcBorders>
            <w:vAlign w:val="bottom"/>
            <w:hideMark/>
          </w:tcPr>
          <w:p w:rsidR="00000000" w:rsidRDefault="005F676C">
            <w:pPr>
              <w:rPr>
                <w:rFonts w:eastAsia="Times New Roman"/>
                <w:sz w:val="20"/>
                <w:szCs w:val="20"/>
              </w:rPr>
            </w:pPr>
            <w:r>
              <w:rPr>
                <w:rFonts w:eastAsia="Times New Roman"/>
                <w:sz w:val="20"/>
                <w:szCs w:val="20"/>
              </w:rPr>
              <w:t> </w:t>
            </w:r>
          </w:p>
        </w:tc>
        <w:tc>
          <w:tcPr>
            <w:tcW w:w="10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Amount Issued</w:t>
            </w:r>
          </w:p>
        </w:tc>
        <w:tc>
          <w:tcPr>
            <w:tcW w:w="11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Interest Rate</w:t>
            </w:r>
          </w:p>
        </w:tc>
      </w:tr>
      <w:tr w:rsidR="00000000">
        <w:trPr>
          <w:tblCellSpacing w:w="0" w:type="dxa"/>
        </w:trPr>
        <w:tc>
          <w:tcPr>
            <w:tcW w:w="1100" w:type="pct"/>
            <w:shd w:val="clear" w:color="auto" w:fill="CCEEFF"/>
            <w:hideMark/>
          </w:tcPr>
          <w:p w:rsidR="00000000" w:rsidRDefault="005F676C">
            <w:pPr>
              <w:pStyle w:val="a3"/>
              <w:spacing w:before="0" w:beforeAutospacing="0" w:after="0" w:afterAutospacing="0"/>
              <w:jc w:val="center"/>
              <w:rPr>
                <w:sz w:val="20"/>
                <w:szCs w:val="20"/>
              </w:rPr>
            </w:pPr>
            <w:r>
              <w:rPr>
                <w:sz w:val="20"/>
                <w:szCs w:val="20"/>
              </w:rPr>
              <w:t>Aug-19</w:t>
            </w:r>
          </w:p>
        </w:tc>
        <w:tc>
          <w:tcPr>
            <w:tcW w:w="1300" w:type="pct"/>
            <w:shd w:val="clear" w:color="auto" w:fill="CCEEFF"/>
            <w:hideMark/>
          </w:tcPr>
          <w:p w:rsidR="00000000" w:rsidRDefault="005F676C">
            <w:pPr>
              <w:pStyle w:val="a3"/>
              <w:spacing w:before="0" w:beforeAutospacing="0" w:after="0" w:afterAutospacing="0"/>
              <w:jc w:val="center"/>
              <w:rPr>
                <w:sz w:val="20"/>
                <w:szCs w:val="20"/>
              </w:rPr>
            </w:pPr>
            <w:r>
              <w:rPr>
                <w:sz w:val="20"/>
                <w:szCs w:val="20"/>
              </w:rPr>
              <w:t>Oct-49</w:t>
            </w:r>
          </w:p>
        </w:tc>
        <w:tc>
          <w:tcPr>
            <w:tcW w:w="400" w:type="pct"/>
            <w:shd w:val="clear" w:color="auto" w:fill="CCEEFF"/>
            <w:hideMark/>
          </w:tcPr>
          <w:p w:rsidR="00000000" w:rsidRDefault="005F676C">
            <w:pPr>
              <w:pStyle w:val="a3"/>
              <w:spacing w:before="0" w:beforeAutospacing="0" w:after="0" w:afterAutospacing="0"/>
              <w:jc w:val="right"/>
              <w:rPr>
                <w:sz w:val="20"/>
                <w:szCs w:val="20"/>
              </w:rPr>
            </w:pPr>
            <w:r>
              <w:rPr>
                <w:sz w:val="20"/>
                <w:szCs w:val="20"/>
              </w:rPr>
              <w:t>$</w:t>
            </w:r>
          </w:p>
        </w:tc>
        <w:tc>
          <w:tcPr>
            <w:tcW w:w="1050" w:type="pct"/>
            <w:shd w:val="clear" w:color="auto" w:fill="CCEEFF"/>
            <w:hideMark/>
          </w:tcPr>
          <w:p w:rsidR="00000000" w:rsidRDefault="005F676C">
            <w:pPr>
              <w:pStyle w:val="a3"/>
              <w:spacing w:before="0" w:beforeAutospacing="0" w:after="0" w:afterAutospacing="0"/>
              <w:jc w:val="right"/>
              <w:rPr>
                <w:sz w:val="20"/>
                <w:szCs w:val="20"/>
              </w:rPr>
            </w:pPr>
            <w:r>
              <w:rPr>
                <w:sz w:val="20"/>
                <w:szCs w:val="20"/>
              </w:rPr>
              <w:t>350.0</w:t>
            </w:r>
          </w:p>
        </w:tc>
        <w:tc>
          <w:tcPr>
            <w:tcW w:w="1150" w:type="pct"/>
            <w:shd w:val="clear" w:color="auto" w:fill="CCEEFF"/>
            <w:hideMark/>
          </w:tcPr>
          <w:p w:rsidR="00000000" w:rsidRDefault="005F676C">
            <w:pPr>
              <w:pStyle w:val="a3"/>
              <w:spacing w:before="0" w:beforeAutospacing="0" w:after="0" w:afterAutospacing="0"/>
              <w:jc w:val="center"/>
              <w:rPr>
                <w:sz w:val="20"/>
                <w:szCs w:val="20"/>
              </w:rPr>
            </w:pPr>
            <w:r>
              <w:rPr>
                <w:sz w:val="20"/>
                <w:szCs w:val="20"/>
              </w:rPr>
              <w:t>3.70%</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 supplemental indenture governing its senior notes contains the following covenants, all of which the Company is compliant with:</w:t>
      </w:r>
    </w:p>
    <w:p w:rsidR="00000000" w:rsidRDefault="005F676C">
      <w:pPr>
        <w:pStyle w:val="a3"/>
        <w:spacing w:before="0" w:beforeAutospacing="0" w:after="0" w:afterAutospacing="0"/>
        <w:ind w:firstLine="360"/>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5129"/>
        <w:gridCol w:w="79"/>
        <w:gridCol w:w="1105"/>
        <w:gridCol w:w="79"/>
        <w:gridCol w:w="79"/>
        <w:gridCol w:w="1341"/>
        <w:gridCol w:w="79"/>
      </w:tblGrid>
      <w:tr w:rsidR="00000000">
        <w:trPr>
          <w:tblCellSpacing w:w="0" w:type="dxa"/>
        </w:trPr>
        <w:tc>
          <w:tcPr>
            <w:tcW w:w="32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Covenant</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Must Be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8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As of </w:t>
            </w:r>
            <w:r>
              <w:rPr>
                <w:b/>
                <w:bCs/>
                <w:sz w:val="20"/>
                <w:szCs w:val="20"/>
              </w:rPr>
              <w:t>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25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sz w:val="20"/>
                <w:szCs w:val="20"/>
              </w:rPr>
              <w:t>Consolidated Indebtedness to Total Assets</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5F676C">
            <w:pPr>
              <w:jc w:val="center"/>
              <w:rPr>
                <w:rFonts w:eastAsia="Times New Roman"/>
                <w:sz w:val="20"/>
                <w:szCs w:val="20"/>
              </w:rPr>
            </w:pPr>
            <w:r>
              <w:rPr>
                <w:rFonts w:eastAsia="Times New Roman"/>
                <w:sz w:val="20"/>
                <w:szCs w:val="20"/>
              </w:rPr>
              <w:t>&lt;65%</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50" w:type="pct"/>
            <w:tcBorders>
              <w:bottom w:val="nil"/>
            </w:tcBorders>
            <w:shd w:val="clear" w:color="auto" w:fill="CCEEFF"/>
            <w:vAlign w:val="bottom"/>
            <w:hideMark/>
          </w:tcPr>
          <w:p w:rsidR="00000000" w:rsidRDefault="005F676C">
            <w:pPr>
              <w:jc w:val="center"/>
              <w:rPr>
                <w:rFonts w:eastAsia="Times New Roman"/>
                <w:sz w:val="20"/>
                <w:szCs w:val="20"/>
              </w:rPr>
            </w:pPr>
            <w:r>
              <w:rPr>
                <w:rFonts w:eastAsia="Times New Roman"/>
                <w:sz w:val="20"/>
                <w:szCs w:val="20"/>
              </w:rPr>
              <w:t>41%</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Consolidated Secured Indebtedness to Total Assets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&lt;40%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Consolidated Income Available for Debt Service to Maximum Annual Service Charge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&gt;1.50x</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4.9x</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Unencumbered Total Asset Value to Consolidated Unsecured Indebtedness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&gt;1.50x</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2.4x</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For a full description of the various indenture covenants, refer to the Indenture dated September 1, 1993; the First Supplemental Indenture dated August 4, 1994; the Second Supplemental Indenture dated April 7, 1995; the Third Supplemental Indenture dated </w:t>
      </w:r>
      <w:r>
        <w:rPr>
          <w:sz w:val="20"/>
          <w:szCs w:val="20"/>
        </w:rPr>
        <w:t>June 2, 2006; the Fourth Supplemental Indenture dated April 26, 2007; the Fifth Supplemental Indenture dated as of September 24, 2009; the Sixth Supplemental Indenture dated as of May 23, 2013; and the Seventh Supplemental Indenture dated as of April 24, 2</w:t>
      </w:r>
      <w:r>
        <w:rPr>
          <w:sz w:val="20"/>
          <w:szCs w:val="20"/>
        </w:rPr>
        <w:t>014, each as filed with the SEC. See the Exhibits Index to our Annual Report on Form 10-K for the year ended December 31, 2018 for specific filing information.</w:t>
      </w:r>
    </w:p>
    <w:p w:rsidR="00000000" w:rsidRDefault="005F676C">
      <w:pPr>
        <w:pStyle w:val="a3"/>
        <w:spacing w:before="0" w:beforeAutospacing="0" w:after="0" w:afterAutospacing="0"/>
        <w:ind w:firstLine="360"/>
        <w:jc w:val="both"/>
        <w:rPr>
          <w:sz w:val="20"/>
          <w:szCs w:val="20"/>
        </w:rPr>
      </w:pPr>
      <w:r>
        <w:rPr>
          <w:sz w:val="20"/>
          <w:szCs w:val="20"/>
        </w:rPr>
        <w:br/>
      </w:r>
      <w:r>
        <w:rPr>
          <w:i/>
          <w:iCs/>
          <w:sz w:val="20"/>
          <w:szCs w:val="20"/>
        </w:rPr>
        <w:t>Credit Facility –</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has a $2.25 billion unsecured revolving credit facility (the “C</w:t>
      </w:r>
      <w:r>
        <w:rPr>
          <w:sz w:val="20"/>
          <w:szCs w:val="20"/>
        </w:rPr>
        <w:t>redit Facility”) with a group of banks, which is scheduled to expire in March 2021, with two additional six-month options to extend the maturity date, at the Company’s discretion, to March 2022. This Credit Facility, which accrues interest at a rate of LIB</w:t>
      </w:r>
      <w:r>
        <w:rPr>
          <w:sz w:val="20"/>
          <w:szCs w:val="20"/>
        </w:rPr>
        <w:t>OR plus 87.5 basis points (3.28% as of September 30, 2019), can be increased to $2.75 billion through an accordion feature. In addition, the Credit Facility includes a $500.0 million sub-limit which provides the Company the opportunity to borrow in alterna</w:t>
      </w:r>
      <w:r>
        <w:rPr>
          <w:sz w:val="20"/>
          <w:szCs w:val="20"/>
        </w:rPr>
        <w:t>tive currencies including Canadian Dollars, British Pounds Sterling, Japanese Yen or Euros. Pursuant to the terms of the Credit Facility, the Company, among other things, is subject to covenants requiring the maintenance of (i) maximum leverage ratios on b</w:t>
      </w:r>
      <w:r>
        <w:rPr>
          <w:sz w:val="20"/>
          <w:szCs w:val="20"/>
        </w:rPr>
        <w:t>oth unsecured and secured debt and (ii) minimum interest and fixed coverage ratios. As of September 30, 2019, the Credit Facility had a balance of $200.0 million outstanding and $0.3 million appropriated for letters of credit.</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Pursuant to the terms of th</w:t>
      </w:r>
      <w:r>
        <w:rPr>
          <w:sz w:val="20"/>
          <w:szCs w:val="20"/>
        </w:rPr>
        <w:t>e Credit Facility, the Company, among other things, is subject to maintenance of various covenants. The Company is currently in compliance with these covenants. The financial covenants for the Credit Facility are as follows:</w:t>
      </w:r>
    </w:p>
    <w:p w:rsidR="00000000" w:rsidRDefault="005F676C">
      <w:pPr>
        <w:pStyle w:val="a3"/>
        <w:spacing w:before="0" w:beforeAutospacing="0" w:after="0" w:afterAutospacing="0"/>
        <w:ind w:firstLine="360"/>
        <w:rPr>
          <w:sz w:val="20"/>
          <w:szCs w:val="20"/>
        </w:rPr>
      </w:pPr>
      <w:r>
        <w:rPr>
          <w:sz w:val="20"/>
          <w:szCs w:val="20"/>
        </w:rPr>
        <w:t> </w:t>
      </w:r>
    </w:p>
    <w:tbl>
      <w:tblPr>
        <w:tblW w:w="4750" w:type="pct"/>
        <w:tblCellSpacing w:w="0" w:type="dxa"/>
        <w:tblInd w:w="180" w:type="dxa"/>
        <w:tblCellMar>
          <w:left w:w="0" w:type="dxa"/>
          <w:right w:w="0" w:type="dxa"/>
        </w:tblCellMar>
        <w:tblLook w:val="04A0" w:firstRow="1" w:lastRow="0" w:firstColumn="1" w:lastColumn="0" w:noHBand="0" w:noVBand="1"/>
      </w:tblPr>
      <w:tblGrid>
        <w:gridCol w:w="5129"/>
        <w:gridCol w:w="79"/>
        <w:gridCol w:w="1105"/>
        <w:gridCol w:w="79"/>
        <w:gridCol w:w="79"/>
        <w:gridCol w:w="1341"/>
        <w:gridCol w:w="79"/>
      </w:tblGrid>
      <w:tr w:rsidR="00000000">
        <w:trPr>
          <w:tblCellSpacing w:w="0" w:type="dxa"/>
        </w:trPr>
        <w:tc>
          <w:tcPr>
            <w:tcW w:w="32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Covenant</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Must Be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85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As of </w:t>
            </w:r>
            <w:r>
              <w:rPr>
                <w:b/>
                <w:bCs/>
                <w:sz w:val="20"/>
                <w:szCs w:val="20"/>
              </w:rPr>
              <w:t>September 30, 2019</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25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sz w:val="20"/>
                <w:szCs w:val="20"/>
              </w:rPr>
              <w:t>Total Indebtedness to Gross Asset Value (“GAV”)</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nil"/>
            </w:tcBorders>
            <w:shd w:val="clear" w:color="auto" w:fill="CCEEFF"/>
            <w:vAlign w:val="bottom"/>
            <w:hideMark/>
          </w:tcPr>
          <w:p w:rsidR="00000000" w:rsidRDefault="005F676C">
            <w:pPr>
              <w:jc w:val="center"/>
              <w:rPr>
                <w:rFonts w:eastAsia="Times New Roman"/>
                <w:sz w:val="20"/>
                <w:szCs w:val="20"/>
              </w:rPr>
            </w:pPr>
            <w:r>
              <w:rPr>
                <w:rFonts w:eastAsia="Times New Roman"/>
                <w:sz w:val="20"/>
                <w:szCs w:val="20"/>
              </w:rPr>
              <w:t>&lt;60%</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50" w:type="pct"/>
            <w:tcBorders>
              <w:bottom w:val="nil"/>
            </w:tcBorders>
            <w:shd w:val="clear" w:color="auto" w:fill="CCEEFF"/>
            <w:vAlign w:val="bottom"/>
            <w:hideMark/>
          </w:tcPr>
          <w:p w:rsidR="00000000" w:rsidRDefault="005F676C">
            <w:pPr>
              <w:jc w:val="center"/>
              <w:rPr>
                <w:rFonts w:eastAsia="Times New Roman"/>
                <w:sz w:val="20"/>
                <w:szCs w:val="20"/>
              </w:rPr>
            </w:pPr>
            <w:r>
              <w:rPr>
                <w:rFonts w:eastAsia="Times New Roman"/>
                <w:sz w:val="20"/>
                <w:szCs w:val="20"/>
              </w:rPr>
              <w:t>38%</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Total Priority Indebtedness to GAV</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&lt;35%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Unencumbered Asset Net Operating Income to Total Unsecured Interest Expense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&gt;1.75x</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4.3x</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32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Fixed Charge Total Adjusted EBITDA to Total Debt Service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&gt;1.50x</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5F676C">
            <w:pPr>
              <w:jc w:val="center"/>
              <w:rPr>
                <w:rFonts w:eastAsia="Times New Roman"/>
                <w:sz w:val="20"/>
                <w:szCs w:val="20"/>
              </w:rPr>
            </w:pPr>
            <w:r>
              <w:rPr>
                <w:rFonts w:eastAsia="Times New Roman"/>
                <w:sz w:val="20"/>
                <w:szCs w:val="20"/>
              </w:rPr>
              <w:t>3.4x</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For a full description of the Credit Facility’s covenants, refer to the Amended and Restated Credit Agreement dated as of February 1, 2018, filed as Exhibit 10.1 to the Company’s Current Report on Form 8-K dated January 30, 2018.</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jc w:val="center"/>
        <w:divId w:val="799222360"/>
        <w:rPr>
          <w:rFonts w:eastAsia="Times New Roman"/>
          <w:sz w:val="20"/>
          <w:szCs w:val="20"/>
        </w:rPr>
      </w:pPr>
      <w:r>
        <w:rPr>
          <w:rFonts w:eastAsia="Times New Roman"/>
          <w:sz w:val="20"/>
          <w:szCs w:val="20"/>
        </w:rPr>
        <w:t xml:space="preserve">31 </w:t>
      </w:r>
    </w:p>
    <w:p w:rsidR="00000000" w:rsidRDefault="005F676C">
      <w:pPr>
        <w:divId w:val="799222360"/>
        <w:rPr>
          <w:rFonts w:eastAsia="Times New Roman"/>
          <w:sz w:val="20"/>
          <w:szCs w:val="20"/>
        </w:rPr>
      </w:pPr>
      <w:r>
        <w:rPr>
          <w:rFonts w:eastAsia="Times New Roman"/>
          <w:sz w:val="20"/>
          <w:szCs w:val="20"/>
        </w:rPr>
        <w:pict>
          <v:rect id="_x0000_i1059" style="width:0;height:1.5pt" o:hralign="center" o:hrstd="t" o:hr="t" fillcolor="#a0a0a0" stroked="f"/>
        </w:pict>
      </w:r>
    </w:p>
    <w:p w:rsidR="00000000" w:rsidRDefault="005F676C">
      <w:pPr>
        <w:divId w:val="79922236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Mortgages and Construction Loan Payable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 nine months ended September 30, 2019, the Company repaid $6.2 million of mortgage debt that encumbered two operating properties.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In August 2018, the Company closed on a construction loan commitment of $67.0 million relating to one of its devel</w:t>
      </w:r>
      <w:r>
        <w:rPr>
          <w:sz w:val="20"/>
          <w:szCs w:val="20"/>
        </w:rPr>
        <w:t>opment projects. This loan commitment is scheduled to mature in August 2020, with six additional six-month options to extend the maturity date to August 2023 and bears interest at a rate of LIBOR plus 180 basis points (4.20% as of September 30, 2019). As o</w:t>
      </w:r>
      <w:r>
        <w:rPr>
          <w:sz w:val="20"/>
          <w:szCs w:val="20"/>
        </w:rPr>
        <w:t>f September 30, 2019, the construction loan had a balance of $59.7 million outstanding.</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In addition to the public equity and debt markets as capital sources, the Company may, from time-to-time, obtain mortgage financing on selected properties and constru</w:t>
      </w:r>
      <w:r>
        <w:rPr>
          <w:sz w:val="20"/>
          <w:szCs w:val="20"/>
        </w:rPr>
        <w:t>ction loan financing to partially fund the capital needs of its real estate development projects. As of September 30, 2019, the Company had over 320 unencumbered property interests in its portfolio.</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Dividends –</w:t>
      </w:r>
    </w:p>
    <w:p w:rsidR="00000000" w:rsidRDefault="005F676C">
      <w:pPr>
        <w:pStyle w:val="a3"/>
        <w:spacing w:before="0" w:beforeAutospacing="0" w:after="0" w:afterAutospacing="0"/>
        <w:jc w:val="both"/>
        <w:rPr>
          <w:sz w:val="20"/>
          <w:szCs w:val="20"/>
        </w:rPr>
      </w:pPr>
      <w:r>
        <w:rPr>
          <w:i/>
          <w:iCs/>
          <w:sz w:val="20"/>
          <w:szCs w:val="20"/>
        </w:rPr>
        <w:t> </w:t>
      </w:r>
    </w:p>
    <w:p w:rsidR="00000000" w:rsidRDefault="005F676C">
      <w:pPr>
        <w:pStyle w:val="a3"/>
        <w:spacing w:before="0" w:beforeAutospacing="0" w:after="0" w:afterAutospacing="0"/>
        <w:ind w:firstLine="360"/>
        <w:jc w:val="both"/>
        <w:rPr>
          <w:sz w:val="20"/>
          <w:szCs w:val="20"/>
        </w:rPr>
      </w:pPr>
      <w:r>
        <w:rPr>
          <w:sz w:val="20"/>
          <w:szCs w:val="20"/>
        </w:rPr>
        <w:t>In connection with its intention to conti</w:t>
      </w:r>
      <w:r>
        <w:rPr>
          <w:sz w:val="20"/>
          <w:szCs w:val="20"/>
        </w:rPr>
        <w:t>nue to qualify as a REIT for federal income tax purposes, the Company expects to continue paying regular dividends to its stockholders. These dividends will be paid from operating cash flows. The Company’s Board of Directors will continue to evaluate the C</w:t>
      </w:r>
      <w:r>
        <w:rPr>
          <w:sz w:val="20"/>
          <w:szCs w:val="20"/>
        </w:rPr>
        <w:t>ompany’s dividend policy on a quarterly basis as the Board of Directors monitors sources of capital and evaluates the impact of the economy and capital markets availability on operating fundamentals.  Since cash used to pay dividends reduces amounts availa</w:t>
      </w:r>
      <w:r>
        <w:rPr>
          <w:sz w:val="20"/>
          <w:szCs w:val="20"/>
        </w:rPr>
        <w:t>ble for capital investment, the Company generally intends to maintain a conservative dividend payout ratio, reserving such amounts as it considers necessary for the expansion and renovation of shopping centers in its portfolio, debt reduction, the acquisit</w:t>
      </w:r>
      <w:r>
        <w:rPr>
          <w:sz w:val="20"/>
          <w:szCs w:val="20"/>
        </w:rPr>
        <w:t>ion of interests in new properties and other investments as suitable opportunities arise and such other factors as the Board of Directors considers appropriate.  Cash dividends paid for common and preferred issuances of stock for the nine months ended Sept</w:t>
      </w:r>
      <w:r>
        <w:rPr>
          <w:sz w:val="20"/>
          <w:szCs w:val="20"/>
        </w:rPr>
        <w:t>ember 30, 2019 and 2018 were $401.3 million and $397.2 million, respectively.</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Although the Company receives substantially all of its rental payments on a monthly basis, it generally intends to continue paying dividends quarterly. Amounts accumulated in a</w:t>
      </w:r>
      <w:r>
        <w:rPr>
          <w:sz w:val="20"/>
          <w:szCs w:val="20"/>
        </w:rPr>
        <w:t>dvance of each quarterly distribution will be invested by the Company in short-term money market or other suitable instruments. On July 23, 2019, the Company’s Board of Directors declared a quarterly cash dividend of $0.28 per common share payable to share</w:t>
      </w:r>
      <w:r>
        <w:rPr>
          <w:sz w:val="20"/>
          <w:szCs w:val="20"/>
        </w:rPr>
        <w:t>holders of record on October 2, 2019, which was paid on October 15, 2019. Additionally, on October 21, 2019, the Company’s Board of Directors declared a quarterly cash dividend of $0.28 per common share payable to shareholders of record on January 2, 2020,</w:t>
      </w:r>
      <w:r>
        <w:rPr>
          <w:sz w:val="20"/>
          <w:szCs w:val="20"/>
        </w:rPr>
        <w:t xml:space="preserve"> which is scheduled to be paid on January 15, 2020.</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 Board of Directors also declared quarterly dividends with respect to the Company’s various classes of cumulative redeemable preferred shares (Classes I, J, K, L and M). All dividends on th</w:t>
      </w:r>
      <w:r>
        <w:rPr>
          <w:sz w:val="20"/>
          <w:szCs w:val="20"/>
        </w:rPr>
        <w:t>e redeemed preferred shares (Classes I and K) were paid on the redemption date, September 14, 2019. All dividends on the remaining preferred shares (Classes J, L and M) were paid on October 15, 2019, to shareholders of record on October 1, 2019. Additional</w:t>
      </w:r>
      <w:r>
        <w:rPr>
          <w:sz w:val="20"/>
          <w:szCs w:val="20"/>
        </w:rPr>
        <w:t>ly, the Company’s Board of Directors also declared quarterly dividends with respect to the Company’s various classes of cumulative redeemable preferred shares (Classes J, L and M). All dividends on the preferred shares are scheduled to be paid on January 1</w:t>
      </w:r>
      <w:r>
        <w:rPr>
          <w:sz w:val="20"/>
          <w:szCs w:val="20"/>
        </w:rPr>
        <w:t>5, 2019, to shareholders of record on January 2, 2020.</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Hurricane Impact –</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On September 20, 2017, Hurricane Maria struck Puerto Rico as a Category 4 hurricane which resulted in widespread damage, flooding, and power outages. The Company has interests in</w:t>
      </w:r>
      <w:r>
        <w:rPr>
          <w:sz w:val="20"/>
          <w:szCs w:val="20"/>
        </w:rPr>
        <w:t xml:space="preserve"> seven operating properties located throughout Puerto Rico, aggregating 2.2 million square feet of GLA, which were variously impacted by the hurricane. The Company maintains a comprehensive property insurance policy on these properties with total coverage </w:t>
      </w:r>
      <w:r>
        <w:rPr>
          <w:sz w:val="20"/>
          <w:szCs w:val="20"/>
        </w:rPr>
        <w:t>of up to $62.0 million, as well as business interruption insurance with coverage up to $39.3 million in the aggregate, subject to a collective deductible of $1.2 million.</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expects to collect property insurance proceeds (net of deductible) equa</w:t>
      </w:r>
      <w:r>
        <w:rPr>
          <w:sz w:val="20"/>
          <w:szCs w:val="20"/>
        </w:rPr>
        <w:t>l to the replacement cost of its damaged property, currently estimated to be approximately $30.3 million. As of September 30, 2019, the Company has collected property insurance proceeds totaling $23.2 million, which exceeds the $16.0 million previously wri</w:t>
      </w:r>
      <w:r>
        <w:rPr>
          <w:sz w:val="20"/>
          <w:szCs w:val="20"/>
        </w:rPr>
        <w:t>tten-off due to property damage by $7.2 million. During the nine months ended September 30, 2019, the Company collected property insurance proceeds of $3.0 million and recognized this as income, which is included in Other income, net on the Company’s Conde</w:t>
      </w:r>
      <w:r>
        <w:rPr>
          <w:sz w:val="20"/>
          <w:szCs w:val="20"/>
        </w:rPr>
        <w:t>nsed Consolidated Statements of Income.</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 business interruption insurance covers lost revenues as a result of the hurricane for a period of up to one year. After the expiration of one year following the loss, the policy has 365 days of an ext</w:t>
      </w:r>
      <w:r>
        <w:rPr>
          <w:sz w:val="20"/>
          <w:szCs w:val="20"/>
        </w:rPr>
        <w:t>ended period of indemnity which provides business interruption coverage in the event the properties have not fully recovered from the storm. Although the Company primarily recovered its business interruption insurance claims during 2018 and 2017, it will c</w:t>
      </w:r>
      <w:r>
        <w:rPr>
          <w:sz w:val="20"/>
          <w:szCs w:val="20"/>
        </w:rPr>
        <w:t>ontinue to assess and process any future business interruption claims for the extended period of indemnity and will submit insurance claims for its losses, if any, under its business interruption insurance policy.</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jc w:val="center"/>
        <w:divId w:val="366369830"/>
        <w:rPr>
          <w:rFonts w:eastAsia="Times New Roman"/>
          <w:sz w:val="20"/>
          <w:szCs w:val="20"/>
        </w:rPr>
      </w:pPr>
      <w:r>
        <w:rPr>
          <w:rFonts w:eastAsia="Times New Roman"/>
          <w:sz w:val="20"/>
          <w:szCs w:val="20"/>
        </w:rPr>
        <w:t xml:space="preserve">32 </w:t>
      </w:r>
    </w:p>
    <w:p w:rsidR="00000000" w:rsidRDefault="005F676C">
      <w:pPr>
        <w:divId w:val="366369830"/>
        <w:rPr>
          <w:rFonts w:eastAsia="Times New Roman"/>
          <w:sz w:val="20"/>
          <w:szCs w:val="20"/>
        </w:rPr>
      </w:pPr>
      <w:r>
        <w:rPr>
          <w:rFonts w:eastAsia="Times New Roman"/>
          <w:sz w:val="20"/>
          <w:szCs w:val="20"/>
        </w:rPr>
        <w:pict>
          <v:rect id="_x0000_i1060" style="width:0;height:1.5pt" o:hralign="center" o:hrstd="t" o:hr="t" fillcolor="#a0a0a0" stroked="f"/>
        </w:pict>
      </w:r>
    </w:p>
    <w:p w:rsidR="00000000" w:rsidRDefault="005F676C">
      <w:pPr>
        <w:divId w:val="366369830"/>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both"/>
        <w:rPr>
          <w:sz w:val="20"/>
          <w:szCs w:val="20"/>
        </w:rPr>
      </w:pPr>
      <w:r>
        <w:rPr>
          <w:i/>
          <w:iCs/>
          <w:sz w:val="20"/>
          <w:szCs w:val="20"/>
        </w:rPr>
        <w:t>Other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is subject to taxes on its activities in Canada, Puerto Rico and Mexico.  In general, under local country law applicable to the structures the Company</w:t>
      </w:r>
      <w:r>
        <w:rPr>
          <w:sz w:val="20"/>
          <w:szCs w:val="20"/>
        </w:rPr>
        <w:t xml:space="preserve"> has in place and applicable treaties, the repatriation of cash to the Company from its subsidiaries and joint ventures in Canada, Puerto Rico and Mexico generally are not subject to withholding tax. The Company is subject to and also includes in its tax p</w:t>
      </w:r>
      <w:r>
        <w:rPr>
          <w:sz w:val="20"/>
          <w:szCs w:val="20"/>
        </w:rPr>
        <w:t>rovision non-U.S. income taxes on certain investments located in jurisdictions outside the U.S. These investments are held by the Company at the REIT level and not in the Company’s taxable REIT subsidiary. Accordingly, the Company does not expect a U.S. in</w:t>
      </w:r>
      <w:r>
        <w:rPr>
          <w:sz w:val="20"/>
          <w:szCs w:val="20"/>
        </w:rPr>
        <w:t>come tax impact associated with the repatriation of undistributed earnings from the Company’s foreign subsidiaries.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u w:val="single"/>
        </w:rPr>
        <w:t>Funds From Operations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Funds From Operations (“FFO”) is a supplemental non-GAAP financial measure utilized to evaluate the operating perf</w:t>
      </w:r>
      <w:r>
        <w:rPr>
          <w:sz w:val="20"/>
          <w:szCs w:val="20"/>
        </w:rPr>
        <w:t>ormance of real estate companies. In December 2018, the National Association of Real Estate Investment Trusts (“NAREIT”) issued “NAREIT Funds From Operations White Paper – 2018 Restatement” which clarifies, where necessary, existing guidance and consolidat</w:t>
      </w:r>
      <w:r>
        <w:rPr>
          <w:sz w:val="20"/>
          <w:szCs w:val="20"/>
        </w:rPr>
        <w:t>es alerts and policy bulletins into a single document for ease of use.  NAREIT defines FFO as net income/(loss) available to the Company’s common shareholders computed in accordance with generally accepted accounting principles in the United States (“GAAP”</w:t>
      </w:r>
      <w:r>
        <w:rPr>
          <w:sz w:val="20"/>
          <w:szCs w:val="20"/>
        </w:rPr>
        <w:t>), excluding (i) depreciation and amortization related to real estate, (ii) gains or losses from sales of certain real estate assets, (iii) gains and losses from change in control, (iv) impairment write-downs of certain real estate assets and investments i</w:t>
      </w:r>
      <w:r>
        <w:rPr>
          <w:sz w:val="20"/>
          <w:szCs w:val="20"/>
        </w:rPr>
        <w:t>n entities when the impairment is directly attributable to decreases in the value of depreciable real estate held by the entity and (v) after adjustments for unconsolidated partnerships and joint ventures calculated to reflect FFO on the same basis. Includ</w:t>
      </w:r>
      <w:r>
        <w:rPr>
          <w:sz w:val="20"/>
          <w:szCs w:val="20"/>
        </w:rPr>
        <w:t>ed in the 2018 Restatement is an option for the Company to make an election to include or exclude gains and losses on the sale of assets and impairments of assets incidental to its main business in the calculation of FFO. The main business of a REIT is acq</w:t>
      </w:r>
      <w:r>
        <w:rPr>
          <w:sz w:val="20"/>
          <w:szCs w:val="20"/>
        </w:rPr>
        <w:t xml:space="preserve">uiring, owning, operating, developing and redeveloping real estate in conjunction with its rental of real estate.  Incidental assets may include, but are not limited to, land peripheral to operating properties, property developed for sale, and securities. </w:t>
      </w:r>
      <w:r>
        <w:rPr>
          <w:sz w:val="20"/>
          <w:szCs w:val="20"/>
        </w:rPr>
        <w:t>The NAREIT FFO White Paper – 2018 Restatement (“FFO White Paper – 2018 Restatement”) is effective for annual periods beginning after December 31, 2018 and interim periods reported within those periods.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As a result of adopting the FFO White Paper – 2018 R</w:t>
      </w:r>
      <w:r>
        <w:rPr>
          <w:sz w:val="20"/>
          <w:szCs w:val="20"/>
        </w:rPr>
        <w:t>estatement, the Company has elected to exclude gains and losses on the sale of assets and impairments of assets incidental to its main business and to exclude mark-to-market changes in value of its equity securities in calculating FFO. As such, the Company</w:t>
      </w:r>
      <w:r>
        <w:rPr>
          <w:sz w:val="20"/>
          <w:szCs w:val="20"/>
        </w:rPr>
        <w:t xml:space="preserve"> will no longer include gains/impairments on land parcels, gains/losses (realized or unrealized) from marketable securities or gains/impairments on preferred equity participations in NAREIT defined FFO.</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presents FFO available to the Company’s</w:t>
      </w:r>
      <w:r>
        <w:rPr>
          <w:sz w:val="20"/>
          <w:szCs w:val="20"/>
        </w:rPr>
        <w:t xml:space="preserve"> common shareholders as it considers it an important supplemental measure of our operating performance and believes it is frequently used by securities analysts, investors and other interested parties in the evaluation of REITs, many of which present FFO a</w:t>
      </w:r>
      <w:r>
        <w:rPr>
          <w:sz w:val="20"/>
          <w:szCs w:val="20"/>
        </w:rPr>
        <w:t>vailable to the Company’s common shareholders when reporting results. Comparison of our presentation of FFO available to the Company’s common shareholders to similarly titled measures for other REITs may not necessarily be meaningful due to possible differ</w:t>
      </w:r>
      <w:r>
        <w:rPr>
          <w:sz w:val="20"/>
          <w:szCs w:val="20"/>
        </w:rPr>
        <w:t>ences in the application of the NAREIT definition used by such REITs.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also presents FFO available to the Company’s common shareholders as adjusted as an additional supplemental measure as it believes it is more reflective of its core operatin</w:t>
      </w:r>
      <w:r>
        <w:rPr>
          <w:sz w:val="20"/>
          <w:szCs w:val="20"/>
        </w:rPr>
        <w:t>g performance and provides investors and analysts an additional measure to compare the Company’s performance across reporting periods on a consistent basis by excluding items that we do not believe are indicative of our core operating performance. FFO avai</w:t>
      </w:r>
      <w:r>
        <w:rPr>
          <w:sz w:val="20"/>
          <w:szCs w:val="20"/>
        </w:rPr>
        <w:t xml:space="preserve">lable to the Company’s common shareholders as adjusted is generally calculated by the Company as FFO available to the Company’s common shareholders excluding certain transactional income and expenses and non-operating impairments which management believes </w:t>
      </w:r>
      <w:r>
        <w:rPr>
          <w:sz w:val="20"/>
          <w:szCs w:val="20"/>
        </w:rPr>
        <w:t>are not reflective of the results within the Company’s operating real estate portfolio.</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FFO is a supplemental non-GAAP financial measure of real estate companies’ operating performances, which does not represent cash generated from operating activities i</w:t>
      </w:r>
      <w:r>
        <w:rPr>
          <w:sz w:val="20"/>
          <w:szCs w:val="20"/>
        </w:rPr>
        <w:t>n accordance with GAAP and therefore should not be considered an alternative for net income or cash flows from operations as a measure of liquidity.  Our method of calculating FFO available to the Company’s common shareholders and FFO available to the Comp</w:t>
      </w:r>
      <w:r>
        <w:rPr>
          <w:sz w:val="20"/>
          <w:szCs w:val="20"/>
        </w:rPr>
        <w:t>any’s common shareholders as adjusted may be different from methods used by other REITs and, accordingly, may not be comparable to such other REITs.</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 reconciliation of net income available to the Company’s common shareholders to FFO availabl</w:t>
      </w:r>
      <w:r>
        <w:rPr>
          <w:sz w:val="20"/>
          <w:szCs w:val="20"/>
        </w:rPr>
        <w:t>e to the Company’s common shareholders and FFO available to the Company’s common shareholders as adjusted, is reflected in the table below (in thousands, except per share data). In conjunction with the adoption of NAREIT’s FFO White Paper – 2018 Restatemen</w:t>
      </w:r>
      <w:r>
        <w:rPr>
          <w:sz w:val="20"/>
          <w:szCs w:val="20"/>
        </w:rPr>
        <w:t>t, the Company has reclassified $4.2 million and $14.4 million from transactional income into FFO available to the Company’s common shareholders for the three and nine months ended September 30, 2018, respectively, relating to incidental gains and losses o</w:t>
      </w:r>
      <w:r>
        <w:rPr>
          <w:sz w:val="20"/>
          <w:szCs w:val="20"/>
        </w:rPr>
        <w:t>n the sale of assets and mark-to-market changes in equity securities. This reclassification had no impact on FFO available to the Company’s common shareholders as adjusted for the three and nine months ended September 30, 2018.</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jc w:val="center"/>
        <w:divId w:val="1288852245"/>
        <w:rPr>
          <w:rFonts w:eastAsia="Times New Roman"/>
          <w:sz w:val="20"/>
          <w:szCs w:val="20"/>
        </w:rPr>
      </w:pPr>
      <w:r>
        <w:rPr>
          <w:rFonts w:eastAsia="Times New Roman"/>
          <w:sz w:val="20"/>
          <w:szCs w:val="20"/>
        </w:rPr>
        <w:t xml:space="preserve">33 </w:t>
      </w:r>
    </w:p>
    <w:p w:rsidR="00000000" w:rsidRDefault="005F676C">
      <w:pPr>
        <w:divId w:val="1288852245"/>
        <w:rPr>
          <w:rFonts w:eastAsia="Times New Roman"/>
          <w:sz w:val="20"/>
          <w:szCs w:val="20"/>
        </w:rPr>
      </w:pPr>
      <w:r>
        <w:rPr>
          <w:rFonts w:eastAsia="Times New Roman"/>
          <w:sz w:val="20"/>
          <w:szCs w:val="20"/>
        </w:rPr>
        <w:pict>
          <v:rect id="_x0000_i1061" style="width:0;height:1.5pt" o:hralign="center" o:hrstd="t" o:hr="t" fillcolor="#a0a0a0" stroked="f"/>
        </w:pict>
      </w:r>
    </w:p>
    <w:p w:rsidR="00000000" w:rsidRDefault="005F676C">
      <w:pPr>
        <w:divId w:val="1288852245"/>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26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Three Months Ended September 30,</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650" w:type="pct"/>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Nine months Ended September 30,</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ind w:left="180" w:hanging="180"/>
              <w:rPr>
                <w:sz w:val="20"/>
                <w:szCs w:val="20"/>
              </w:rPr>
            </w:pPr>
            <w:r>
              <w:rPr>
                <w:b/>
                <w:bCs/>
                <w:sz w:val="20"/>
                <w:szCs w:val="20"/>
              </w:rPr>
              <w:t>Net income available to the Company’s common shareholders</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59,048</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85,624</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247,176</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365,977</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Gain on sale of properties/change in control of interests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(9,025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(32,477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(47,382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(186,689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Gain on sale of joint venture properties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(1,988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(2,554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(15,174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(6,103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Depreciation and amortization – real estate related</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68,250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74,751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208,233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230,993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Depreciation and amortization – real estate joint ventures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9,768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11,871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30,044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32,766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Impairment charges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20,982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3,338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45,637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33,971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Profit participation from other real estate investments,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(485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(9,784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(10,466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(Gain)/loss on marketable securities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199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557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(1,375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2,043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Noncontrolling interests (1)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(309</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(411</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(890</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(2,334</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rPr>
                <w:sz w:val="20"/>
                <w:szCs w:val="20"/>
              </w:rPr>
            </w:pPr>
            <w:r>
              <w:rPr>
                <w:b/>
                <w:bCs/>
                <w:sz w:val="20"/>
                <w:szCs w:val="20"/>
              </w:rPr>
              <w:t>FFO available to the Company’s common shareholders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146,925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140,214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456,485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460,158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Transactional (income)/expense: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Distribution in excess of basis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(3,550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Severance costs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1,185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Gain on forgiveness of debt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(4,274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Preferred stock redemption charges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11,369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11,369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Prepayment penalties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Insurance proceeds in excess of related loss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(1,500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(3,000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(1,500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Other income,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611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847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Total transactional income,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10,369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11,873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8,369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5,470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ind w:left="180" w:hanging="180"/>
              <w:rPr>
                <w:sz w:val="20"/>
                <w:szCs w:val="20"/>
              </w:rPr>
            </w:pPr>
            <w:r>
              <w:rPr>
                <w:b/>
                <w:bCs/>
                <w:sz w:val="20"/>
                <w:szCs w:val="20"/>
              </w:rPr>
              <w:t>FFO available to the Company's common shareholders as adjusted</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157,294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152,087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464,854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465,628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Weighted average shares outstanding for FFO calculations: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Basic</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419,823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419,230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419,663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421,106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Units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833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823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839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926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Dilutive effect of equity awards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1,120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534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1,273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515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Diluted (2)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421,776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420,587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421,774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422,547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b/>
                <w:bCs/>
                <w:sz w:val="20"/>
                <w:szCs w:val="20"/>
              </w:rPr>
              <w:t>FFO per common share – basic</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0.35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0.33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1.09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rPr>
                <w:sz w:val="20"/>
                <w:szCs w:val="20"/>
              </w:rPr>
            </w:pPr>
            <w:r>
              <w:rPr>
                <w:b/>
                <w:bCs/>
                <w:sz w:val="20"/>
                <w:szCs w:val="20"/>
              </w:rPr>
              <w:t>FFO per common share – diluted</w:t>
            </w:r>
            <w:r>
              <w:rPr>
                <w:sz w:val="20"/>
                <w:szCs w:val="20"/>
              </w:rPr>
              <w:t xml:space="preserve"> (2)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0.35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0.33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1.08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1.09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b/>
                <w:bCs/>
                <w:sz w:val="20"/>
                <w:szCs w:val="20"/>
              </w:rPr>
              <w:t>FFO as adjusted per common share – basic</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0.37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0.36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1.10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1.11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FFFFFF"/>
            <w:vAlign w:val="bottom"/>
            <w:hideMark/>
          </w:tcPr>
          <w:p w:rsidR="00000000" w:rsidRDefault="005F676C">
            <w:pPr>
              <w:pStyle w:val="a3"/>
              <w:spacing w:before="0" w:beforeAutospacing="0" w:after="0" w:afterAutospacing="0"/>
              <w:rPr>
                <w:sz w:val="20"/>
                <w:szCs w:val="20"/>
              </w:rPr>
            </w:pPr>
            <w:r>
              <w:rPr>
                <w:b/>
                <w:bCs/>
                <w:sz w:val="20"/>
                <w:szCs w:val="20"/>
              </w:rPr>
              <w:t xml:space="preserve">FFO as adjusted per common share – diluted </w:t>
            </w:r>
            <w:r>
              <w:rPr>
                <w:sz w:val="20"/>
                <w:szCs w:val="20"/>
              </w:rPr>
              <w:t>(2)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0.37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0.36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1.10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sz w:val="20"/>
                <w:szCs w:val="20"/>
              </w:rPr>
              <w:t>1.10</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(1)</w:t>
            </w:r>
          </w:p>
        </w:tc>
        <w:tc>
          <w:tcPr>
            <w:tcW w:w="0" w:type="auto"/>
            <w:hideMark/>
          </w:tcPr>
          <w:p w:rsidR="00000000" w:rsidRDefault="005F676C">
            <w:pPr>
              <w:pStyle w:val="a3"/>
              <w:spacing w:before="0" w:beforeAutospacing="0" w:after="0" w:afterAutospacing="0"/>
              <w:jc w:val="both"/>
              <w:rPr>
                <w:sz w:val="20"/>
                <w:szCs w:val="20"/>
              </w:rPr>
            </w:pPr>
            <w:r>
              <w:rPr>
                <w:sz w:val="20"/>
                <w:szCs w:val="20"/>
              </w:rPr>
              <w:t>Related to gains, impairment and depreciation on properties, where applicable.</w:t>
            </w:r>
          </w:p>
        </w:tc>
      </w:tr>
    </w:tbl>
    <w:p w:rsidR="00000000" w:rsidRDefault="005F676C">
      <w:pPr>
        <w:rPr>
          <w:rFonts w:eastAsia="Times New Roman"/>
          <w:vanish/>
          <w:sz w:val="20"/>
          <w:szCs w:val="20"/>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(2)</w:t>
            </w:r>
          </w:p>
        </w:tc>
        <w:tc>
          <w:tcPr>
            <w:tcW w:w="0" w:type="auto"/>
            <w:hideMark/>
          </w:tcPr>
          <w:p w:rsidR="00000000" w:rsidRDefault="005F676C">
            <w:pPr>
              <w:pStyle w:val="a3"/>
              <w:spacing w:before="0" w:beforeAutospacing="0" w:after="0" w:afterAutospacing="0"/>
              <w:jc w:val="both"/>
              <w:rPr>
                <w:sz w:val="20"/>
                <w:szCs w:val="20"/>
              </w:rPr>
            </w:pPr>
            <w:r>
              <w:rPr>
                <w:sz w:val="20"/>
                <w:szCs w:val="20"/>
              </w:rPr>
              <w:t>Reflects the potential impact if certain units were converted to common stock at the beginning of the period, which would have a dilutive effect on FFO available to the Company’s common shareholders. FFO available to the Company’s common shareholders would</w:t>
            </w:r>
            <w:r>
              <w:rPr>
                <w:sz w:val="20"/>
                <w:szCs w:val="20"/>
              </w:rPr>
              <w:t xml:space="preserve"> be increased by $213 and $223 for the three months ended September 30, 2019 and 2018, respectively, and $670 and $787 for the nine months ended September 30, 2019 and 2018, respectively. The effect of other certain convertible units would have an anti-dil</w:t>
            </w:r>
            <w:r>
              <w:rPr>
                <w:sz w:val="20"/>
                <w:szCs w:val="20"/>
              </w:rPr>
              <w:t>utive effect upon the calculation of Net income available to the Company’s common shareholders per share. Accordingly, the impact of such conversion has not been included in the determination of diluted earnings per share calculations.</w:t>
            </w:r>
          </w:p>
        </w:tc>
      </w:tr>
    </w:tbl>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u w:val="single"/>
        </w:rPr>
        <w:t>Same Property Net</w:t>
      </w:r>
      <w:r>
        <w:rPr>
          <w:sz w:val="20"/>
          <w:szCs w:val="20"/>
          <w:u w:val="single"/>
        </w:rPr>
        <w:t xml:space="preserve"> Operating Income(“Same property NOI”)</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Same property NOI is a supplemental non-GAAP financial measure of real estate companies’ operating performance and should not be considered an alternative to net income in accordance with GAAP or cash flows from ope</w:t>
      </w:r>
      <w:r>
        <w:rPr>
          <w:sz w:val="20"/>
          <w:szCs w:val="20"/>
        </w:rPr>
        <w:t>rations as a measure of liquidity. The Company considers Same property NOI as an important operating performance measure because it is frequently used by securities analysts and investors to measure only the net operating income of properties that have bee</w:t>
      </w:r>
      <w:r>
        <w:rPr>
          <w:sz w:val="20"/>
          <w:szCs w:val="20"/>
        </w:rPr>
        <w:t>n owned by the Company for the entire current and prior year reporting periods. It excludes properties under redevelopment, development and pending stabilization; properties are deemed stabilized at the earlier of (i) reaching 90% leased or (ii) one year f</w:t>
      </w:r>
      <w:r>
        <w:rPr>
          <w:sz w:val="20"/>
          <w:szCs w:val="20"/>
        </w:rPr>
        <w:t>ollowing a project’s inclusion in operating real estate. Same property NOI assists in eliminating disparities in net income due to the development, acquisition or disposition of properties during the particular period presented, and thus provides a more co</w:t>
      </w:r>
      <w:r>
        <w:rPr>
          <w:sz w:val="20"/>
          <w:szCs w:val="20"/>
        </w:rPr>
        <w:t>nsistent performance measure for the comparison of the Company's properties.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Same property NOI is calculated using revenues from rental properties (excluding straight-line rent adjustments, lease termination fees, TIFs and amortization of above/below mar</w:t>
      </w:r>
      <w:r>
        <w:rPr>
          <w:sz w:val="20"/>
          <w:szCs w:val="20"/>
        </w:rPr>
        <w:t>ket rents) less charges for bad debt, operating and maintenance expense, real estate taxes and rent expense plus the Company’s proportionate share of Same property NOI from unconsolidated real estate joint ventures, calculated on the same basis. The Compan</w:t>
      </w:r>
      <w:r>
        <w:rPr>
          <w:sz w:val="20"/>
          <w:szCs w:val="20"/>
        </w:rPr>
        <w:t>y’s method of calculating Same property NOI available to the Company’s common shareholders may differ from methods used by other REITs and, accordingly, may not be comparable to such other REITs.</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jc w:val="center"/>
        <w:divId w:val="639306582"/>
        <w:rPr>
          <w:rFonts w:eastAsia="Times New Roman"/>
          <w:sz w:val="20"/>
          <w:szCs w:val="20"/>
        </w:rPr>
      </w:pPr>
      <w:r>
        <w:rPr>
          <w:rFonts w:eastAsia="Times New Roman"/>
          <w:sz w:val="20"/>
          <w:szCs w:val="20"/>
        </w:rPr>
        <w:t xml:space="preserve">34 </w:t>
      </w:r>
    </w:p>
    <w:p w:rsidR="00000000" w:rsidRDefault="005F676C">
      <w:pPr>
        <w:divId w:val="639306582"/>
        <w:rPr>
          <w:rFonts w:eastAsia="Times New Roman"/>
          <w:sz w:val="20"/>
          <w:szCs w:val="20"/>
        </w:rPr>
      </w:pPr>
      <w:r>
        <w:rPr>
          <w:rFonts w:eastAsia="Times New Roman"/>
          <w:sz w:val="20"/>
          <w:szCs w:val="20"/>
        </w:rPr>
        <w:pict>
          <v:rect id="_x0000_i1062" style="width:0;height:1.5pt" o:hralign="center" o:hrstd="t" o:hr="t" fillcolor="#a0a0a0" stroked="f"/>
        </w:pict>
      </w:r>
    </w:p>
    <w:p w:rsidR="00000000" w:rsidRDefault="005F676C">
      <w:pPr>
        <w:divId w:val="639306582"/>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following is a reconciliation of Net income available to the Company’s common shareholders to Same property NOI (in thousands):</w:t>
      </w:r>
    </w:p>
    <w:p w:rsidR="00000000" w:rsidRDefault="005F676C">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4313"/>
        <w:gridCol w:w="77"/>
        <w:gridCol w:w="100"/>
        <w:gridCol w:w="742"/>
        <w:gridCol w:w="77"/>
        <w:gridCol w:w="78"/>
        <w:gridCol w:w="100"/>
        <w:gridCol w:w="743"/>
        <w:gridCol w:w="78"/>
        <w:gridCol w:w="78"/>
        <w:gridCol w:w="100"/>
        <w:gridCol w:w="743"/>
        <w:gridCol w:w="78"/>
        <w:gridCol w:w="78"/>
        <w:gridCol w:w="100"/>
        <w:gridCol w:w="743"/>
        <w:gridCol w:w="78"/>
      </w:tblGrid>
      <w:tr w:rsidR="00000000">
        <w:trPr>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Three Months Ended September 30,</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6"/>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Nine Months Ended September 30,</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2018</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2600" w:type="pct"/>
            <w:shd w:val="clear" w:color="auto" w:fill="CCEEFF"/>
            <w:vAlign w:val="bottom"/>
            <w:hideMark/>
          </w:tcPr>
          <w:p w:rsidR="00000000" w:rsidRDefault="005F676C">
            <w:pPr>
              <w:pStyle w:val="a3"/>
              <w:spacing w:before="0" w:beforeAutospacing="0" w:after="0" w:afterAutospacing="0"/>
              <w:rPr>
                <w:sz w:val="20"/>
                <w:szCs w:val="20"/>
              </w:rPr>
            </w:pPr>
            <w:r>
              <w:rPr>
                <w:b/>
                <w:bCs/>
                <w:sz w:val="20"/>
                <w:szCs w:val="20"/>
              </w:rPr>
              <w:t>Net income available to the Company’s common shareholders</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59,048</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85,624</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247,176</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nil"/>
            </w:tcBorders>
            <w:shd w:val="clear" w:color="auto" w:fill="CCEEFF"/>
            <w:vAlign w:val="bottom"/>
            <w:hideMark/>
          </w:tcPr>
          <w:p w:rsidR="00000000" w:rsidRDefault="005F676C">
            <w:pPr>
              <w:jc w:val="right"/>
              <w:rPr>
                <w:rFonts w:eastAsia="Times New Roman"/>
                <w:sz w:val="20"/>
                <w:szCs w:val="20"/>
              </w:rPr>
            </w:pPr>
            <w:r>
              <w:rPr>
                <w:rFonts w:eastAsia="Times New Roman"/>
                <w:b/>
                <w:bCs/>
                <w:sz w:val="20"/>
                <w:szCs w:val="20"/>
              </w:rPr>
              <w:t>365,977</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Adjustments:</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Management and other fee income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(3,690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(4,381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(12,229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(12,762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General and administrative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23,832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21,348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72,296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67,775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Impairment charges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19,609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3,336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41,235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33,855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Depreciation and amortization</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68,874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74,972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209,440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236,114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Gain on sale of properties/change in control of interests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(9,025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(28,250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(47,382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(180,461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Interest and other expense,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38,819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51,624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122,751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138,545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Benefit for income taxes,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(3,866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(315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(3,580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(983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Equity in income of other real estate investments, net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(3,265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(5,045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(22,758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(24,638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Net income attributable to noncontrolling interests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1,463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567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2,332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882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Preferred stock redemption charges</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11,369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11,369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Preferred dividends</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13,573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14,534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42,641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43,657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ind w:left="180"/>
              <w:rPr>
                <w:sz w:val="20"/>
                <w:szCs w:val="20"/>
              </w:rPr>
            </w:pPr>
            <w:r>
              <w:rPr>
                <w:sz w:val="20"/>
                <w:szCs w:val="20"/>
              </w:rPr>
              <w:t>Non same property net operating income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(18,047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(22,910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(69,422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(98,645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r>
      <w:tr w:rsidR="00000000">
        <w:trPr>
          <w:tblCellSpacing w:w="0" w:type="dxa"/>
        </w:trPr>
        <w:tc>
          <w:tcPr>
            <w:tcW w:w="0" w:type="auto"/>
            <w:shd w:val="clear" w:color="auto" w:fill="CCEEFF"/>
            <w:vAlign w:val="bottom"/>
            <w:hideMark/>
          </w:tcPr>
          <w:p w:rsidR="00000000" w:rsidRDefault="005F676C">
            <w:pPr>
              <w:pStyle w:val="a3"/>
              <w:spacing w:before="0" w:beforeAutospacing="0" w:after="0" w:afterAutospacing="0"/>
              <w:ind w:left="180"/>
              <w:rPr>
                <w:sz w:val="20"/>
                <w:szCs w:val="20"/>
              </w:rPr>
            </w:pPr>
            <w:r>
              <w:rPr>
                <w:sz w:val="20"/>
                <w:szCs w:val="20"/>
              </w:rPr>
              <w:t>Non-operational expense from joint ventures, net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14,611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17,690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39,529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45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47,198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b/>
                <w:bCs/>
                <w:sz w:val="20"/>
                <w:szCs w:val="20"/>
              </w:rPr>
              <w:t>Same property NOI</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213,305</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208,794</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633,398</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45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616,514</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Same property NOI increased by $4.5 million or 2.2% for the three months ended September 30, 2019, as compared to the corresponding period in 2018. This increase is primarily the result of (i) an increase of $5.6 million related to lease-up and rent commen</w:t>
      </w:r>
      <w:r>
        <w:rPr>
          <w:sz w:val="20"/>
          <w:szCs w:val="20"/>
        </w:rPr>
        <w:t>cements in the portfolio, partially offset by (ii) a decrease in other property income of $1.1 million.</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Same property NOI increased by $16.9 million or 2.7% for the nine months ended September 30, 2019, as compared to the corresponding period in 2018. Th</w:t>
      </w:r>
      <w:r>
        <w:rPr>
          <w:sz w:val="20"/>
          <w:szCs w:val="20"/>
        </w:rPr>
        <w:t>is increase is primarily the result of (i) an increase of $18.0 million related to lease-up and rent commencements in the portfolio, partially offset by (ii) a decrease in other property income of $1.1 million.</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u w:val="single"/>
        </w:rPr>
        <w:t>Leasing Activity</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 nine months e</w:t>
      </w:r>
      <w:r>
        <w:rPr>
          <w:sz w:val="20"/>
          <w:szCs w:val="20"/>
        </w:rPr>
        <w:t>nded September 30, 2019, the Company executed 724 leases totaling over 5.4 million square feet in the Company’s consolidated operating portfolio comprised of 242 new leases and 482 renewals and options. The leasing costs associated with new leases are esti</w:t>
      </w:r>
      <w:r>
        <w:rPr>
          <w:sz w:val="20"/>
          <w:szCs w:val="20"/>
        </w:rPr>
        <w:t>mated to aggregate $66.0 million or $44.98 per square foot. These costs include $53.2 million of tenant improvements and $12.8 million of external leasing commissions. The average rent per square foot on new leases was $21.57 and on renewals and options wa</w:t>
      </w:r>
      <w:r>
        <w:rPr>
          <w:sz w:val="20"/>
          <w:szCs w:val="20"/>
        </w:rPr>
        <w:t>s $16.02.</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jc w:val="both"/>
        <w:rPr>
          <w:sz w:val="20"/>
          <w:szCs w:val="20"/>
        </w:rPr>
      </w:pPr>
      <w:r>
        <w:rPr>
          <w:sz w:val="20"/>
          <w:szCs w:val="20"/>
          <w:u w:val="single"/>
        </w:rPr>
        <w:t>Tenant Lease Expirations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At September 30, 2019, the Company has a total of 5,527 leases in the U.S. consolidated operating portfolio. The following table sets forth the aggregate lease expirations for each of the next ten years, assuming no renewal options are exercised. For purpo</w:t>
      </w:r>
      <w:r>
        <w:rPr>
          <w:sz w:val="20"/>
          <w:szCs w:val="20"/>
        </w:rPr>
        <w:t>ses of the table, the Total Annual Base Rent Expiring represents annualized rental revenue, excluding the impact of straight-line rent, for each lease that expires during the respective year. Amounts in thousands, except for number of lease data:</w:t>
      </w:r>
    </w:p>
    <w:p w:rsidR="00000000" w:rsidRDefault="005F676C">
      <w:pPr>
        <w:pStyle w:val="a3"/>
        <w:spacing w:before="0" w:beforeAutospacing="0" w:after="0" w:afterAutospacing="0"/>
        <w:ind w:firstLine="720"/>
        <w:jc w:val="both"/>
        <w:rPr>
          <w:sz w:val="20"/>
          <w:szCs w:val="20"/>
        </w:rPr>
      </w:pPr>
      <w:r>
        <w:rPr>
          <w:sz w:val="20"/>
          <w:szCs w:val="20"/>
        </w:rPr>
        <w:t> </w:t>
      </w:r>
    </w:p>
    <w:tbl>
      <w:tblPr>
        <w:tblW w:w="4250" w:type="pct"/>
        <w:tblCellSpacing w:w="0" w:type="dxa"/>
        <w:tblInd w:w="7" w:type="dxa"/>
        <w:tblCellMar>
          <w:left w:w="0" w:type="dxa"/>
          <w:right w:w="0" w:type="dxa"/>
        </w:tblCellMar>
        <w:tblLook w:val="04A0" w:firstRow="1" w:lastRow="0" w:firstColumn="1" w:lastColumn="0" w:noHBand="0" w:noVBand="1"/>
      </w:tblPr>
      <w:tblGrid>
        <w:gridCol w:w="1249"/>
        <w:gridCol w:w="50"/>
        <w:gridCol w:w="50"/>
        <w:gridCol w:w="1247"/>
        <w:gridCol w:w="50"/>
        <w:gridCol w:w="50"/>
        <w:gridCol w:w="1247"/>
        <w:gridCol w:w="50"/>
        <w:gridCol w:w="50"/>
        <w:gridCol w:w="277"/>
        <w:gridCol w:w="1247"/>
        <w:gridCol w:w="50"/>
        <w:gridCol w:w="50"/>
        <w:gridCol w:w="51"/>
        <w:gridCol w:w="1175"/>
        <w:gridCol w:w="167"/>
      </w:tblGrid>
      <w:tr w:rsidR="00000000">
        <w:trPr>
          <w:tblCellSpacing w:w="0" w:type="dxa"/>
        </w:trPr>
        <w:tc>
          <w:tcPr>
            <w:tcW w:w="9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Year En</w:t>
            </w:r>
            <w:r>
              <w:rPr>
                <w:b/>
                <w:bCs/>
                <w:sz w:val="20"/>
                <w:szCs w:val="20"/>
              </w:rPr>
              <w:t>ding</w:t>
            </w:r>
          </w:p>
          <w:p w:rsidR="00000000" w:rsidRDefault="005F676C">
            <w:pPr>
              <w:pStyle w:val="a3"/>
              <w:spacing w:before="0" w:beforeAutospacing="0" w:after="0" w:afterAutospacing="0"/>
              <w:jc w:val="center"/>
              <w:rPr>
                <w:sz w:val="20"/>
                <w:szCs w:val="20"/>
              </w:rPr>
            </w:pPr>
            <w:r>
              <w:rPr>
                <w:b/>
                <w:bCs/>
                <w:sz w:val="20"/>
                <w:szCs w:val="20"/>
              </w:rPr>
              <w:t>December 31,</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9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Number of Leases</w:t>
            </w:r>
          </w:p>
          <w:p w:rsidR="00000000" w:rsidRDefault="005F676C">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9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Square Feet </w:t>
            </w:r>
          </w:p>
          <w:p w:rsidR="00000000" w:rsidRDefault="005F676C">
            <w:pPr>
              <w:pStyle w:val="a3"/>
              <w:spacing w:before="0" w:beforeAutospacing="0" w:after="0" w:afterAutospacing="0"/>
              <w:jc w:val="center"/>
              <w:rPr>
                <w:sz w:val="20"/>
                <w:szCs w:val="20"/>
              </w:rPr>
            </w:pPr>
            <w:r>
              <w:rPr>
                <w:b/>
                <w:bCs/>
                <w:sz w:val="20"/>
                <w:szCs w:val="20"/>
              </w:rPr>
              <w:t>Expiring</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Total Annual Base</w:t>
            </w:r>
          </w:p>
          <w:p w:rsidR="00000000" w:rsidRDefault="005F676C">
            <w:pPr>
              <w:pStyle w:val="a3"/>
              <w:spacing w:before="0" w:beforeAutospacing="0" w:after="0" w:afterAutospacing="0"/>
              <w:jc w:val="center"/>
              <w:rPr>
                <w:sz w:val="20"/>
                <w:szCs w:val="20"/>
              </w:rPr>
            </w:pPr>
            <w:r>
              <w:rPr>
                <w:b/>
                <w:bCs/>
                <w:sz w:val="20"/>
                <w:szCs w:val="20"/>
              </w:rPr>
              <w:t>Rent Expiring</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 xml:space="preserve">% of Gross </w:t>
            </w:r>
          </w:p>
          <w:p w:rsidR="00000000" w:rsidRDefault="005F676C">
            <w:pPr>
              <w:pStyle w:val="a3"/>
              <w:spacing w:before="0" w:beforeAutospacing="0" w:after="0" w:afterAutospacing="0"/>
              <w:jc w:val="center"/>
              <w:rPr>
                <w:sz w:val="20"/>
                <w:szCs w:val="20"/>
              </w:rPr>
            </w:pPr>
            <w:r>
              <w:rPr>
                <w:b/>
                <w:bCs/>
                <w:sz w:val="20"/>
                <w:szCs w:val="20"/>
              </w:rPr>
              <w:t>Annual Rent</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900" w:type="pct"/>
            <w:shd w:val="clear" w:color="auto" w:fill="CCEEFF"/>
            <w:vAlign w:val="bottom"/>
            <w:hideMark/>
          </w:tcPr>
          <w:p w:rsidR="00000000" w:rsidRDefault="005F676C">
            <w:pPr>
              <w:jc w:val="center"/>
              <w:rPr>
                <w:rFonts w:eastAsia="Times New Roman"/>
                <w:sz w:val="20"/>
                <w:szCs w:val="20"/>
              </w:rPr>
            </w:pPr>
            <w:r>
              <w:rPr>
                <w:rFonts w:eastAsia="Times New Roman"/>
                <w:sz w:val="20"/>
                <w:szCs w:val="20"/>
              </w:rPr>
              <w:t>(1)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tcBorders>
              <w:bottom w:val="nil"/>
            </w:tcBorders>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133</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tcBorders>
              <w:bottom w:val="nil"/>
            </w:tcBorders>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332</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tcBorders>
              <w:bottom w:val="nil"/>
            </w:tcBorders>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8,533</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nil"/>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50" w:type="pct"/>
            <w:tcBorders>
              <w:bottom w:val="nil"/>
            </w:tcBorders>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1.0</w:t>
            </w:r>
          </w:p>
        </w:tc>
        <w:tc>
          <w:tcPr>
            <w:tcW w:w="50" w:type="pct"/>
            <w:tcBorders>
              <w:bottom w:val="nil"/>
            </w:tcBorders>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FFFF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102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475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8,579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1.0</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CCEE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2020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665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3,990</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69,606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8.4</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FFFF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2021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768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5,945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91,956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11.1</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CCEE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2022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838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6,109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104,412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12.6</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FFFF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2023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727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5,866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99,903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12.1</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CCEE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2024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649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5,468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94,177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11.4</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FFFF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2025</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337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2,157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53,370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6.5</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CCEE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2026</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249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3,821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54,789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6.6</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FFFF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2027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254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3,318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50,927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6.2</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CCEE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2028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323</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CCEEFF"/>
            <w:vAlign w:val="bottom"/>
            <w:hideMark/>
          </w:tcPr>
          <w:p w:rsidR="00000000" w:rsidRDefault="005F676C">
            <w:pPr>
              <w:ind w:left="176"/>
              <w:jc w:val="center"/>
              <w:rPr>
                <w:rFonts w:eastAsia="Times New Roman"/>
                <w:sz w:val="20"/>
                <w:szCs w:val="20"/>
              </w:rPr>
            </w:pPr>
            <w:r>
              <w:rPr>
                <w:rFonts w:eastAsia="Times New Roman"/>
                <w:sz w:val="20"/>
                <w:szCs w:val="20"/>
              </w:rPr>
              <w:t>3,365</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62,411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CCEEFF"/>
            <w:vAlign w:val="bottom"/>
            <w:hideMark/>
          </w:tcPr>
          <w:p w:rsidR="00000000" w:rsidRDefault="005F676C">
            <w:pPr>
              <w:ind w:left="176"/>
              <w:jc w:val="right"/>
              <w:rPr>
                <w:rFonts w:eastAsia="Times New Roman"/>
                <w:sz w:val="20"/>
                <w:szCs w:val="20"/>
              </w:rPr>
            </w:pPr>
            <w:r>
              <w:rPr>
                <w:rFonts w:eastAsia="Times New Roman"/>
                <w:sz w:val="20"/>
                <w:szCs w:val="20"/>
              </w:rPr>
              <w:t>7.6</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r>
      <w:tr w:rsidR="00000000">
        <w:trPr>
          <w:tblCellSpacing w:w="0" w:type="dxa"/>
        </w:trPr>
        <w:tc>
          <w:tcPr>
            <w:tcW w:w="900" w:type="pct"/>
            <w:shd w:val="clear" w:color="auto" w:fill="FFFFFF"/>
            <w:vAlign w:val="bottom"/>
            <w:hideMark/>
          </w:tcPr>
          <w:p w:rsidR="00000000" w:rsidRDefault="005F676C">
            <w:pPr>
              <w:pStyle w:val="a3"/>
              <w:spacing w:before="0" w:beforeAutospacing="0" w:after="0" w:afterAutospacing="0"/>
              <w:ind w:left="352" w:hanging="176"/>
              <w:jc w:val="center"/>
              <w:rPr>
                <w:sz w:val="20"/>
                <w:szCs w:val="20"/>
              </w:rPr>
            </w:pPr>
            <w:r>
              <w:rPr>
                <w:sz w:val="20"/>
                <w:szCs w:val="20"/>
              </w:rPr>
              <w:t>2029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244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900" w:type="pct"/>
            <w:shd w:val="clear" w:color="auto" w:fill="FFFFFF"/>
            <w:vAlign w:val="bottom"/>
            <w:hideMark/>
          </w:tcPr>
          <w:p w:rsidR="00000000" w:rsidRDefault="005F676C">
            <w:pPr>
              <w:ind w:left="176"/>
              <w:jc w:val="center"/>
              <w:rPr>
                <w:rFonts w:eastAsia="Times New Roman"/>
                <w:sz w:val="20"/>
                <w:szCs w:val="20"/>
              </w:rPr>
            </w:pPr>
            <w:r>
              <w:rPr>
                <w:rFonts w:eastAsia="Times New Roman"/>
                <w:sz w:val="20"/>
                <w:szCs w:val="20"/>
              </w:rPr>
              <w:t>2,538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ind w:left="176"/>
              <w:rPr>
                <w:rFonts w:eastAsia="Times New Roman"/>
                <w:sz w:val="20"/>
                <w:szCs w:val="20"/>
              </w:rPr>
            </w:pPr>
            <w:r>
              <w:rPr>
                <w:rFonts w:eastAsia="Times New Roman"/>
                <w:sz w:val="20"/>
                <w:szCs w:val="20"/>
              </w:rPr>
              <w:t>$</w:t>
            </w:r>
          </w:p>
        </w:tc>
        <w:tc>
          <w:tcPr>
            <w:tcW w:w="90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43,507</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50" w:type="pct"/>
            <w:shd w:val="clear" w:color="auto" w:fill="FFFFFF"/>
            <w:vAlign w:val="bottom"/>
            <w:hideMark/>
          </w:tcPr>
          <w:p w:rsidR="00000000" w:rsidRDefault="005F676C">
            <w:pPr>
              <w:ind w:left="176"/>
              <w:jc w:val="right"/>
              <w:rPr>
                <w:rFonts w:eastAsia="Times New Roman"/>
                <w:sz w:val="20"/>
                <w:szCs w:val="20"/>
              </w:rPr>
            </w:pPr>
            <w:r>
              <w:rPr>
                <w:rFonts w:eastAsia="Times New Roman"/>
                <w:sz w:val="20"/>
                <w:szCs w:val="20"/>
              </w:rPr>
              <w:t>5.3</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r>
    </w:tbl>
    <w:p w:rsidR="00000000" w:rsidRDefault="005F676C">
      <w:pPr>
        <w:pStyle w:val="a3"/>
        <w:spacing w:before="0" w:beforeAutospacing="0" w:after="0" w:afterAutospacing="0"/>
        <w:ind w:firstLine="72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720"/>
        <w:gridCol w:w="360"/>
        <w:gridCol w:w="7226"/>
      </w:tblGrid>
      <w:tr w:rsidR="00000000">
        <w:trPr>
          <w:tblCellSpacing w:w="0" w:type="dxa"/>
        </w:trPr>
        <w:tc>
          <w:tcPr>
            <w:tcW w:w="720" w:type="dxa"/>
            <w:vAlign w:val="center"/>
            <w:hideMark/>
          </w:tcPr>
          <w:p w:rsidR="00000000" w:rsidRDefault="005F676C">
            <w:pPr>
              <w:rPr>
                <w:rFonts w:eastAsia="Times New Roman"/>
                <w:sz w:val="20"/>
                <w:szCs w:val="20"/>
              </w:rPr>
            </w:pPr>
            <w:r>
              <w:rPr>
                <w:rFonts w:eastAsia="Times New Roman"/>
                <w:sz w:val="20"/>
                <w:szCs w:val="20"/>
              </w:rPr>
              <w:t> </w:t>
            </w:r>
          </w:p>
        </w:tc>
        <w:tc>
          <w:tcPr>
            <w:tcW w:w="360" w:type="dxa"/>
            <w:hideMark/>
          </w:tcPr>
          <w:p w:rsidR="00000000" w:rsidRDefault="005F676C">
            <w:pPr>
              <w:pStyle w:val="a3"/>
              <w:spacing w:before="0" w:beforeAutospacing="0" w:after="0" w:afterAutospacing="0"/>
              <w:jc w:val="both"/>
              <w:rPr>
                <w:sz w:val="20"/>
                <w:szCs w:val="20"/>
              </w:rPr>
            </w:pPr>
            <w:r>
              <w:rPr>
                <w:sz w:val="20"/>
                <w:szCs w:val="20"/>
              </w:rPr>
              <w:t>(1)</w:t>
            </w:r>
          </w:p>
        </w:tc>
        <w:tc>
          <w:tcPr>
            <w:tcW w:w="0" w:type="auto"/>
            <w:hideMark/>
          </w:tcPr>
          <w:p w:rsidR="00000000" w:rsidRDefault="005F676C">
            <w:pPr>
              <w:pStyle w:val="a3"/>
              <w:spacing w:before="0" w:beforeAutospacing="0" w:after="0" w:afterAutospacing="0"/>
              <w:jc w:val="both"/>
              <w:rPr>
                <w:sz w:val="20"/>
                <w:szCs w:val="20"/>
              </w:rPr>
            </w:pPr>
            <w:r>
              <w:rPr>
                <w:sz w:val="20"/>
                <w:szCs w:val="20"/>
              </w:rPr>
              <w:t>Leases currently under month to month lease or in process of renewal.</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jc w:val="center"/>
        <w:divId w:val="877358856"/>
        <w:rPr>
          <w:rFonts w:eastAsia="Times New Roman"/>
          <w:sz w:val="20"/>
          <w:szCs w:val="20"/>
        </w:rPr>
      </w:pPr>
      <w:r>
        <w:rPr>
          <w:rFonts w:eastAsia="Times New Roman"/>
          <w:sz w:val="20"/>
          <w:szCs w:val="20"/>
        </w:rPr>
        <w:t xml:space="preserve">35 </w:t>
      </w:r>
    </w:p>
    <w:p w:rsidR="00000000" w:rsidRDefault="005F676C">
      <w:pPr>
        <w:divId w:val="877358856"/>
        <w:rPr>
          <w:rFonts w:eastAsia="Times New Roman"/>
          <w:sz w:val="20"/>
          <w:szCs w:val="20"/>
        </w:rPr>
      </w:pPr>
      <w:r>
        <w:rPr>
          <w:rFonts w:eastAsia="Times New Roman"/>
          <w:sz w:val="20"/>
          <w:szCs w:val="20"/>
        </w:rPr>
        <w:pict>
          <v:rect id="_x0000_i1063" style="width:0;height:1.5pt" o:hralign="center" o:hrstd="t" o:hr="t" fillcolor="#a0a0a0" stroked="f"/>
        </w:pict>
      </w:r>
    </w:p>
    <w:p w:rsidR="00000000" w:rsidRDefault="005F676C">
      <w:pPr>
        <w:divId w:val="877358856"/>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b/>
          <w:bCs/>
          <w:sz w:val="20"/>
          <w:szCs w:val="20"/>
        </w:rPr>
        <w:t>Item 3. Quantitative and Qualitative Disclosures About Market Risk.</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w:t>
      </w:r>
      <w:r>
        <w:rPr>
          <w:sz w:val="20"/>
          <w:szCs w:val="20"/>
        </w:rPr>
        <w:t xml:space="preserve">s primary market risk exposure is interest rate risk. The Company periodically evaluates its exposure to short-term interest rates and will, from time-to-time, enter into interest rate protection agreements which mitigate, but do not eliminate, the effect </w:t>
      </w:r>
      <w:r>
        <w:rPr>
          <w:sz w:val="20"/>
          <w:szCs w:val="20"/>
        </w:rPr>
        <w:t>of changes in interest rates on its floating-rate debt. The Company has not, and does not plan to, enter into any derivative financial instruments for trading or speculative purposes. The following table presents the Company’s aggregate fixed rate and vari</w:t>
      </w:r>
      <w:r>
        <w:rPr>
          <w:sz w:val="20"/>
          <w:szCs w:val="20"/>
        </w:rPr>
        <w:t>able rate debt obligations outstanding, including fair market value adjustments and unamortized deferred financing costs, as of September 30, 2019, with corresponding weighted average interest rates sorted by maturity date. The table does not include exten</w:t>
      </w:r>
      <w:r>
        <w:rPr>
          <w:sz w:val="20"/>
          <w:szCs w:val="20"/>
        </w:rPr>
        <w:t>sion options where available (amounts in millions).</w:t>
      </w:r>
    </w:p>
    <w:p w:rsidR="00000000" w:rsidRDefault="005F676C">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587"/>
        <w:gridCol w:w="50"/>
        <w:gridCol w:w="100"/>
        <w:gridCol w:w="483"/>
        <w:gridCol w:w="50"/>
        <w:gridCol w:w="50"/>
        <w:gridCol w:w="100"/>
        <w:gridCol w:w="460"/>
        <w:gridCol w:w="167"/>
        <w:gridCol w:w="50"/>
        <w:gridCol w:w="100"/>
        <w:gridCol w:w="484"/>
        <w:gridCol w:w="167"/>
        <w:gridCol w:w="50"/>
        <w:gridCol w:w="100"/>
        <w:gridCol w:w="484"/>
        <w:gridCol w:w="167"/>
        <w:gridCol w:w="50"/>
        <w:gridCol w:w="100"/>
        <w:gridCol w:w="484"/>
        <w:gridCol w:w="167"/>
        <w:gridCol w:w="50"/>
        <w:gridCol w:w="116"/>
        <w:gridCol w:w="806"/>
        <w:gridCol w:w="167"/>
        <w:gridCol w:w="50"/>
        <w:gridCol w:w="100"/>
        <w:gridCol w:w="600"/>
        <w:gridCol w:w="167"/>
        <w:gridCol w:w="50"/>
        <w:gridCol w:w="100"/>
        <w:gridCol w:w="600"/>
        <w:gridCol w:w="50"/>
      </w:tblGrid>
      <w:tr w:rsidR="00000000">
        <w:trPr>
          <w:tblCellSpacing w:w="0" w:type="dxa"/>
        </w:trPr>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2019</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2020</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2021</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2022</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2023</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Thereafter</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Total</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0" w:type="auto"/>
            <w:vAlign w:val="bottom"/>
            <w:hideMark/>
          </w:tcPr>
          <w:p w:rsidR="00000000" w:rsidRDefault="005F676C">
            <w:pPr>
              <w:rPr>
                <w:rFonts w:eastAsia="Times New Roman"/>
                <w:sz w:val="20"/>
                <w:szCs w:val="20"/>
              </w:rPr>
            </w:pPr>
            <w:r>
              <w:rPr>
                <w:rFonts w:eastAsia="Times New Roman"/>
                <w:sz w:val="20"/>
                <w:szCs w:val="20"/>
              </w:rPr>
              <w:t> </w:t>
            </w:r>
          </w:p>
        </w:tc>
        <w:tc>
          <w:tcPr>
            <w:tcW w:w="0" w:type="auto"/>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Fair Value</w:t>
            </w:r>
          </w:p>
        </w:tc>
        <w:tc>
          <w:tcPr>
            <w:tcW w:w="0" w:type="auto"/>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1000" w:type="pct"/>
            <w:shd w:val="clear" w:color="auto" w:fill="CCEEFF"/>
            <w:vAlign w:val="bottom"/>
            <w:hideMark/>
          </w:tcPr>
          <w:p w:rsidR="00000000" w:rsidRDefault="005F676C">
            <w:pPr>
              <w:pStyle w:val="a3"/>
              <w:spacing w:before="0" w:beforeAutospacing="0" w:after="0" w:afterAutospacing="0"/>
              <w:rPr>
                <w:sz w:val="20"/>
                <w:szCs w:val="20"/>
              </w:rPr>
            </w:pPr>
            <w:r>
              <w:rPr>
                <w:b/>
                <w:bCs/>
                <w:sz w:val="20"/>
                <w:szCs w:val="20"/>
                <w:u w:val="single"/>
              </w:rPr>
              <w:t>Secured Debt</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b/>
                <w:bCs/>
                <w:sz w:val="20"/>
                <w:szCs w:val="20"/>
              </w:rPr>
              <w:t> </w:t>
            </w:r>
          </w:p>
        </w:tc>
      </w:tr>
      <w:tr w:rsidR="005F676C">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Fixed Rate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101.1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146.6</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147.8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16.0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423.4</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426.0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5.43</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5.39</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4.05</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3.23</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6.83</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4.92</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Floating Rate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59.2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59.2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60.1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4.20</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4.20</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b/>
                <w:bCs/>
                <w:sz w:val="20"/>
                <w:szCs w:val="20"/>
                <w:u w:val="single"/>
              </w:rPr>
              <w:t>Unsecured Debt</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r>
      <w:tr w:rsidR="005F676C">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Fixed Rate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483.8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496.7</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348.1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3,304.2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4,632.8</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4,800.2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Average Interest Rate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3.20</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3.40</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3.13</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3.60</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3.50</w:t>
            </w:r>
          </w:p>
        </w:tc>
        <w:tc>
          <w:tcPr>
            <w:tcW w:w="50" w:type="pct"/>
            <w:shd w:val="clear" w:color="auto" w:fill="FFFFFF"/>
            <w:vAlign w:val="bottom"/>
            <w:hideMark/>
          </w:tcPr>
          <w:p w:rsidR="00000000" w:rsidRDefault="005F676C">
            <w:pPr>
              <w:pStyle w:val="a3"/>
              <w:spacing w:before="0" w:beforeAutospacing="0" w:after="0" w:afterAutospacing="0"/>
              <w:rPr>
                <w:sz w:val="20"/>
                <w:szCs w:val="20"/>
              </w:rPr>
            </w:pPr>
            <w:r>
              <w:rPr>
                <w:sz w:val="20"/>
                <w:szCs w:val="20"/>
              </w:rPr>
              <w:t>%</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0" w:type="auto"/>
            <w:shd w:val="clear" w:color="auto" w:fill="FFFFFF"/>
            <w:vAlign w:val="bottom"/>
            <w:hideMark/>
          </w:tcPr>
          <w:p w:rsidR="00000000" w:rsidRDefault="005F676C">
            <w:pPr>
              <w:pStyle w:val="a3"/>
              <w:spacing w:before="0" w:beforeAutospacing="0" w:after="0" w:afterAutospacing="0"/>
              <w:rPr>
                <w:sz w:val="20"/>
                <w:szCs w:val="20"/>
              </w:rPr>
            </w:pPr>
            <w:r>
              <w:rPr>
                <w:sz w:val="20"/>
                <w:szCs w:val="20"/>
              </w:rPr>
              <w:t>Floating Rate</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197.2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197.2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w:t>
            </w:r>
          </w:p>
        </w:tc>
        <w:tc>
          <w:tcPr>
            <w:tcW w:w="35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199.8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5F676C">
        <w:trPr>
          <w:tblCellSpacing w:w="0" w:type="dxa"/>
        </w:trPr>
        <w:tc>
          <w:tcPr>
            <w:tcW w:w="0" w:type="auto"/>
            <w:shd w:val="clear" w:color="auto" w:fill="CCEEFF"/>
            <w:vAlign w:val="bottom"/>
            <w:hideMark/>
          </w:tcPr>
          <w:p w:rsidR="00000000" w:rsidRDefault="005F676C">
            <w:pPr>
              <w:pStyle w:val="a3"/>
              <w:spacing w:before="0" w:beforeAutospacing="0" w:after="0" w:afterAutospacing="0"/>
              <w:rPr>
                <w:sz w:val="20"/>
                <w:szCs w:val="20"/>
              </w:rPr>
            </w:pPr>
            <w:r>
              <w:rPr>
                <w:sz w:val="20"/>
                <w:szCs w:val="20"/>
              </w:rPr>
              <w:t>Average Interest Rate</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3.28</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3.28</w:t>
            </w:r>
          </w:p>
        </w:tc>
        <w:tc>
          <w:tcPr>
            <w:tcW w:w="50" w:type="pct"/>
            <w:shd w:val="clear" w:color="auto" w:fill="CCEEFF"/>
            <w:vAlign w:val="bottom"/>
            <w:hideMark/>
          </w:tcPr>
          <w:p w:rsidR="00000000" w:rsidRDefault="005F676C">
            <w:pPr>
              <w:pStyle w:val="a3"/>
              <w:spacing w:before="0" w:beforeAutospacing="0" w:after="0" w:afterAutospacing="0"/>
              <w:rPr>
                <w:sz w:val="20"/>
                <w:szCs w:val="20"/>
              </w:rPr>
            </w:pPr>
            <w:r>
              <w:rPr>
                <w:sz w:val="20"/>
                <w:szCs w:val="20"/>
              </w:rPr>
              <w:t>%</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bl>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Based on the Company’</w:t>
      </w:r>
      <w:r>
        <w:rPr>
          <w:sz w:val="20"/>
          <w:szCs w:val="20"/>
        </w:rPr>
        <w:t>s variable-rate debt balances, interest expense would have increased by $1.9 million for the nine months ended September 30, 2019 if short-term interest rates were 1.0% higher.</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b/>
          <w:bCs/>
          <w:sz w:val="20"/>
          <w:szCs w:val="20"/>
        </w:rPr>
        <w:t>Item 4.  Controls and Procedures.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Company’s</w:t>
      </w:r>
      <w:r>
        <w:rPr>
          <w:sz w:val="20"/>
          <w:szCs w:val="20"/>
        </w:rPr>
        <w:t xml:space="preserve"> management, with the participation of the Company’s Chief Executive Officer and Chief Financial Officer, has evaluated the effectiveness of the Company’s disclosure controls and procedures (as such term is defined in Rules 13a-15(e) and 15d-15(e) under th</w:t>
      </w:r>
      <w:r>
        <w:rPr>
          <w:sz w:val="20"/>
          <w:szCs w:val="20"/>
        </w:rPr>
        <w:t>e Securities Exchange Act of 1934, as amended (the “Exchange Act”)) as of the end of the period covered by this report. Based on such evaluation, the Company’s Chief Executive Officer and Chief Financial Officer have concluded that, as of the end of such p</w:t>
      </w:r>
      <w:r>
        <w:rPr>
          <w:sz w:val="20"/>
          <w:szCs w:val="20"/>
        </w:rPr>
        <w:t>eriod, the Company’s disclosure controls and procedures are effective.</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In July 2019, the Company implemented a new operating and accounting software system and accordingly has updated its internal control over financial reporting, as necessary, to accomm</w:t>
      </w:r>
      <w:r>
        <w:rPr>
          <w:sz w:val="20"/>
          <w:szCs w:val="20"/>
        </w:rPr>
        <w:t>odate modifications to its business processes related to the implementation of the new system. </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Other than as noted above, there have not been any changes in the Company’s internal control over financial reporting during the fiscal quarter to which this </w:t>
      </w:r>
      <w:r>
        <w:rPr>
          <w:sz w:val="20"/>
          <w:szCs w:val="20"/>
        </w:rPr>
        <w:t>report relates that have materially affected, or are reasonably likely to materially affect, the Company’s internal control over financial reporting.</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jc w:val="center"/>
        <w:divId w:val="2014530491"/>
        <w:rPr>
          <w:rFonts w:eastAsia="Times New Roman"/>
          <w:sz w:val="20"/>
          <w:szCs w:val="20"/>
        </w:rPr>
      </w:pPr>
      <w:r>
        <w:rPr>
          <w:rFonts w:eastAsia="Times New Roman"/>
          <w:sz w:val="20"/>
          <w:szCs w:val="20"/>
        </w:rPr>
        <w:t xml:space="preserve">36 </w:t>
      </w:r>
    </w:p>
    <w:p w:rsidR="00000000" w:rsidRDefault="005F676C">
      <w:pPr>
        <w:divId w:val="2014530491"/>
        <w:rPr>
          <w:rFonts w:eastAsia="Times New Roman"/>
          <w:sz w:val="20"/>
          <w:szCs w:val="20"/>
        </w:rPr>
      </w:pPr>
      <w:r>
        <w:rPr>
          <w:rFonts w:eastAsia="Times New Roman"/>
          <w:sz w:val="20"/>
          <w:szCs w:val="20"/>
        </w:rPr>
        <w:pict>
          <v:rect id="_x0000_i1064" style="width:0;height:1.5pt" o:hralign="center" o:hrstd="t" o:hr="t" fillcolor="#a0a0a0" stroked="f"/>
        </w:pict>
      </w:r>
    </w:p>
    <w:p w:rsidR="00000000" w:rsidRDefault="005F676C">
      <w:pPr>
        <w:divId w:val="2014530491"/>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b/>
          <w:bCs/>
          <w:sz w:val="20"/>
          <w:szCs w:val="20"/>
        </w:rPr>
        <w:t>PART II</w:t>
      </w:r>
    </w:p>
    <w:p w:rsidR="00000000" w:rsidRDefault="005F676C">
      <w:pPr>
        <w:pStyle w:val="a3"/>
        <w:spacing w:before="0" w:beforeAutospacing="0" w:after="0" w:afterAutospacing="0"/>
        <w:jc w:val="center"/>
        <w:rPr>
          <w:sz w:val="20"/>
          <w:szCs w:val="20"/>
        </w:rPr>
      </w:pPr>
      <w:r>
        <w:rPr>
          <w:b/>
          <w:bCs/>
          <w:sz w:val="20"/>
          <w:szCs w:val="20"/>
        </w:rPr>
        <w:t>OTHER INFORMATION</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b/>
          <w:bCs/>
          <w:sz w:val="20"/>
          <w:szCs w:val="20"/>
        </w:rPr>
        <w:t>Item 1.  Legal Proceedings.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following information supplements and amends our discussion set forth under Part I, Item 3 "Legal Proceedings" in our Annual Report on Form 10-K for the f</w:t>
      </w:r>
      <w:r>
        <w:rPr>
          <w:sz w:val="20"/>
          <w:szCs w:val="20"/>
        </w:rPr>
        <w:t>iscal year ended December 31, 2018.</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 Company is not presently involved in any litigation nor, to its knowledge, is any litigation threatened against the Company or its subsidiaries that, in management's opinion, would result in any material adverse ef</w:t>
      </w:r>
      <w:r>
        <w:rPr>
          <w:sz w:val="20"/>
          <w:szCs w:val="20"/>
        </w:rPr>
        <w:t>fect on the Company's ownership, management or operation of its properties taken as a whole, or which is not covered by the Company's liability insurance.</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b/>
          <w:bCs/>
          <w:sz w:val="20"/>
          <w:szCs w:val="20"/>
        </w:rPr>
        <w:t>Item 1A.  Risk Factors.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There are no material changes from risk factors as previously disclosed in Part I, Item 1A of our Annual Report on Form 10-K for the year ended December 31, 2018.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b/>
          <w:bCs/>
          <w:sz w:val="20"/>
          <w:szCs w:val="20"/>
        </w:rPr>
        <w:t>Item 2. Unregistered Sales of Equity Securities and Use of Pr</w:t>
      </w:r>
      <w:r>
        <w:rPr>
          <w:b/>
          <w:bCs/>
          <w:sz w:val="20"/>
          <w:szCs w:val="20"/>
        </w:rPr>
        <w:t>oceeds.</w:t>
      </w:r>
    </w:p>
    <w:p w:rsidR="00000000" w:rsidRDefault="005F676C">
      <w:pPr>
        <w:pStyle w:val="a3"/>
        <w:spacing w:before="0" w:beforeAutospacing="0" w:after="0" w:afterAutospacing="0"/>
        <w:ind w:firstLine="72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u w:val="single"/>
        </w:rPr>
        <w:t>Issuer Purchases of Equity Securities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During the nine months ended September 30, 2019, the Company repurchased 220,130 shares for an aggregate purchase price of $3.9 million (weighted average price of $17.71 per share) in connection with common</w:t>
      </w:r>
      <w:r>
        <w:rPr>
          <w:sz w:val="20"/>
          <w:szCs w:val="20"/>
        </w:rPr>
        <w:t xml:space="preserve"> shares surrendered or deemed surrendered to the Company to satisfy statutory minimum tax withholding obligations in connection with the vesting of restricted stock awards under the Company’s equity-based compensation plans.</w:t>
      </w:r>
    </w:p>
    <w:p w:rsidR="00000000" w:rsidRDefault="005F676C">
      <w:pPr>
        <w:pStyle w:val="a3"/>
        <w:spacing w:before="0" w:beforeAutospacing="0" w:after="0" w:afterAutospacing="0"/>
        <w:ind w:firstLine="36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 xml:space="preserve">In addition, during February </w:t>
      </w:r>
      <w:r>
        <w:rPr>
          <w:sz w:val="20"/>
          <w:szCs w:val="20"/>
        </w:rPr>
        <w:t>2018, the Company’s Board of Directors authorized a share repurchase program, which is effective for a term of two years, pursuant to which the Company may repurchase shares of its common stock, par value $0.01 per share, with an aggregate gross purchase p</w:t>
      </w:r>
      <w:r>
        <w:rPr>
          <w:sz w:val="20"/>
          <w:szCs w:val="20"/>
        </w:rPr>
        <w:t>rice of up to $300.0 million. The Company did not repurchase any shares under the share repurchase program during the nine months ended September 30, 2019. As of September 30, 2019, the Company had $224.9 million available under this common share repurchas</w:t>
      </w:r>
      <w:r>
        <w:rPr>
          <w:sz w:val="20"/>
          <w:szCs w:val="20"/>
        </w:rPr>
        <w:t>e program.</w:t>
      </w:r>
    </w:p>
    <w:p w:rsidR="00000000" w:rsidRDefault="005F676C">
      <w:pPr>
        <w:pStyle w:val="a3"/>
        <w:spacing w:before="0" w:beforeAutospacing="0" w:after="0" w:afterAutospacing="0"/>
        <w:ind w:firstLine="36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2821"/>
        <w:gridCol w:w="80"/>
        <w:gridCol w:w="80"/>
        <w:gridCol w:w="994"/>
        <w:gridCol w:w="80"/>
        <w:gridCol w:w="80"/>
        <w:gridCol w:w="101"/>
        <w:gridCol w:w="995"/>
        <w:gridCol w:w="81"/>
        <w:gridCol w:w="81"/>
        <w:gridCol w:w="81"/>
        <w:gridCol w:w="1161"/>
        <w:gridCol w:w="81"/>
        <w:gridCol w:w="81"/>
        <w:gridCol w:w="101"/>
        <w:gridCol w:w="1327"/>
        <w:gridCol w:w="81"/>
      </w:tblGrid>
      <w:tr w:rsidR="00000000">
        <w:trPr>
          <w:tblCellSpacing w:w="0" w:type="dxa"/>
        </w:trPr>
        <w:tc>
          <w:tcPr>
            <w:tcW w:w="1700" w:type="pct"/>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Period</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Total Number</w:t>
            </w:r>
          </w:p>
          <w:p w:rsidR="00000000" w:rsidRDefault="005F676C">
            <w:pPr>
              <w:pStyle w:val="a3"/>
              <w:spacing w:before="0" w:beforeAutospacing="0" w:after="0" w:afterAutospacing="0"/>
              <w:jc w:val="center"/>
              <w:rPr>
                <w:sz w:val="20"/>
                <w:szCs w:val="20"/>
              </w:rPr>
            </w:pPr>
            <w:r>
              <w:rPr>
                <w:b/>
                <w:bCs/>
                <w:sz w:val="20"/>
                <w:szCs w:val="20"/>
              </w:rPr>
              <w:t xml:space="preserve">of Shares </w:t>
            </w:r>
          </w:p>
          <w:p w:rsidR="00000000" w:rsidRDefault="005F676C">
            <w:pPr>
              <w:pStyle w:val="a3"/>
              <w:spacing w:before="0" w:beforeAutospacing="0" w:after="0" w:afterAutospacing="0"/>
              <w:jc w:val="center"/>
              <w:rPr>
                <w:sz w:val="20"/>
                <w:szCs w:val="20"/>
              </w:rPr>
            </w:pPr>
            <w:r>
              <w:rPr>
                <w:b/>
                <w:bCs/>
                <w:sz w:val="20"/>
                <w:szCs w:val="20"/>
              </w:rPr>
              <w:t>Purchased</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Average</w:t>
            </w:r>
          </w:p>
          <w:p w:rsidR="00000000" w:rsidRDefault="005F676C">
            <w:pPr>
              <w:pStyle w:val="a3"/>
              <w:spacing w:before="0" w:beforeAutospacing="0" w:after="0" w:afterAutospacing="0"/>
              <w:jc w:val="center"/>
              <w:rPr>
                <w:sz w:val="20"/>
                <w:szCs w:val="20"/>
              </w:rPr>
            </w:pPr>
            <w:r>
              <w:rPr>
                <w:b/>
                <w:bCs/>
                <w:sz w:val="20"/>
                <w:szCs w:val="20"/>
              </w:rPr>
              <w:t>Price Paid</w:t>
            </w:r>
          </w:p>
          <w:p w:rsidR="00000000" w:rsidRDefault="005F676C">
            <w:pPr>
              <w:pStyle w:val="a3"/>
              <w:spacing w:before="0" w:beforeAutospacing="0" w:after="0" w:afterAutospacing="0"/>
              <w:jc w:val="center"/>
              <w:rPr>
                <w:sz w:val="20"/>
                <w:szCs w:val="20"/>
              </w:rPr>
            </w:pPr>
            <w:r>
              <w:rPr>
                <w:b/>
                <w:bCs/>
                <w:sz w:val="20"/>
                <w:szCs w:val="20"/>
              </w:rPr>
              <w:t>per Share</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Total Number of</w:t>
            </w:r>
          </w:p>
          <w:p w:rsidR="00000000" w:rsidRDefault="005F676C">
            <w:pPr>
              <w:pStyle w:val="a3"/>
              <w:spacing w:before="0" w:beforeAutospacing="0" w:after="0" w:afterAutospacing="0"/>
              <w:jc w:val="center"/>
              <w:rPr>
                <w:sz w:val="20"/>
                <w:szCs w:val="20"/>
              </w:rPr>
            </w:pPr>
            <w:r>
              <w:rPr>
                <w:b/>
                <w:bCs/>
                <w:sz w:val="20"/>
                <w:szCs w:val="20"/>
              </w:rPr>
              <w:t>Shares Purchased</w:t>
            </w:r>
          </w:p>
          <w:p w:rsidR="00000000" w:rsidRDefault="005F676C">
            <w:pPr>
              <w:pStyle w:val="a3"/>
              <w:spacing w:before="0" w:beforeAutospacing="0" w:after="0" w:afterAutospacing="0"/>
              <w:jc w:val="center"/>
              <w:rPr>
                <w:sz w:val="20"/>
                <w:szCs w:val="20"/>
              </w:rPr>
            </w:pPr>
            <w:r>
              <w:rPr>
                <w:b/>
                <w:bCs/>
                <w:sz w:val="20"/>
                <w:szCs w:val="20"/>
              </w:rPr>
              <w:t>as Part of Publicly</w:t>
            </w:r>
          </w:p>
          <w:p w:rsidR="00000000" w:rsidRDefault="005F676C">
            <w:pPr>
              <w:pStyle w:val="a3"/>
              <w:spacing w:before="0" w:beforeAutospacing="0" w:after="0" w:afterAutospacing="0"/>
              <w:jc w:val="center"/>
              <w:rPr>
                <w:sz w:val="20"/>
                <w:szCs w:val="20"/>
              </w:rPr>
            </w:pPr>
            <w:r>
              <w:rPr>
                <w:b/>
                <w:bCs/>
                <w:sz w:val="20"/>
                <w:szCs w:val="20"/>
              </w:rPr>
              <w:t>Announced Plans</w:t>
            </w:r>
          </w:p>
          <w:p w:rsidR="00000000" w:rsidRDefault="005F676C">
            <w:pPr>
              <w:pStyle w:val="a3"/>
              <w:spacing w:before="0" w:beforeAutospacing="0" w:after="0" w:afterAutospacing="0"/>
              <w:jc w:val="center"/>
              <w:rPr>
                <w:sz w:val="20"/>
                <w:szCs w:val="20"/>
              </w:rPr>
            </w:pPr>
            <w:r>
              <w:rPr>
                <w:b/>
                <w:bCs/>
                <w:sz w:val="20"/>
                <w:szCs w:val="20"/>
              </w:rPr>
              <w:t>or Programs</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vAlign w:val="bottom"/>
            <w:hideMark/>
          </w:tcPr>
          <w:p w:rsidR="00000000" w:rsidRDefault="005F676C">
            <w:pPr>
              <w:rPr>
                <w:rFonts w:eastAsia="Times New Roman"/>
                <w:sz w:val="20"/>
                <w:szCs w:val="20"/>
              </w:rPr>
            </w:pPr>
            <w:r>
              <w:rPr>
                <w:rFonts w:eastAsia="Times New Roman"/>
                <w:sz w:val="20"/>
                <w:szCs w:val="20"/>
              </w:rPr>
              <w:t> </w:t>
            </w:r>
          </w:p>
        </w:tc>
        <w:tc>
          <w:tcPr>
            <w:tcW w:w="50" w:type="pct"/>
            <w:gridSpan w:val="2"/>
            <w:tcBorders>
              <w:bottom w:val="single" w:sz="6" w:space="0" w:color="000000"/>
            </w:tcBorders>
            <w:vAlign w:val="bottom"/>
            <w:hideMark/>
          </w:tcPr>
          <w:p w:rsidR="00000000" w:rsidRDefault="005F676C">
            <w:pPr>
              <w:pStyle w:val="a3"/>
              <w:spacing w:before="0" w:beforeAutospacing="0" w:after="0" w:afterAutospacing="0"/>
              <w:jc w:val="center"/>
              <w:rPr>
                <w:sz w:val="20"/>
                <w:szCs w:val="20"/>
              </w:rPr>
            </w:pPr>
            <w:r>
              <w:rPr>
                <w:b/>
                <w:bCs/>
                <w:sz w:val="20"/>
                <w:szCs w:val="20"/>
              </w:rPr>
              <w:t>Approximate Dollar</w:t>
            </w:r>
          </w:p>
          <w:p w:rsidR="00000000" w:rsidRDefault="005F676C">
            <w:pPr>
              <w:pStyle w:val="a3"/>
              <w:spacing w:before="0" w:beforeAutospacing="0" w:after="0" w:afterAutospacing="0"/>
              <w:jc w:val="center"/>
              <w:rPr>
                <w:sz w:val="20"/>
                <w:szCs w:val="20"/>
              </w:rPr>
            </w:pPr>
            <w:r>
              <w:rPr>
                <w:b/>
                <w:bCs/>
                <w:sz w:val="20"/>
                <w:szCs w:val="20"/>
              </w:rPr>
              <w:t>Value of Shares that May</w:t>
            </w:r>
          </w:p>
          <w:p w:rsidR="00000000" w:rsidRDefault="005F676C">
            <w:pPr>
              <w:pStyle w:val="a3"/>
              <w:spacing w:before="0" w:beforeAutospacing="0" w:after="0" w:afterAutospacing="0"/>
              <w:jc w:val="center"/>
              <w:rPr>
                <w:sz w:val="20"/>
                <w:szCs w:val="20"/>
              </w:rPr>
            </w:pPr>
            <w:r>
              <w:rPr>
                <w:b/>
                <w:bCs/>
                <w:sz w:val="20"/>
                <w:szCs w:val="20"/>
              </w:rPr>
              <w:t xml:space="preserve">Yet Be </w:t>
            </w:r>
            <w:r>
              <w:rPr>
                <w:b/>
                <w:bCs/>
                <w:sz w:val="20"/>
                <w:szCs w:val="20"/>
              </w:rPr>
              <w:t>Purchased Under</w:t>
            </w:r>
          </w:p>
          <w:p w:rsidR="00000000" w:rsidRDefault="005F676C">
            <w:pPr>
              <w:pStyle w:val="a3"/>
              <w:spacing w:before="0" w:beforeAutospacing="0" w:after="0" w:afterAutospacing="0"/>
              <w:jc w:val="center"/>
              <w:rPr>
                <w:sz w:val="20"/>
                <w:szCs w:val="20"/>
              </w:rPr>
            </w:pPr>
            <w:r>
              <w:rPr>
                <w:b/>
                <w:bCs/>
                <w:sz w:val="20"/>
                <w:szCs w:val="20"/>
              </w:rPr>
              <w:t>the Plans or Programs</w:t>
            </w:r>
          </w:p>
          <w:p w:rsidR="00000000" w:rsidRDefault="005F676C">
            <w:pPr>
              <w:pStyle w:val="a3"/>
              <w:spacing w:before="0" w:beforeAutospacing="0" w:after="0" w:afterAutospacing="0"/>
              <w:jc w:val="center"/>
              <w:rPr>
                <w:sz w:val="20"/>
                <w:szCs w:val="20"/>
              </w:rPr>
            </w:pPr>
            <w:r>
              <w:rPr>
                <w:b/>
                <w:bCs/>
                <w:sz w:val="20"/>
                <w:szCs w:val="20"/>
              </w:rPr>
              <w:t>(in millions)</w:t>
            </w:r>
          </w:p>
        </w:tc>
        <w:tc>
          <w:tcPr>
            <w:tcW w:w="50" w:type="pct"/>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January 1, 2019 – January 31, 2019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9,931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14.62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February 1, 2019 – February 28, 2019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171,591</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17.73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 xml:space="preserve">March 1, 2019 – </w:t>
            </w:r>
            <w:r>
              <w:rPr>
                <w:sz w:val="20"/>
                <w:szCs w:val="20"/>
              </w:rPr>
              <w:t>March 31, 2019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2,939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17.61</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April 1, 2019 – April 30, 2019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2,238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18.08</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May 1, 2019 – May 31, 2019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17,334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18.09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June 1, 2019 – June 30, 2019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2,402</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18.73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July 1, 2019 – July 31, 2019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3,222</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18.44</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FFFFFF"/>
            <w:vAlign w:val="bottom"/>
            <w:hideMark/>
          </w:tcPr>
          <w:p w:rsidR="00000000" w:rsidRDefault="005F676C">
            <w:pPr>
              <w:pStyle w:val="a3"/>
              <w:spacing w:before="0" w:beforeAutospacing="0" w:after="0" w:afterAutospacing="0"/>
              <w:jc w:val="center"/>
              <w:rPr>
                <w:sz w:val="20"/>
                <w:szCs w:val="20"/>
              </w:rPr>
            </w:pPr>
            <w:r>
              <w:rPr>
                <w:sz w:val="20"/>
                <w:szCs w:val="20"/>
              </w:rPr>
              <w:t>August 1, 2019 – August 31, 2019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10,473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6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19.03</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sz w:val="20"/>
                <w:szCs w:val="20"/>
              </w:rPr>
              <w:t>224.9</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CCEEFF"/>
            <w:vAlign w:val="bottom"/>
            <w:hideMark/>
          </w:tcPr>
          <w:p w:rsidR="00000000" w:rsidRDefault="005F676C">
            <w:pPr>
              <w:pStyle w:val="a3"/>
              <w:spacing w:before="0" w:beforeAutospacing="0" w:after="0" w:afterAutospacing="0"/>
              <w:jc w:val="center"/>
              <w:rPr>
                <w:sz w:val="20"/>
                <w:szCs w:val="20"/>
              </w:rPr>
            </w:pPr>
            <w:r>
              <w:rPr>
                <w:sz w:val="20"/>
                <w:szCs w:val="20"/>
              </w:rPr>
              <w:t>September 1, 2019 – September 30, 2019</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6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single" w:sz="6" w:space="0" w:color="000000"/>
            </w:tcBorders>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700" w:type="pct"/>
            <w:tcBorders>
              <w:bottom w:val="single" w:sz="6" w:space="0" w:color="000000"/>
            </w:tcBorders>
            <w:shd w:val="clear" w:color="auto" w:fill="CCEEFF"/>
            <w:vAlign w:val="bottom"/>
            <w:hideMark/>
          </w:tcPr>
          <w:p w:rsidR="00000000" w:rsidRDefault="005F676C">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1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c>
          <w:tcPr>
            <w:tcW w:w="800" w:type="pct"/>
            <w:shd w:val="clear" w:color="auto" w:fill="CCEEFF"/>
            <w:vAlign w:val="bottom"/>
            <w:hideMark/>
          </w:tcPr>
          <w:p w:rsidR="00000000" w:rsidRDefault="005F676C">
            <w:pPr>
              <w:jc w:val="right"/>
              <w:rPr>
                <w:rFonts w:eastAsia="Times New Roman"/>
                <w:sz w:val="20"/>
                <w:szCs w:val="20"/>
              </w:rPr>
            </w:pPr>
            <w:r>
              <w:rPr>
                <w:rFonts w:eastAsia="Times New Roman"/>
                <w:sz w:val="20"/>
                <w:szCs w:val="20"/>
              </w:rPr>
              <w:t>224.9</w:t>
            </w:r>
          </w:p>
        </w:tc>
        <w:tc>
          <w:tcPr>
            <w:tcW w:w="50" w:type="pct"/>
            <w:shd w:val="clear" w:color="auto" w:fill="CCEEFF"/>
            <w:vAlign w:val="bottom"/>
            <w:hideMark/>
          </w:tcPr>
          <w:p w:rsidR="00000000" w:rsidRDefault="005F676C">
            <w:pPr>
              <w:rPr>
                <w:rFonts w:eastAsia="Times New Roman"/>
                <w:sz w:val="20"/>
                <w:szCs w:val="20"/>
              </w:rPr>
            </w:pPr>
            <w:r>
              <w:rPr>
                <w:rFonts w:eastAsia="Times New Roman"/>
                <w:sz w:val="20"/>
                <w:szCs w:val="20"/>
              </w:rPr>
              <w:t> </w:t>
            </w:r>
          </w:p>
        </w:tc>
      </w:tr>
      <w:tr w:rsidR="00000000">
        <w:trPr>
          <w:tblCellSpacing w:w="0" w:type="dxa"/>
        </w:trPr>
        <w:tc>
          <w:tcPr>
            <w:tcW w:w="1700" w:type="pct"/>
            <w:shd w:val="clear" w:color="auto" w:fill="FFFFFF"/>
            <w:vAlign w:val="bottom"/>
            <w:hideMark/>
          </w:tcPr>
          <w:p w:rsidR="00000000" w:rsidRDefault="005F676C">
            <w:pPr>
              <w:pStyle w:val="a3"/>
              <w:spacing w:before="0" w:beforeAutospacing="0" w:after="0" w:afterAutospacing="0"/>
              <w:jc w:val="center"/>
              <w:rPr>
                <w:sz w:val="20"/>
                <w:szCs w:val="20"/>
              </w:rPr>
            </w:pPr>
            <w:r>
              <w:rPr>
                <w:b/>
                <w:bCs/>
                <w:sz w:val="20"/>
                <w:szCs w:val="20"/>
              </w:rPr>
              <w:t>Total</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6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220,130</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w:t>
            </w:r>
          </w:p>
        </w:tc>
        <w:tc>
          <w:tcPr>
            <w:tcW w:w="6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17.71</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700" w:type="pct"/>
            <w:tcBorders>
              <w:bottom w:val="double" w:sz="6" w:space="0" w:color="000000"/>
            </w:tcBorders>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w:t>
            </w:r>
          </w:p>
        </w:tc>
        <w:tc>
          <w:tcPr>
            <w:tcW w:w="50" w:type="pct"/>
            <w:shd w:val="clear" w:color="auto" w:fill="FFFFFF"/>
            <w:tcMar>
              <w:top w:w="0" w:type="dxa"/>
              <w:left w:w="0" w:type="dxa"/>
              <w:bottom w:w="45" w:type="dxa"/>
              <w:right w:w="0" w:type="dxa"/>
            </w:tcMar>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c>
          <w:tcPr>
            <w:tcW w:w="800" w:type="pct"/>
            <w:shd w:val="clear" w:color="auto" w:fill="FFFFFF"/>
            <w:vAlign w:val="bottom"/>
            <w:hideMark/>
          </w:tcPr>
          <w:p w:rsidR="00000000" w:rsidRDefault="005F676C">
            <w:pPr>
              <w:jc w:val="right"/>
              <w:rPr>
                <w:rFonts w:eastAsia="Times New Roman"/>
                <w:sz w:val="20"/>
                <w:szCs w:val="20"/>
              </w:rPr>
            </w:pPr>
            <w:r>
              <w:rPr>
                <w:rFonts w:eastAsia="Times New Roman"/>
                <w:b/>
                <w:bCs/>
                <w:sz w:val="20"/>
                <w:szCs w:val="20"/>
              </w:rPr>
              <w:t> </w:t>
            </w:r>
          </w:p>
        </w:tc>
        <w:tc>
          <w:tcPr>
            <w:tcW w:w="50" w:type="pct"/>
            <w:shd w:val="clear" w:color="auto" w:fill="FFFFFF"/>
            <w:vAlign w:val="bottom"/>
            <w:hideMark/>
          </w:tcPr>
          <w:p w:rsidR="00000000" w:rsidRDefault="005F676C">
            <w:pPr>
              <w:rPr>
                <w:rFonts w:eastAsia="Times New Roman"/>
                <w:sz w:val="20"/>
                <w:szCs w:val="20"/>
              </w:rPr>
            </w:pPr>
            <w:r>
              <w:rPr>
                <w:rFonts w:eastAsia="Times New Roman"/>
                <w:b/>
                <w:bCs/>
                <w:sz w:val="20"/>
                <w:szCs w:val="20"/>
              </w:rPr>
              <w:t> </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b/>
          <w:bCs/>
          <w:sz w:val="20"/>
          <w:szCs w:val="20"/>
        </w:rPr>
        <w:t>Item 3.  Defaults Upon Senior Securities.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None.</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b/>
          <w:bCs/>
          <w:sz w:val="20"/>
          <w:szCs w:val="20"/>
        </w:rPr>
        <w:t>Item 4.  Mine Safety Disclosures.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Not applicable.</w:t>
      </w:r>
    </w:p>
    <w:p w:rsidR="00000000" w:rsidRDefault="005F676C">
      <w:pPr>
        <w:pStyle w:val="a3"/>
        <w:spacing w:before="0" w:beforeAutospacing="0" w:after="0" w:afterAutospacing="0"/>
        <w:rPr>
          <w:sz w:val="20"/>
          <w:szCs w:val="20"/>
        </w:rPr>
      </w:pPr>
      <w:r>
        <w:rPr>
          <w:sz w:val="20"/>
          <w:szCs w:val="20"/>
        </w:rPr>
        <w:t> </w:t>
      </w:r>
    </w:p>
    <w:p w:rsidR="00000000" w:rsidRDefault="005F676C">
      <w:pPr>
        <w:jc w:val="center"/>
        <w:divId w:val="1953197579"/>
        <w:rPr>
          <w:rFonts w:eastAsia="Times New Roman"/>
          <w:sz w:val="20"/>
          <w:szCs w:val="20"/>
        </w:rPr>
      </w:pPr>
      <w:r>
        <w:rPr>
          <w:rFonts w:eastAsia="Times New Roman"/>
          <w:sz w:val="20"/>
          <w:szCs w:val="20"/>
        </w:rPr>
        <w:t xml:space="preserve">37 </w:t>
      </w:r>
    </w:p>
    <w:p w:rsidR="00000000" w:rsidRDefault="005F676C">
      <w:pPr>
        <w:divId w:val="1953197579"/>
        <w:rPr>
          <w:rFonts w:eastAsia="Times New Roman"/>
          <w:sz w:val="20"/>
          <w:szCs w:val="20"/>
        </w:rPr>
      </w:pPr>
      <w:r>
        <w:rPr>
          <w:rFonts w:eastAsia="Times New Roman"/>
          <w:sz w:val="20"/>
          <w:szCs w:val="20"/>
        </w:rPr>
        <w:pict>
          <v:rect id="_x0000_i1065" style="width:0;height:1.5pt" o:hralign="center" o:hrstd="t" o:hr="t" fillcolor="#a0a0a0" stroked="f"/>
        </w:pict>
      </w:r>
    </w:p>
    <w:p w:rsidR="00000000" w:rsidRDefault="005F676C">
      <w:pPr>
        <w:divId w:val="1953197579"/>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b/>
          <w:bCs/>
          <w:sz w:val="20"/>
          <w:szCs w:val="20"/>
        </w:rPr>
        <w:t>Item 5.  Other Information.</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None.</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b/>
          <w:bCs/>
          <w:sz w:val="20"/>
          <w:szCs w:val="20"/>
        </w:rPr>
        <w:t>Item 6.  Exhibits.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Exhibits –</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4.1 </w:t>
      </w:r>
      <w:r>
        <w:rPr>
          <w:sz w:val="20"/>
          <w:szCs w:val="20"/>
        </w:rPr>
        <w:t>Agreement to File Instruments</w:t>
      </w:r>
    </w:p>
    <w:p w:rsidR="00000000" w:rsidRDefault="005F676C">
      <w:pPr>
        <w:pStyle w:val="a3"/>
        <w:spacing w:before="0" w:beforeAutospacing="0" w:after="0" w:afterAutospacing="0"/>
        <w:jc w:val="both"/>
        <w:rPr>
          <w:sz w:val="20"/>
          <w:szCs w:val="20"/>
        </w:rPr>
      </w:pPr>
      <w:r>
        <w:rPr>
          <w:sz w:val="20"/>
          <w:szCs w:val="20"/>
        </w:rPr>
        <w:t> </w:t>
      </w:r>
    </w:p>
    <w:p w:rsidR="00000000" w:rsidRDefault="005F676C">
      <w:pPr>
        <w:pStyle w:val="a3"/>
        <w:spacing w:before="0" w:beforeAutospacing="0" w:after="0" w:afterAutospacing="0"/>
        <w:ind w:firstLine="360"/>
        <w:jc w:val="both"/>
        <w:rPr>
          <w:sz w:val="20"/>
          <w:szCs w:val="20"/>
        </w:rPr>
      </w:pPr>
      <w:r>
        <w:rPr>
          <w:sz w:val="20"/>
          <w:szCs w:val="20"/>
        </w:rPr>
        <w:t>Kimco Realty Corporation (the “Registrant”) hereby agrees to file with the Securities and Exchange Commission, upon request of the Commission, all instruments defining the rights of holders of long-term debt of the Registran</w:t>
      </w:r>
      <w:r>
        <w:rPr>
          <w:sz w:val="20"/>
          <w:szCs w:val="20"/>
        </w:rPr>
        <w:t>t and its consolidated subsidiaries, and for any of its unconsolidated subsidiaries for which financial statements are required to be filed, and for which the total amount of securities authorized thereunder does not exceed 10 percent of the total assets o</w:t>
      </w:r>
      <w:r>
        <w:rPr>
          <w:sz w:val="20"/>
          <w:szCs w:val="20"/>
        </w:rPr>
        <w:t>f the Registrant and its subsidiaries on a consolidated basis.</w:t>
      </w:r>
    </w:p>
    <w:p w:rsidR="00000000" w:rsidRDefault="005F676C">
      <w:pPr>
        <w:pStyle w:val="a3"/>
        <w:spacing w:before="0" w:beforeAutospacing="0" w:after="0" w:afterAutospacing="0"/>
        <w:ind w:firstLine="360"/>
        <w:jc w:val="both"/>
        <w:rPr>
          <w:sz w:val="20"/>
          <w:szCs w:val="20"/>
        </w:rPr>
      </w:pPr>
      <w:r>
        <w:rPr>
          <w:sz w:val="20"/>
          <w:szCs w:val="20"/>
        </w:rPr>
        <w:t> </w:t>
      </w:r>
    </w:p>
    <w:tbl>
      <w:tblPr>
        <w:tblW w:w="4750" w:type="pct"/>
        <w:tblCellSpacing w:w="0" w:type="dxa"/>
        <w:tblInd w:w="360" w:type="dxa"/>
        <w:tblCellMar>
          <w:left w:w="0" w:type="dxa"/>
          <w:right w:w="0" w:type="dxa"/>
        </w:tblCellMar>
        <w:tblLook w:val="04A0" w:firstRow="1" w:lastRow="0" w:firstColumn="1" w:lastColumn="0" w:noHBand="0" w:noVBand="1"/>
      </w:tblPr>
      <w:tblGrid>
        <w:gridCol w:w="789"/>
        <w:gridCol w:w="79"/>
        <w:gridCol w:w="7023"/>
      </w:tblGrid>
      <w:tr w:rsidR="00000000">
        <w:trPr>
          <w:tblCellSpacing w:w="0" w:type="dxa"/>
        </w:trPr>
        <w:tc>
          <w:tcPr>
            <w:tcW w:w="500" w:type="pct"/>
            <w:hideMark/>
          </w:tcPr>
          <w:p w:rsidR="00000000" w:rsidRDefault="005F676C">
            <w:pPr>
              <w:pStyle w:val="a3"/>
              <w:spacing w:before="0" w:beforeAutospacing="0" w:after="0" w:afterAutospacing="0"/>
              <w:rPr>
                <w:sz w:val="20"/>
                <w:szCs w:val="20"/>
              </w:rPr>
            </w:pPr>
            <w:r>
              <w:rPr>
                <w:sz w:val="20"/>
                <w:szCs w:val="20"/>
              </w:rPr>
              <w:t>31.1</w:t>
            </w:r>
          </w:p>
        </w:tc>
        <w:tc>
          <w:tcPr>
            <w:tcW w:w="50" w:type="pct"/>
            <w:hideMark/>
          </w:tcPr>
          <w:p w:rsidR="00000000" w:rsidRDefault="005F676C">
            <w:pPr>
              <w:rPr>
                <w:rFonts w:eastAsia="Times New Roman"/>
                <w:sz w:val="20"/>
                <w:szCs w:val="20"/>
              </w:rPr>
            </w:pPr>
            <w:r>
              <w:rPr>
                <w:rFonts w:eastAsia="Times New Roman"/>
                <w:sz w:val="20"/>
                <w:szCs w:val="20"/>
              </w:rPr>
              <w:t> </w:t>
            </w:r>
          </w:p>
        </w:tc>
        <w:tc>
          <w:tcPr>
            <w:tcW w:w="4450" w:type="pct"/>
            <w:hideMark/>
          </w:tcPr>
          <w:p w:rsidR="00000000" w:rsidRDefault="005F676C">
            <w:pPr>
              <w:pStyle w:val="a3"/>
              <w:spacing w:before="0" w:beforeAutospacing="0" w:after="0" w:afterAutospacing="0"/>
              <w:rPr>
                <w:sz w:val="20"/>
                <w:szCs w:val="20"/>
              </w:rPr>
            </w:pPr>
            <w:hyperlink r:id="rId4" w:history="1">
              <w:r>
                <w:rPr>
                  <w:rStyle w:val="a4"/>
                  <w:sz w:val="20"/>
                  <w:szCs w:val="20"/>
                </w:rPr>
                <w:t>Certification of the Company’s Chief Executive Officer, Conor C. Flynn, pursuant to Section 302 of the Sarbanes-Oxley Act of 2002.</w:t>
              </w:r>
            </w:hyperlink>
          </w:p>
        </w:tc>
      </w:tr>
      <w:tr w:rsidR="00000000">
        <w:trPr>
          <w:tblCellSpacing w:w="0" w:type="dxa"/>
        </w:trPr>
        <w:tc>
          <w:tcPr>
            <w:tcW w:w="500" w:type="pct"/>
            <w:hideMark/>
          </w:tcPr>
          <w:p w:rsidR="00000000" w:rsidRDefault="005F676C">
            <w:pPr>
              <w:pStyle w:val="a3"/>
              <w:spacing w:before="0" w:beforeAutospacing="0" w:after="0" w:afterAutospacing="0"/>
              <w:rPr>
                <w:sz w:val="20"/>
                <w:szCs w:val="20"/>
              </w:rPr>
            </w:pPr>
            <w:r>
              <w:rPr>
                <w:sz w:val="20"/>
                <w:szCs w:val="20"/>
              </w:rPr>
              <w:t>31.2</w:t>
            </w:r>
          </w:p>
        </w:tc>
        <w:tc>
          <w:tcPr>
            <w:tcW w:w="50" w:type="pct"/>
            <w:hideMark/>
          </w:tcPr>
          <w:p w:rsidR="00000000" w:rsidRDefault="005F676C">
            <w:pPr>
              <w:rPr>
                <w:rFonts w:eastAsia="Times New Roman"/>
                <w:sz w:val="20"/>
                <w:szCs w:val="20"/>
              </w:rPr>
            </w:pPr>
            <w:r>
              <w:rPr>
                <w:rFonts w:eastAsia="Times New Roman"/>
                <w:sz w:val="20"/>
                <w:szCs w:val="20"/>
              </w:rPr>
              <w:t> </w:t>
            </w:r>
          </w:p>
        </w:tc>
        <w:tc>
          <w:tcPr>
            <w:tcW w:w="4450" w:type="pct"/>
            <w:hideMark/>
          </w:tcPr>
          <w:p w:rsidR="00000000" w:rsidRDefault="005F676C">
            <w:pPr>
              <w:pStyle w:val="a3"/>
              <w:spacing w:before="0" w:beforeAutospacing="0" w:after="0" w:afterAutospacing="0"/>
              <w:rPr>
                <w:sz w:val="20"/>
                <w:szCs w:val="20"/>
              </w:rPr>
            </w:pPr>
            <w:hyperlink r:id="rId5" w:history="1">
              <w:r>
                <w:rPr>
                  <w:rStyle w:val="a4"/>
                  <w:sz w:val="20"/>
                  <w:szCs w:val="20"/>
                </w:rPr>
                <w:t>Certification of the Company’s Chief Financial Officer, Glenn G. Cohen, pursuant to Section 302 of the Sarbanes-Oxley Act of 2002.</w:t>
              </w:r>
            </w:hyperlink>
          </w:p>
        </w:tc>
      </w:tr>
      <w:tr w:rsidR="00000000">
        <w:trPr>
          <w:tblCellSpacing w:w="0" w:type="dxa"/>
        </w:trPr>
        <w:tc>
          <w:tcPr>
            <w:tcW w:w="500" w:type="pct"/>
            <w:hideMark/>
          </w:tcPr>
          <w:p w:rsidR="00000000" w:rsidRDefault="005F676C">
            <w:pPr>
              <w:pStyle w:val="a3"/>
              <w:spacing w:before="0" w:beforeAutospacing="0" w:after="0" w:afterAutospacing="0"/>
              <w:rPr>
                <w:sz w:val="20"/>
                <w:szCs w:val="20"/>
              </w:rPr>
            </w:pPr>
            <w:r>
              <w:rPr>
                <w:sz w:val="20"/>
                <w:szCs w:val="20"/>
              </w:rPr>
              <w:t>32.1</w:t>
            </w:r>
          </w:p>
        </w:tc>
        <w:tc>
          <w:tcPr>
            <w:tcW w:w="50" w:type="pct"/>
            <w:hideMark/>
          </w:tcPr>
          <w:p w:rsidR="00000000" w:rsidRDefault="005F676C">
            <w:pPr>
              <w:rPr>
                <w:rFonts w:eastAsia="Times New Roman"/>
                <w:sz w:val="20"/>
                <w:szCs w:val="20"/>
              </w:rPr>
            </w:pPr>
            <w:r>
              <w:rPr>
                <w:rFonts w:eastAsia="Times New Roman"/>
                <w:sz w:val="20"/>
                <w:szCs w:val="20"/>
              </w:rPr>
              <w:t> </w:t>
            </w:r>
          </w:p>
        </w:tc>
        <w:tc>
          <w:tcPr>
            <w:tcW w:w="4450" w:type="pct"/>
            <w:hideMark/>
          </w:tcPr>
          <w:p w:rsidR="00000000" w:rsidRDefault="005F676C">
            <w:pPr>
              <w:pStyle w:val="a3"/>
              <w:spacing w:before="0" w:beforeAutospacing="0" w:after="0" w:afterAutospacing="0"/>
              <w:rPr>
                <w:sz w:val="20"/>
                <w:szCs w:val="20"/>
              </w:rPr>
            </w:pPr>
            <w:hyperlink r:id="rId6" w:history="1">
              <w:r>
                <w:rPr>
                  <w:rStyle w:val="a4"/>
                  <w:sz w:val="20"/>
                  <w:szCs w:val="20"/>
                </w:rPr>
                <w:t>Certification of the Company’s Chief Executive Officer, C</w:t>
              </w:r>
              <w:r>
                <w:rPr>
                  <w:rStyle w:val="a4"/>
                  <w:sz w:val="20"/>
                  <w:szCs w:val="20"/>
                </w:rPr>
                <w:t>onor C. Flynn, and the Company’s Chief Financial Officer, Glenn G. Cohen, pursuant to Section 906 of the Sarbanes-Oxley Act of 2002.</w:t>
              </w:r>
            </w:hyperlink>
          </w:p>
        </w:tc>
      </w:tr>
      <w:tr w:rsidR="00000000">
        <w:trPr>
          <w:tblCellSpacing w:w="0" w:type="dxa"/>
        </w:trPr>
        <w:tc>
          <w:tcPr>
            <w:tcW w:w="500" w:type="pct"/>
            <w:hideMark/>
          </w:tcPr>
          <w:p w:rsidR="00000000" w:rsidRDefault="005F676C">
            <w:pPr>
              <w:pStyle w:val="a3"/>
              <w:spacing w:before="0" w:beforeAutospacing="0" w:after="0" w:afterAutospacing="0"/>
              <w:rPr>
                <w:sz w:val="20"/>
                <w:szCs w:val="20"/>
              </w:rPr>
            </w:pPr>
            <w:r>
              <w:rPr>
                <w:sz w:val="20"/>
                <w:szCs w:val="20"/>
              </w:rPr>
              <w:t>101.INS</w:t>
            </w:r>
          </w:p>
        </w:tc>
        <w:tc>
          <w:tcPr>
            <w:tcW w:w="50" w:type="pct"/>
            <w:hideMark/>
          </w:tcPr>
          <w:p w:rsidR="00000000" w:rsidRDefault="005F676C">
            <w:pPr>
              <w:rPr>
                <w:rFonts w:eastAsia="Times New Roman"/>
                <w:sz w:val="20"/>
                <w:szCs w:val="20"/>
              </w:rPr>
            </w:pPr>
            <w:r>
              <w:rPr>
                <w:rFonts w:eastAsia="Times New Roman"/>
                <w:sz w:val="20"/>
                <w:szCs w:val="20"/>
              </w:rPr>
              <w:t> </w:t>
            </w:r>
          </w:p>
        </w:tc>
        <w:tc>
          <w:tcPr>
            <w:tcW w:w="4450" w:type="pct"/>
            <w:hideMark/>
          </w:tcPr>
          <w:p w:rsidR="00000000" w:rsidRDefault="005F676C">
            <w:pPr>
              <w:pStyle w:val="a3"/>
              <w:spacing w:before="0" w:beforeAutospacing="0" w:after="0" w:afterAutospacing="0"/>
              <w:rPr>
                <w:sz w:val="20"/>
                <w:szCs w:val="20"/>
              </w:rPr>
            </w:pPr>
            <w:r>
              <w:rPr>
                <w:sz w:val="20"/>
                <w:szCs w:val="20"/>
              </w:rPr>
              <w:t>XBRL Instance Document - the instance document does not appear in the Interactive Data File because its XBRL tag</w:t>
            </w:r>
            <w:r>
              <w:rPr>
                <w:sz w:val="20"/>
                <w:szCs w:val="20"/>
              </w:rPr>
              <w:t>s are embedded within the Inline XBRL document.</w:t>
            </w:r>
          </w:p>
        </w:tc>
      </w:tr>
      <w:tr w:rsidR="00000000">
        <w:trPr>
          <w:tblCellSpacing w:w="0" w:type="dxa"/>
        </w:trPr>
        <w:tc>
          <w:tcPr>
            <w:tcW w:w="500" w:type="pct"/>
            <w:hideMark/>
          </w:tcPr>
          <w:p w:rsidR="00000000" w:rsidRDefault="005F676C">
            <w:pPr>
              <w:pStyle w:val="a3"/>
              <w:spacing w:before="0" w:beforeAutospacing="0" w:after="0" w:afterAutospacing="0"/>
              <w:rPr>
                <w:sz w:val="20"/>
                <w:szCs w:val="20"/>
              </w:rPr>
            </w:pPr>
            <w:r>
              <w:rPr>
                <w:sz w:val="20"/>
                <w:szCs w:val="20"/>
              </w:rPr>
              <w:t>101.SCH</w:t>
            </w:r>
          </w:p>
        </w:tc>
        <w:tc>
          <w:tcPr>
            <w:tcW w:w="50" w:type="pct"/>
            <w:hideMark/>
          </w:tcPr>
          <w:p w:rsidR="00000000" w:rsidRDefault="005F676C">
            <w:pPr>
              <w:rPr>
                <w:rFonts w:eastAsia="Times New Roman"/>
                <w:sz w:val="20"/>
                <w:szCs w:val="20"/>
              </w:rPr>
            </w:pPr>
            <w:r>
              <w:rPr>
                <w:rFonts w:eastAsia="Times New Roman"/>
                <w:sz w:val="20"/>
                <w:szCs w:val="20"/>
              </w:rPr>
              <w:t> </w:t>
            </w:r>
          </w:p>
        </w:tc>
        <w:tc>
          <w:tcPr>
            <w:tcW w:w="4450" w:type="pct"/>
            <w:hideMark/>
          </w:tcPr>
          <w:p w:rsidR="00000000" w:rsidRDefault="005F676C">
            <w:pPr>
              <w:pStyle w:val="a3"/>
              <w:spacing w:before="0" w:beforeAutospacing="0" w:after="0" w:afterAutospacing="0"/>
              <w:rPr>
                <w:sz w:val="20"/>
                <w:szCs w:val="20"/>
              </w:rPr>
            </w:pPr>
            <w:r>
              <w:rPr>
                <w:sz w:val="20"/>
                <w:szCs w:val="20"/>
              </w:rPr>
              <w:t>XBRL Taxonomy Extension Schema</w:t>
            </w:r>
          </w:p>
        </w:tc>
      </w:tr>
      <w:tr w:rsidR="00000000">
        <w:trPr>
          <w:tblCellSpacing w:w="0" w:type="dxa"/>
        </w:trPr>
        <w:tc>
          <w:tcPr>
            <w:tcW w:w="500" w:type="pct"/>
            <w:hideMark/>
          </w:tcPr>
          <w:p w:rsidR="00000000" w:rsidRDefault="005F676C">
            <w:pPr>
              <w:pStyle w:val="a3"/>
              <w:spacing w:before="0" w:beforeAutospacing="0" w:after="0" w:afterAutospacing="0"/>
              <w:rPr>
                <w:sz w:val="20"/>
                <w:szCs w:val="20"/>
              </w:rPr>
            </w:pPr>
            <w:r>
              <w:rPr>
                <w:sz w:val="20"/>
                <w:szCs w:val="20"/>
              </w:rPr>
              <w:t>101.CAL</w:t>
            </w:r>
          </w:p>
        </w:tc>
        <w:tc>
          <w:tcPr>
            <w:tcW w:w="50" w:type="pct"/>
            <w:hideMark/>
          </w:tcPr>
          <w:p w:rsidR="00000000" w:rsidRDefault="005F676C">
            <w:pPr>
              <w:rPr>
                <w:rFonts w:eastAsia="Times New Roman"/>
                <w:sz w:val="20"/>
                <w:szCs w:val="20"/>
              </w:rPr>
            </w:pPr>
            <w:r>
              <w:rPr>
                <w:rFonts w:eastAsia="Times New Roman"/>
                <w:sz w:val="20"/>
                <w:szCs w:val="20"/>
              </w:rPr>
              <w:t> </w:t>
            </w:r>
          </w:p>
        </w:tc>
        <w:tc>
          <w:tcPr>
            <w:tcW w:w="4450" w:type="pct"/>
            <w:hideMark/>
          </w:tcPr>
          <w:p w:rsidR="00000000" w:rsidRDefault="005F676C">
            <w:pPr>
              <w:pStyle w:val="a3"/>
              <w:spacing w:before="0" w:beforeAutospacing="0" w:after="0" w:afterAutospacing="0"/>
              <w:rPr>
                <w:sz w:val="20"/>
                <w:szCs w:val="20"/>
              </w:rPr>
            </w:pPr>
            <w:r>
              <w:rPr>
                <w:sz w:val="20"/>
                <w:szCs w:val="20"/>
              </w:rPr>
              <w:t>XBRL Taxonomy Extension Calculation Linkbase</w:t>
            </w:r>
          </w:p>
        </w:tc>
      </w:tr>
      <w:tr w:rsidR="00000000">
        <w:trPr>
          <w:tblCellSpacing w:w="0" w:type="dxa"/>
        </w:trPr>
        <w:tc>
          <w:tcPr>
            <w:tcW w:w="500" w:type="pct"/>
            <w:hideMark/>
          </w:tcPr>
          <w:p w:rsidR="00000000" w:rsidRDefault="005F676C">
            <w:pPr>
              <w:pStyle w:val="a3"/>
              <w:spacing w:before="0" w:beforeAutospacing="0" w:after="0" w:afterAutospacing="0"/>
              <w:rPr>
                <w:sz w:val="20"/>
                <w:szCs w:val="20"/>
              </w:rPr>
            </w:pPr>
            <w:r>
              <w:rPr>
                <w:sz w:val="20"/>
                <w:szCs w:val="20"/>
              </w:rPr>
              <w:t>101.DEF</w:t>
            </w:r>
          </w:p>
        </w:tc>
        <w:tc>
          <w:tcPr>
            <w:tcW w:w="50" w:type="pct"/>
            <w:hideMark/>
          </w:tcPr>
          <w:p w:rsidR="00000000" w:rsidRDefault="005F676C">
            <w:pPr>
              <w:rPr>
                <w:rFonts w:eastAsia="Times New Roman"/>
                <w:sz w:val="20"/>
                <w:szCs w:val="20"/>
              </w:rPr>
            </w:pPr>
            <w:r>
              <w:rPr>
                <w:rFonts w:eastAsia="Times New Roman"/>
                <w:sz w:val="20"/>
                <w:szCs w:val="20"/>
              </w:rPr>
              <w:t> </w:t>
            </w:r>
          </w:p>
        </w:tc>
        <w:tc>
          <w:tcPr>
            <w:tcW w:w="4450" w:type="pct"/>
            <w:hideMark/>
          </w:tcPr>
          <w:p w:rsidR="00000000" w:rsidRDefault="005F676C">
            <w:pPr>
              <w:pStyle w:val="a3"/>
              <w:spacing w:before="0" w:beforeAutospacing="0" w:after="0" w:afterAutospacing="0"/>
              <w:rPr>
                <w:sz w:val="20"/>
                <w:szCs w:val="20"/>
              </w:rPr>
            </w:pPr>
            <w:r>
              <w:rPr>
                <w:sz w:val="20"/>
                <w:szCs w:val="20"/>
              </w:rPr>
              <w:t>XBRL Taxonomy Extension Definition Linkbase</w:t>
            </w:r>
          </w:p>
        </w:tc>
      </w:tr>
      <w:tr w:rsidR="00000000">
        <w:trPr>
          <w:tblCellSpacing w:w="0" w:type="dxa"/>
        </w:trPr>
        <w:tc>
          <w:tcPr>
            <w:tcW w:w="500" w:type="pct"/>
            <w:hideMark/>
          </w:tcPr>
          <w:p w:rsidR="00000000" w:rsidRDefault="005F676C">
            <w:pPr>
              <w:pStyle w:val="a3"/>
              <w:spacing w:before="0" w:beforeAutospacing="0" w:after="0" w:afterAutospacing="0"/>
              <w:rPr>
                <w:sz w:val="20"/>
                <w:szCs w:val="20"/>
              </w:rPr>
            </w:pPr>
            <w:r>
              <w:rPr>
                <w:sz w:val="20"/>
                <w:szCs w:val="20"/>
              </w:rPr>
              <w:t>101.LAB</w:t>
            </w:r>
          </w:p>
        </w:tc>
        <w:tc>
          <w:tcPr>
            <w:tcW w:w="50" w:type="pct"/>
            <w:hideMark/>
          </w:tcPr>
          <w:p w:rsidR="00000000" w:rsidRDefault="005F676C">
            <w:pPr>
              <w:rPr>
                <w:rFonts w:eastAsia="Times New Roman"/>
                <w:sz w:val="20"/>
                <w:szCs w:val="20"/>
              </w:rPr>
            </w:pPr>
            <w:r>
              <w:rPr>
                <w:rFonts w:eastAsia="Times New Roman"/>
                <w:sz w:val="20"/>
                <w:szCs w:val="20"/>
              </w:rPr>
              <w:t> </w:t>
            </w:r>
          </w:p>
        </w:tc>
        <w:tc>
          <w:tcPr>
            <w:tcW w:w="4450" w:type="pct"/>
            <w:hideMark/>
          </w:tcPr>
          <w:p w:rsidR="00000000" w:rsidRDefault="005F676C">
            <w:pPr>
              <w:pStyle w:val="a3"/>
              <w:spacing w:before="0" w:beforeAutospacing="0" w:after="0" w:afterAutospacing="0"/>
              <w:rPr>
                <w:sz w:val="20"/>
                <w:szCs w:val="20"/>
              </w:rPr>
            </w:pPr>
            <w:r>
              <w:rPr>
                <w:sz w:val="20"/>
                <w:szCs w:val="20"/>
              </w:rPr>
              <w:t>XBRL Taxonomy Extension Label Linkbase</w:t>
            </w:r>
          </w:p>
        </w:tc>
      </w:tr>
      <w:tr w:rsidR="00000000">
        <w:trPr>
          <w:tblCellSpacing w:w="0" w:type="dxa"/>
        </w:trPr>
        <w:tc>
          <w:tcPr>
            <w:tcW w:w="500" w:type="pct"/>
            <w:hideMark/>
          </w:tcPr>
          <w:p w:rsidR="00000000" w:rsidRDefault="005F676C">
            <w:pPr>
              <w:pStyle w:val="a3"/>
              <w:spacing w:before="0" w:beforeAutospacing="0" w:after="0" w:afterAutospacing="0"/>
              <w:rPr>
                <w:sz w:val="20"/>
                <w:szCs w:val="20"/>
              </w:rPr>
            </w:pPr>
            <w:r>
              <w:rPr>
                <w:sz w:val="20"/>
                <w:szCs w:val="20"/>
              </w:rPr>
              <w:t>101.PRE</w:t>
            </w:r>
          </w:p>
        </w:tc>
        <w:tc>
          <w:tcPr>
            <w:tcW w:w="50" w:type="pct"/>
            <w:hideMark/>
          </w:tcPr>
          <w:p w:rsidR="00000000" w:rsidRDefault="005F676C">
            <w:pPr>
              <w:rPr>
                <w:rFonts w:eastAsia="Times New Roman"/>
                <w:sz w:val="20"/>
                <w:szCs w:val="20"/>
              </w:rPr>
            </w:pPr>
            <w:r>
              <w:rPr>
                <w:rFonts w:eastAsia="Times New Roman"/>
                <w:sz w:val="20"/>
                <w:szCs w:val="20"/>
              </w:rPr>
              <w:t> </w:t>
            </w:r>
          </w:p>
        </w:tc>
        <w:tc>
          <w:tcPr>
            <w:tcW w:w="4450" w:type="pct"/>
            <w:hideMark/>
          </w:tcPr>
          <w:p w:rsidR="00000000" w:rsidRDefault="005F676C">
            <w:pPr>
              <w:pStyle w:val="a3"/>
              <w:spacing w:before="0" w:beforeAutospacing="0" w:after="0" w:afterAutospacing="0"/>
              <w:rPr>
                <w:sz w:val="20"/>
                <w:szCs w:val="20"/>
              </w:rPr>
            </w:pPr>
            <w:r>
              <w:rPr>
                <w:sz w:val="20"/>
                <w:szCs w:val="20"/>
              </w:rPr>
              <w:t>XBRL Taxonomy Extension Presentation Linkbase</w:t>
            </w:r>
          </w:p>
        </w:tc>
      </w:tr>
      <w:tr w:rsidR="00000000">
        <w:trPr>
          <w:tblCellSpacing w:w="0" w:type="dxa"/>
        </w:trPr>
        <w:tc>
          <w:tcPr>
            <w:tcW w:w="500" w:type="pct"/>
            <w:hideMark/>
          </w:tcPr>
          <w:p w:rsidR="00000000" w:rsidRDefault="005F676C">
            <w:pPr>
              <w:rPr>
                <w:rFonts w:eastAsia="Times New Roman"/>
                <w:sz w:val="20"/>
                <w:szCs w:val="20"/>
              </w:rPr>
            </w:pPr>
            <w:r>
              <w:rPr>
                <w:rFonts w:eastAsia="Times New Roman"/>
                <w:sz w:val="20"/>
                <w:szCs w:val="20"/>
              </w:rPr>
              <w:t>104</w:t>
            </w:r>
          </w:p>
        </w:tc>
        <w:tc>
          <w:tcPr>
            <w:tcW w:w="50" w:type="pct"/>
            <w:hideMark/>
          </w:tcPr>
          <w:p w:rsidR="00000000" w:rsidRDefault="005F676C">
            <w:pPr>
              <w:rPr>
                <w:rFonts w:eastAsia="Times New Roman"/>
                <w:sz w:val="20"/>
                <w:szCs w:val="20"/>
              </w:rPr>
            </w:pPr>
            <w:r>
              <w:rPr>
                <w:rFonts w:eastAsia="Times New Roman"/>
                <w:sz w:val="20"/>
                <w:szCs w:val="20"/>
              </w:rPr>
              <w:t> </w:t>
            </w:r>
          </w:p>
        </w:tc>
        <w:tc>
          <w:tcPr>
            <w:tcW w:w="4450" w:type="pct"/>
            <w:hideMark/>
          </w:tcPr>
          <w:p w:rsidR="00000000" w:rsidRDefault="005F676C">
            <w:pPr>
              <w:rPr>
                <w:rFonts w:eastAsia="Times New Roman"/>
                <w:sz w:val="20"/>
                <w:szCs w:val="20"/>
              </w:rPr>
            </w:pPr>
            <w:r>
              <w:rPr>
                <w:rFonts w:eastAsia="Times New Roman"/>
                <w:sz w:val="20"/>
                <w:szCs w:val="20"/>
              </w:rPr>
              <w:t>Cover Page Interactive Data File (formatted as Inline XBRL and contained in Exhibit 101)</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jc w:val="center"/>
        <w:divId w:val="1178077324"/>
        <w:rPr>
          <w:rFonts w:eastAsia="Times New Roman"/>
          <w:sz w:val="20"/>
          <w:szCs w:val="20"/>
        </w:rPr>
      </w:pPr>
      <w:r>
        <w:rPr>
          <w:rFonts w:eastAsia="Times New Roman"/>
          <w:sz w:val="20"/>
          <w:szCs w:val="20"/>
        </w:rPr>
        <w:t xml:space="preserve">38 </w:t>
      </w:r>
    </w:p>
    <w:p w:rsidR="00000000" w:rsidRDefault="005F676C">
      <w:pPr>
        <w:divId w:val="1178077324"/>
        <w:rPr>
          <w:rFonts w:eastAsia="Times New Roman"/>
          <w:sz w:val="20"/>
          <w:szCs w:val="20"/>
        </w:rPr>
      </w:pPr>
      <w:r>
        <w:rPr>
          <w:rFonts w:eastAsia="Times New Roman"/>
          <w:sz w:val="20"/>
          <w:szCs w:val="20"/>
        </w:rPr>
        <w:pict>
          <v:rect id="_x0000_i1066" style="width:0;height:1.5pt" o:hralign="center" o:hrstd="t" o:hr="t" fillcolor="#a0a0a0" stroked="f"/>
        </w:pict>
      </w:r>
    </w:p>
    <w:p w:rsidR="00000000" w:rsidRDefault="005F676C">
      <w:pPr>
        <w:divId w:val="1178077324"/>
        <w:rPr>
          <w:rFonts w:eastAsia="Times New Roman"/>
          <w:sz w:val="20"/>
          <w:szCs w:val="20"/>
        </w:rPr>
      </w:pPr>
      <w:hyperlink w:anchor="toc" w:history="1">
        <w:r>
          <w:rPr>
            <w:rStyle w:val="a4"/>
            <w:rFonts w:eastAsia="Times New Roman"/>
            <w:sz w:val="20"/>
            <w:szCs w:val="20"/>
          </w:rPr>
          <w:t>Table of Contents</w:t>
        </w:r>
      </w:hyperlink>
      <w:r>
        <w:rPr>
          <w:rFonts w:eastAsia="Times New Roman"/>
          <w:sz w:val="20"/>
          <w:szCs w:val="20"/>
        </w:rPr>
        <w:t xml:space="preserve"> </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b/>
          <w:bCs/>
          <w:sz w:val="20"/>
          <w:szCs w:val="20"/>
        </w:rPr>
        <w:t>SIGNATURES</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495"/>
        <w:gridCol w:w="1412"/>
        <w:gridCol w:w="2077"/>
        <w:gridCol w:w="3322"/>
      </w:tblGrid>
      <w:tr w:rsidR="00000000">
        <w:trPr>
          <w:tblCellSpacing w:w="0" w:type="dxa"/>
        </w:trPr>
        <w:tc>
          <w:tcPr>
            <w:tcW w:w="900" w:type="pct"/>
            <w:hideMark/>
          </w:tcPr>
          <w:p w:rsidR="00000000" w:rsidRDefault="005F676C">
            <w:pPr>
              <w:pStyle w:val="a3"/>
              <w:spacing w:before="0" w:beforeAutospacing="0" w:after="0" w:afterAutospacing="0"/>
              <w:rPr>
                <w:sz w:val="20"/>
                <w:szCs w:val="20"/>
              </w:rPr>
            </w:pPr>
            <w:r>
              <w:rPr>
                <w:sz w:val="20"/>
                <w:szCs w:val="20"/>
              </w:rPr>
              <w:t>  </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hideMark/>
          </w:tcPr>
          <w:p w:rsidR="00000000" w:rsidRDefault="005F676C">
            <w:pPr>
              <w:pStyle w:val="a3"/>
              <w:spacing w:before="0" w:beforeAutospacing="0" w:after="0" w:afterAutospacing="0"/>
              <w:rPr>
                <w:sz w:val="20"/>
                <w:szCs w:val="20"/>
              </w:rPr>
            </w:pPr>
            <w:r>
              <w:rPr>
                <w:sz w:val="20"/>
                <w:szCs w:val="20"/>
              </w:rPr>
              <w:t>KIMCO REALTY CORPORATION</w:t>
            </w:r>
          </w:p>
        </w:tc>
      </w:tr>
      <w:tr w:rsidR="00000000">
        <w:trPr>
          <w:tblCellSpacing w:w="0" w:type="dxa"/>
        </w:trPr>
        <w:tc>
          <w:tcPr>
            <w:tcW w:w="900" w:type="pct"/>
            <w:hideMark/>
          </w:tcPr>
          <w:p w:rsidR="00000000" w:rsidRDefault="005F676C">
            <w:pPr>
              <w:pStyle w:val="a3"/>
              <w:spacing w:before="0" w:beforeAutospacing="0" w:after="0" w:afterAutospacing="0"/>
              <w:rPr>
                <w:sz w:val="20"/>
                <w:szCs w:val="20"/>
              </w:rPr>
            </w:pPr>
            <w:r>
              <w:rPr>
                <w:sz w:val="20"/>
                <w:szCs w:val="20"/>
              </w:rPr>
              <w:t>  </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hideMark/>
          </w:tcPr>
          <w:p w:rsidR="00000000" w:rsidRDefault="005F676C">
            <w:pPr>
              <w:pStyle w:val="a3"/>
              <w:spacing w:before="0" w:beforeAutospacing="0" w:after="0" w:afterAutospacing="0"/>
              <w:rPr>
                <w:sz w:val="20"/>
                <w:szCs w:val="20"/>
              </w:rPr>
            </w:pPr>
            <w:r>
              <w:rPr>
                <w:sz w:val="20"/>
                <w:szCs w:val="20"/>
              </w:rPr>
              <w:t>  </w:t>
            </w:r>
          </w:p>
        </w:tc>
      </w:tr>
      <w:tr w:rsidR="00000000">
        <w:trPr>
          <w:tblCellSpacing w:w="0" w:type="dxa"/>
        </w:trPr>
        <w:tc>
          <w:tcPr>
            <w:tcW w:w="900" w:type="pct"/>
            <w:hideMark/>
          </w:tcPr>
          <w:p w:rsidR="00000000" w:rsidRDefault="005F676C">
            <w:pPr>
              <w:pStyle w:val="a3"/>
              <w:spacing w:before="0" w:beforeAutospacing="0" w:after="0" w:afterAutospacing="0"/>
              <w:rPr>
                <w:sz w:val="20"/>
                <w:szCs w:val="20"/>
              </w:rPr>
            </w:pPr>
            <w:r>
              <w:rPr>
                <w:sz w:val="20"/>
                <w:szCs w:val="20"/>
              </w:rPr>
              <w:t>  </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hideMark/>
          </w:tcPr>
          <w:p w:rsidR="00000000" w:rsidRDefault="005F676C">
            <w:pPr>
              <w:pStyle w:val="a3"/>
              <w:spacing w:before="0" w:beforeAutospacing="0" w:after="0" w:afterAutospacing="0"/>
              <w:rPr>
                <w:sz w:val="20"/>
                <w:szCs w:val="20"/>
              </w:rPr>
            </w:pPr>
            <w:r>
              <w:rPr>
                <w:sz w:val="20"/>
                <w:szCs w:val="20"/>
              </w:rPr>
              <w:t>  </w:t>
            </w:r>
          </w:p>
        </w:tc>
      </w:tr>
      <w:tr w:rsidR="00000000">
        <w:trPr>
          <w:tblCellSpacing w:w="0" w:type="dxa"/>
        </w:trPr>
        <w:tc>
          <w:tcPr>
            <w:tcW w:w="900" w:type="pct"/>
            <w:hideMark/>
          </w:tcPr>
          <w:p w:rsidR="00000000" w:rsidRDefault="005F676C">
            <w:pPr>
              <w:pStyle w:val="a3"/>
              <w:spacing w:before="0" w:beforeAutospacing="0" w:after="0" w:afterAutospacing="0"/>
              <w:rPr>
                <w:sz w:val="20"/>
                <w:szCs w:val="20"/>
              </w:rPr>
            </w:pPr>
            <w:r>
              <w:rPr>
                <w:sz w:val="20"/>
                <w:szCs w:val="20"/>
              </w:rPr>
              <w:t>  </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hideMark/>
          </w:tcPr>
          <w:p w:rsidR="00000000" w:rsidRDefault="005F676C">
            <w:pPr>
              <w:pStyle w:val="a3"/>
              <w:spacing w:before="0" w:beforeAutospacing="0" w:after="0" w:afterAutospacing="0"/>
              <w:rPr>
                <w:sz w:val="20"/>
                <w:szCs w:val="20"/>
              </w:rPr>
            </w:pPr>
            <w:r>
              <w:rPr>
                <w:sz w:val="20"/>
                <w:szCs w:val="20"/>
              </w:rPr>
              <w:t>  </w:t>
            </w:r>
          </w:p>
        </w:tc>
      </w:tr>
      <w:tr w:rsidR="00000000">
        <w:trPr>
          <w:tblCellSpacing w:w="0" w:type="dxa"/>
        </w:trPr>
        <w:tc>
          <w:tcPr>
            <w:tcW w:w="900" w:type="pct"/>
            <w:tcBorders>
              <w:bottom w:val="single" w:sz="6" w:space="0" w:color="000000"/>
            </w:tcBorders>
            <w:hideMark/>
          </w:tcPr>
          <w:p w:rsidR="00000000" w:rsidRDefault="005F676C">
            <w:pPr>
              <w:pStyle w:val="a3"/>
              <w:spacing w:before="0" w:beforeAutospacing="0" w:after="0" w:afterAutospacing="0"/>
              <w:rPr>
                <w:sz w:val="20"/>
                <w:szCs w:val="20"/>
              </w:rPr>
            </w:pPr>
            <w:r>
              <w:rPr>
                <w:sz w:val="20"/>
                <w:szCs w:val="20"/>
              </w:rPr>
              <w:t>October 25, 2019</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tcBorders>
              <w:bottom w:val="single" w:sz="6" w:space="0" w:color="000000"/>
            </w:tcBorders>
            <w:hideMark/>
          </w:tcPr>
          <w:p w:rsidR="00000000" w:rsidRDefault="005F676C">
            <w:pPr>
              <w:pStyle w:val="a3"/>
              <w:spacing w:before="0" w:beforeAutospacing="0" w:after="0" w:afterAutospacing="0"/>
              <w:rPr>
                <w:sz w:val="20"/>
                <w:szCs w:val="20"/>
              </w:rPr>
            </w:pPr>
            <w:r>
              <w:rPr>
                <w:sz w:val="20"/>
                <w:szCs w:val="20"/>
              </w:rPr>
              <w:t>/s/ Conor C. Flynn</w:t>
            </w:r>
          </w:p>
        </w:tc>
      </w:tr>
      <w:tr w:rsidR="00000000">
        <w:trPr>
          <w:tblCellSpacing w:w="0" w:type="dxa"/>
        </w:trPr>
        <w:tc>
          <w:tcPr>
            <w:tcW w:w="900" w:type="pct"/>
            <w:hideMark/>
          </w:tcPr>
          <w:p w:rsidR="00000000" w:rsidRDefault="005F676C">
            <w:pPr>
              <w:pStyle w:val="a3"/>
              <w:spacing w:before="0" w:beforeAutospacing="0" w:after="0" w:afterAutospacing="0"/>
              <w:rPr>
                <w:sz w:val="20"/>
                <w:szCs w:val="20"/>
              </w:rPr>
            </w:pPr>
            <w:r>
              <w:rPr>
                <w:sz w:val="20"/>
                <w:szCs w:val="20"/>
              </w:rPr>
              <w:t>(Date)</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hideMark/>
          </w:tcPr>
          <w:p w:rsidR="00000000" w:rsidRDefault="005F676C">
            <w:pPr>
              <w:pStyle w:val="a3"/>
              <w:spacing w:before="0" w:beforeAutospacing="0" w:after="0" w:afterAutospacing="0"/>
              <w:rPr>
                <w:sz w:val="20"/>
                <w:szCs w:val="20"/>
              </w:rPr>
            </w:pPr>
            <w:r>
              <w:rPr>
                <w:sz w:val="20"/>
                <w:szCs w:val="20"/>
              </w:rPr>
              <w:t>Conor C. Flynn</w:t>
            </w:r>
          </w:p>
        </w:tc>
      </w:tr>
      <w:tr w:rsidR="00000000">
        <w:trPr>
          <w:tblCellSpacing w:w="0" w:type="dxa"/>
        </w:trPr>
        <w:tc>
          <w:tcPr>
            <w:tcW w:w="900" w:type="pct"/>
            <w:hideMark/>
          </w:tcPr>
          <w:p w:rsidR="00000000" w:rsidRDefault="005F676C">
            <w:pPr>
              <w:pStyle w:val="a3"/>
              <w:spacing w:before="0" w:beforeAutospacing="0" w:after="0" w:afterAutospacing="0"/>
              <w:rPr>
                <w:sz w:val="20"/>
                <w:szCs w:val="20"/>
              </w:rPr>
            </w:pPr>
            <w:r>
              <w:rPr>
                <w:sz w:val="20"/>
                <w:szCs w:val="20"/>
              </w:rPr>
              <w:t>  </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hideMark/>
          </w:tcPr>
          <w:p w:rsidR="00000000" w:rsidRDefault="005F676C">
            <w:pPr>
              <w:pStyle w:val="a3"/>
              <w:spacing w:before="0" w:beforeAutospacing="0" w:after="0" w:afterAutospacing="0"/>
              <w:rPr>
                <w:sz w:val="20"/>
                <w:szCs w:val="20"/>
              </w:rPr>
            </w:pPr>
            <w:r>
              <w:rPr>
                <w:sz w:val="20"/>
                <w:szCs w:val="20"/>
              </w:rPr>
              <w:t>Chief Executive Officer</w:t>
            </w:r>
          </w:p>
        </w:tc>
      </w:tr>
      <w:tr w:rsidR="00000000">
        <w:trPr>
          <w:tblCellSpacing w:w="0" w:type="dxa"/>
        </w:trPr>
        <w:tc>
          <w:tcPr>
            <w:tcW w:w="900" w:type="pct"/>
            <w:hideMark/>
          </w:tcPr>
          <w:p w:rsidR="00000000" w:rsidRDefault="005F676C">
            <w:pPr>
              <w:pStyle w:val="a3"/>
              <w:spacing w:before="0" w:beforeAutospacing="0" w:after="0" w:afterAutospacing="0"/>
              <w:rPr>
                <w:sz w:val="20"/>
                <w:szCs w:val="20"/>
              </w:rPr>
            </w:pPr>
            <w:r>
              <w:rPr>
                <w:sz w:val="20"/>
                <w:szCs w:val="20"/>
              </w:rPr>
              <w:t>  </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hideMark/>
          </w:tcPr>
          <w:p w:rsidR="00000000" w:rsidRDefault="005F676C">
            <w:pPr>
              <w:pStyle w:val="a3"/>
              <w:spacing w:before="0" w:beforeAutospacing="0" w:after="0" w:afterAutospacing="0"/>
              <w:rPr>
                <w:sz w:val="20"/>
                <w:szCs w:val="20"/>
              </w:rPr>
            </w:pPr>
            <w:r>
              <w:rPr>
                <w:sz w:val="20"/>
                <w:szCs w:val="20"/>
              </w:rPr>
              <w:t>  </w:t>
            </w:r>
          </w:p>
        </w:tc>
      </w:tr>
      <w:tr w:rsidR="00000000">
        <w:trPr>
          <w:tblCellSpacing w:w="0" w:type="dxa"/>
        </w:trPr>
        <w:tc>
          <w:tcPr>
            <w:tcW w:w="900" w:type="pct"/>
            <w:hideMark/>
          </w:tcPr>
          <w:p w:rsidR="00000000" w:rsidRDefault="005F676C">
            <w:pPr>
              <w:pStyle w:val="a3"/>
              <w:spacing w:before="0" w:beforeAutospacing="0" w:after="0" w:afterAutospacing="0"/>
              <w:rPr>
                <w:sz w:val="20"/>
                <w:szCs w:val="20"/>
              </w:rPr>
            </w:pPr>
            <w:r>
              <w:rPr>
                <w:sz w:val="20"/>
                <w:szCs w:val="20"/>
              </w:rPr>
              <w:t>  </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hideMark/>
          </w:tcPr>
          <w:p w:rsidR="00000000" w:rsidRDefault="005F676C">
            <w:pPr>
              <w:pStyle w:val="a3"/>
              <w:spacing w:before="0" w:beforeAutospacing="0" w:after="0" w:afterAutospacing="0"/>
              <w:rPr>
                <w:sz w:val="20"/>
                <w:szCs w:val="20"/>
              </w:rPr>
            </w:pPr>
            <w:r>
              <w:rPr>
                <w:sz w:val="20"/>
                <w:szCs w:val="20"/>
              </w:rPr>
              <w:t>  </w:t>
            </w:r>
          </w:p>
        </w:tc>
      </w:tr>
      <w:tr w:rsidR="00000000">
        <w:trPr>
          <w:tblCellSpacing w:w="0" w:type="dxa"/>
        </w:trPr>
        <w:tc>
          <w:tcPr>
            <w:tcW w:w="900" w:type="pct"/>
            <w:tcBorders>
              <w:bottom w:val="single" w:sz="6" w:space="0" w:color="000000"/>
            </w:tcBorders>
            <w:hideMark/>
          </w:tcPr>
          <w:p w:rsidR="00000000" w:rsidRDefault="005F676C">
            <w:pPr>
              <w:pStyle w:val="a3"/>
              <w:spacing w:before="0" w:beforeAutospacing="0" w:after="0" w:afterAutospacing="0"/>
              <w:rPr>
                <w:sz w:val="20"/>
                <w:szCs w:val="20"/>
              </w:rPr>
            </w:pPr>
            <w:r>
              <w:rPr>
                <w:sz w:val="20"/>
                <w:szCs w:val="20"/>
              </w:rPr>
              <w:t>October 25, 2019</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tcBorders>
              <w:bottom w:val="single" w:sz="6" w:space="0" w:color="000000"/>
            </w:tcBorders>
            <w:hideMark/>
          </w:tcPr>
          <w:p w:rsidR="00000000" w:rsidRDefault="005F676C">
            <w:pPr>
              <w:pStyle w:val="a3"/>
              <w:spacing w:before="0" w:beforeAutospacing="0" w:after="0" w:afterAutospacing="0"/>
              <w:rPr>
                <w:sz w:val="20"/>
                <w:szCs w:val="20"/>
              </w:rPr>
            </w:pPr>
            <w:r>
              <w:rPr>
                <w:sz w:val="20"/>
                <w:szCs w:val="20"/>
              </w:rPr>
              <w:t>/s/ Glenn G. Cohen</w:t>
            </w:r>
          </w:p>
        </w:tc>
      </w:tr>
      <w:tr w:rsidR="00000000">
        <w:trPr>
          <w:tblCellSpacing w:w="0" w:type="dxa"/>
        </w:trPr>
        <w:tc>
          <w:tcPr>
            <w:tcW w:w="900" w:type="pct"/>
            <w:hideMark/>
          </w:tcPr>
          <w:p w:rsidR="00000000" w:rsidRDefault="005F676C">
            <w:pPr>
              <w:pStyle w:val="a3"/>
              <w:spacing w:before="0" w:beforeAutospacing="0" w:after="0" w:afterAutospacing="0"/>
              <w:rPr>
                <w:sz w:val="20"/>
                <w:szCs w:val="20"/>
              </w:rPr>
            </w:pPr>
            <w:r>
              <w:rPr>
                <w:sz w:val="20"/>
                <w:szCs w:val="20"/>
              </w:rPr>
              <w:t>(Date)</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hideMark/>
          </w:tcPr>
          <w:p w:rsidR="00000000" w:rsidRDefault="005F676C">
            <w:pPr>
              <w:pStyle w:val="a3"/>
              <w:spacing w:before="0" w:beforeAutospacing="0" w:after="0" w:afterAutospacing="0"/>
              <w:rPr>
                <w:sz w:val="20"/>
                <w:szCs w:val="20"/>
              </w:rPr>
            </w:pPr>
            <w:r>
              <w:rPr>
                <w:sz w:val="20"/>
                <w:szCs w:val="20"/>
              </w:rPr>
              <w:t>Glenn G. Cohen</w:t>
            </w:r>
          </w:p>
        </w:tc>
      </w:tr>
      <w:tr w:rsidR="00000000">
        <w:trPr>
          <w:tblCellSpacing w:w="0" w:type="dxa"/>
        </w:trPr>
        <w:tc>
          <w:tcPr>
            <w:tcW w:w="900" w:type="pct"/>
            <w:hideMark/>
          </w:tcPr>
          <w:p w:rsidR="00000000" w:rsidRDefault="005F676C">
            <w:pPr>
              <w:pStyle w:val="a3"/>
              <w:spacing w:before="0" w:beforeAutospacing="0" w:after="0" w:afterAutospacing="0"/>
              <w:rPr>
                <w:sz w:val="20"/>
                <w:szCs w:val="20"/>
              </w:rPr>
            </w:pPr>
            <w:r>
              <w:rPr>
                <w:sz w:val="20"/>
                <w:szCs w:val="20"/>
              </w:rPr>
              <w:t>  </w:t>
            </w:r>
          </w:p>
        </w:tc>
        <w:tc>
          <w:tcPr>
            <w:tcW w:w="850" w:type="pct"/>
            <w:hideMark/>
          </w:tcPr>
          <w:p w:rsidR="00000000" w:rsidRDefault="005F676C">
            <w:pPr>
              <w:pStyle w:val="a3"/>
              <w:spacing w:before="0" w:beforeAutospacing="0" w:after="0" w:afterAutospacing="0"/>
              <w:rPr>
                <w:sz w:val="20"/>
                <w:szCs w:val="20"/>
              </w:rPr>
            </w:pPr>
            <w:r>
              <w:rPr>
                <w:sz w:val="20"/>
                <w:szCs w:val="20"/>
              </w:rPr>
              <w:t>  </w:t>
            </w:r>
          </w:p>
        </w:tc>
        <w:tc>
          <w:tcPr>
            <w:tcW w:w="1250" w:type="pct"/>
            <w:hideMark/>
          </w:tcPr>
          <w:p w:rsidR="00000000" w:rsidRDefault="005F676C">
            <w:pPr>
              <w:pStyle w:val="a3"/>
              <w:spacing w:before="0" w:beforeAutospacing="0" w:after="0" w:afterAutospacing="0"/>
              <w:rPr>
                <w:sz w:val="20"/>
                <w:szCs w:val="20"/>
              </w:rPr>
            </w:pPr>
            <w:r>
              <w:rPr>
                <w:sz w:val="20"/>
                <w:szCs w:val="20"/>
              </w:rPr>
              <w:t>  </w:t>
            </w:r>
          </w:p>
        </w:tc>
        <w:tc>
          <w:tcPr>
            <w:tcW w:w="2000" w:type="pct"/>
            <w:hideMark/>
          </w:tcPr>
          <w:p w:rsidR="00000000" w:rsidRDefault="005F676C">
            <w:pPr>
              <w:pStyle w:val="a3"/>
              <w:spacing w:before="0" w:beforeAutospacing="0" w:after="0" w:afterAutospacing="0"/>
              <w:rPr>
                <w:sz w:val="20"/>
                <w:szCs w:val="20"/>
              </w:rPr>
            </w:pPr>
            <w:r>
              <w:rPr>
                <w:sz w:val="20"/>
                <w:szCs w:val="20"/>
              </w:rPr>
              <w:t>Chief Financial Officer</w:t>
            </w:r>
          </w:p>
        </w:tc>
      </w:tr>
    </w:tbl>
    <w:p w:rsidR="00000000" w:rsidRDefault="005F676C">
      <w:pPr>
        <w:pStyle w:val="a3"/>
        <w:spacing w:before="0" w:beforeAutospacing="0" w:after="0" w:afterAutospacing="0"/>
        <w:rPr>
          <w:sz w:val="20"/>
          <w:szCs w:val="20"/>
        </w:rPr>
      </w:pPr>
      <w:r>
        <w:rPr>
          <w:sz w:val="20"/>
          <w:szCs w:val="20"/>
        </w:rPr>
        <w:t> </w:t>
      </w:r>
    </w:p>
    <w:p w:rsidR="00000000" w:rsidRDefault="005F676C">
      <w:pPr>
        <w:pStyle w:val="a3"/>
        <w:spacing w:before="0" w:beforeAutospacing="0" w:after="0" w:afterAutospacing="0"/>
        <w:jc w:val="center"/>
        <w:rPr>
          <w:sz w:val="20"/>
          <w:szCs w:val="20"/>
        </w:rPr>
      </w:pPr>
      <w:r>
        <w:rPr>
          <w:sz w:val="20"/>
          <w:szCs w:val="20"/>
        </w:rPr>
        <w:t>39</w:t>
      </w:r>
    </w:p>
    <w:p w:rsidR="00000000" w:rsidRDefault="005F676C">
      <w:pPr>
        <w:pStyle w:val="a3"/>
        <w:spacing w:before="0" w:beforeAutospacing="0" w:after="0" w:afterAutospacing="0"/>
        <w:rPr>
          <w:sz w:val="20"/>
          <w:szCs w:val="20"/>
        </w:rPr>
      </w:pPr>
      <w:r>
        <w:rPr>
          <w:sz w:val="20"/>
          <w:szCs w:val="20"/>
        </w:rPr>
        <w:t> </w:t>
      </w:r>
    </w:p>
    <w:p w:rsidR="005F676C" w:rsidRDefault="005F676C">
      <w:pPr>
        <w:pStyle w:val="a3"/>
        <w:spacing w:before="0" w:beforeAutospacing="0" w:after="0" w:afterAutospacing="0"/>
        <w:rPr>
          <w:sz w:val="20"/>
          <w:szCs w:val="20"/>
        </w:rPr>
      </w:pPr>
      <w:r>
        <w:rPr>
          <w:sz w:val="20"/>
          <w:szCs w:val="20"/>
        </w:rPr>
        <w:t> </w:t>
      </w:r>
    </w:p>
    <w:sectPr w:rsidR="005F676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F676C"/>
    <w:rsid w:val="005F676C"/>
  </w:rsids>
  <m:mathPr>
    <m:mathFont m:val="Cambria Math"/>
    <m:brkBin m:val="before"/>
    <m:brkBinSub m:val="--"/>
    <m:smallFrac m:val="0"/>
    <m:dispDef/>
    <m:lMargin m:val="0"/>
    <m:rMargin m:val="0"/>
    <m:defJc m:val="centerGroup"/>
    <m:wrapIndent m:val="1440"/>
    <m:intLim m:val="subSup"/>
    <m:naryLim m:val="undOvr"/>
  </m:mathPr>
  <w:attachedSchema w:val="http://www.xbrl.org/2006/ref"/>
  <w:attachedSchema w:val="http://xbrl.org/2006/xbrldi"/>
  <w:attachedSchema w:val="http://xbrl.sec.gov/naics/2011-01-31"/>
  <w:attachedSchema w:val="http://www.xbrl.org/2003/instance"/>
  <w:attachedSchema w:val="http://www.sec.gov/inlineXBRL/transformation/2015-08-31"/>
  <w:attachedSchema w:val="http://www.w3.org/1999/xlink"/>
  <w:attachedSchema w:val="http://www.xbrl.org/inlineXBRL/transformation/2015-02-26"/>
  <w:attachedSchema w:val="http://www.xbrl.org/dtr/type/non-numeric"/>
  <w:attachedSchema w:val="http://fasb.org/us-types/2017-01-31"/>
  <w:attachedSchema w:val="http://www.xbrl.org/2009/utr"/>
  <w:attachedSchema w:val="http://xbrl.sec.gov/invest/2013-01-31"/>
  <w:attachedSchema w:val="http://www.xbrl.org/2013/inlineXBRL"/>
  <w:attachedSchema w:val="http://fasb.org/us-roles/2017-01-31"/>
  <w:attachedSchema w:val="http://xbrl.sec.gov/stpr/2018-01-31"/>
  <w:attachedSchema w:val="http://www.xbrl.org/2003/linkbase"/>
  <w:attachedSchema w:val="http://www.xbrl.org/2003/iso4217"/>
  <w:attachedSchema w:val="http://www.xbrl.org/dtr/type/numeric"/>
  <w:attachedSchema w:val="http://xbrl.org/2005/xbrldt"/>
  <w:attachedSchema w:val="http://www.RDGFilings.com"/>
  <w:attachedSchema w:val="http://xbrl.sec.gov/dei/2019-01-31"/>
  <w:attachedSchema w:val="http://www.kimcorealty.com/20190930"/>
  <w:attachedSchema w:val="http://fasb.org/us-gaap/2019-01-31"/>
  <w:attachedSchema w:val="http://xbrl.sec.gov/country/2017-01-31"/>
  <w:attachedSchema w:val="http://xbrl.sec.gov/rr/2018-01-31"/>
  <w:attachedSchema w:val="http://xbrl.sec.gov/sic/2011-01-31"/>
  <w:attachedSchema w:val="http://xbrl.sec.gov/currency/2017-01-31"/>
  <w:attachedSchema w:val="http://xbrl.sec.gov/exch/2018-01-31"/>
  <w:attachedSchema w:val="http://fasb.org/srt/2019-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character" w:styleId="a6">
    <w:name w:val="Emphasis"/>
    <w:basedOn w:val="a0"/>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556">
      <w:marLeft w:val="0"/>
      <w:marRight w:val="0"/>
      <w:marTop w:val="0"/>
      <w:marBottom w:val="0"/>
      <w:divBdr>
        <w:top w:val="none" w:sz="0" w:space="0" w:color="auto"/>
        <w:left w:val="none" w:sz="0" w:space="0" w:color="auto"/>
        <w:bottom w:val="none" w:sz="0" w:space="0" w:color="auto"/>
        <w:right w:val="none" w:sz="0" w:space="0" w:color="auto"/>
      </w:divBdr>
    </w:div>
    <w:div w:id="28453471">
      <w:marLeft w:val="0"/>
      <w:marRight w:val="0"/>
      <w:marTop w:val="0"/>
      <w:marBottom w:val="0"/>
      <w:divBdr>
        <w:top w:val="none" w:sz="0" w:space="0" w:color="auto"/>
        <w:left w:val="none" w:sz="0" w:space="0" w:color="auto"/>
        <w:bottom w:val="none" w:sz="0" w:space="0" w:color="auto"/>
        <w:right w:val="none" w:sz="0" w:space="0" w:color="auto"/>
      </w:divBdr>
    </w:div>
    <w:div w:id="43795390">
      <w:marLeft w:val="0"/>
      <w:marRight w:val="0"/>
      <w:marTop w:val="0"/>
      <w:marBottom w:val="0"/>
      <w:divBdr>
        <w:top w:val="none" w:sz="0" w:space="0" w:color="auto"/>
        <w:left w:val="none" w:sz="0" w:space="0" w:color="auto"/>
        <w:bottom w:val="none" w:sz="0" w:space="0" w:color="auto"/>
        <w:right w:val="none" w:sz="0" w:space="0" w:color="auto"/>
      </w:divBdr>
    </w:div>
    <w:div w:id="56099315">
      <w:marLeft w:val="0"/>
      <w:marRight w:val="0"/>
      <w:marTop w:val="0"/>
      <w:marBottom w:val="0"/>
      <w:divBdr>
        <w:top w:val="none" w:sz="0" w:space="0" w:color="auto"/>
        <w:left w:val="none" w:sz="0" w:space="0" w:color="auto"/>
        <w:bottom w:val="none" w:sz="0" w:space="0" w:color="auto"/>
        <w:right w:val="none" w:sz="0" w:space="0" w:color="auto"/>
      </w:divBdr>
    </w:div>
    <w:div w:id="58528427">
      <w:marLeft w:val="0"/>
      <w:marRight w:val="0"/>
      <w:marTop w:val="0"/>
      <w:marBottom w:val="0"/>
      <w:divBdr>
        <w:top w:val="none" w:sz="0" w:space="0" w:color="auto"/>
        <w:left w:val="none" w:sz="0" w:space="0" w:color="auto"/>
        <w:bottom w:val="none" w:sz="0" w:space="0" w:color="auto"/>
        <w:right w:val="none" w:sz="0" w:space="0" w:color="auto"/>
      </w:divBdr>
    </w:div>
    <w:div w:id="60056242">
      <w:marLeft w:val="0"/>
      <w:marRight w:val="0"/>
      <w:marTop w:val="0"/>
      <w:marBottom w:val="0"/>
      <w:divBdr>
        <w:top w:val="none" w:sz="0" w:space="0" w:color="auto"/>
        <w:left w:val="none" w:sz="0" w:space="0" w:color="auto"/>
        <w:bottom w:val="none" w:sz="0" w:space="0" w:color="auto"/>
        <w:right w:val="none" w:sz="0" w:space="0" w:color="auto"/>
      </w:divBdr>
    </w:div>
    <w:div w:id="67770279">
      <w:marLeft w:val="0"/>
      <w:marRight w:val="0"/>
      <w:marTop w:val="0"/>
      <w:marBottom w:val="0"/>
      <w:divBdr>
        <w:top w:val="none" w:sz="0" w:space="0" w:color="auto"/>
        <w:left w:val="none" w:sz="0" w:space="0" w:color="auto"/>
        <w:bottom w:val="none" w:sz="0" w:space="0" w:color="auto"/>
        <w:right w:val="none" w:sz="0" w:space="0" w:color="auto"/>
      </w:divBdr>
    </w:div>
    <w:div w:id="71705396">
      <w:marLeft w:val="0"/>
      <w:marRight w:val="0"/>
      <w:marTop w:val="0"/>
      <w:marBottom w:val="0"/>
      <w:divBdr>
        <w:top w:val="none" w:sz="0" w:space="0" w:color="auto"/>
        <w:left w:val="none" w:sz="0" w:space="0" w:color="auto"/>
        <w:bottom w:val="none" w:sz="0" w:space="0" w:color="auto"/>
        <w:right w:val="none" w:sz="0" w:space="0" w:color="auto"/>
      </w:divBdr>
    </w:div>
    <w:div w:id="72702598">
      <w:marLeft w:val="0"/>
      <w:marRight w:val="0"/>
      <w:marTop w:val="0"/>
      <w:marBottom w:val="0"/>
      <w:divBdr>
        <w:top w:val="none" w:sz="0" w:space="0" w:color="auto"/>
        <w:left w:val="none" w:sz="0" w:space="0" w:color="auto"/>
        <w:bottom w:val="none" w:sz="0" w:space="0" w:color="auto"/>
        <w:right w:val="none" w:sz="0" w:space="0" w:color="auto"/>
      </w:divBdr>
    </w:div>
    <w:div w:id="165442661">
      <w:marLeft w:val="0"/>
      <w:marRight w:val="0"/>
      <w:marTop w:val="0"/>
      <w:marBottom w:val="0"/>
      <w:divBdr>
        <w:top w:val="none" w:sz="0" w:space="0" w:color="auto"/>
        <w:left w:val="none" w:sz="0" w:space="0" w:color="auto"/>
        <w:bottom w:val="none" w:sz="0" w:space="0" w:color="auto"/>
        <w:right w:val="none" w:sz="0" w:space="0" w:color="auto"/>
      </w:divBdr>
    </w:div>
    <w:div w:id="171458875">
      <w:marLeft w:val="0"/>
      <w:marRight w:val="0"/>
      <w:marTop w:val="0"/>
      <w:marBottom w:val="0"/>
      <w:divBdr>
        <w:top w:val="none" w:sz="0" w:space="0" w:color="auto"/>
        <w:left w:val="none" w:sz="0" w:space="0" w:color="auto"/>
        <w:bottom w:val="none" w:sz="0" w:space="0" w:color="auto"/>
        <w:right w:val="none" w:sz="0" w:space="0" w:color="auto"/>
      </w:divBdr>
    </w:div>
    <w:div w:id="194776590">
      <w:marLeft w:val="0"/>
      <w:marRight w:val="0"/>
      <w:marTop w:val="0"/>
      <w:marBottom w:val="0"/>
      <w:divBdr>
        <w:top w:val="none" w:sz="0" w:space="0" w:color="auto"/>
        <w:left w:val="none" w:sz="0" w:space="0" w:color="auto"/>
        <w:bottom w:val="none" w:sz="0" w:space="0" w:color="auto"/>
        <w:right w:val="none" w:sz="0" w:space="0" w:color="auto"/>
      </w:divBdr>
    </w:div>
    <w:div w:id="203256365">
      <w:marLeft w:val="0"/>
      <w:marRight w:val="0"/>
      <w:marTop w:val="0"/>
      <w:marBottom w:val="0"/>
      <w:divBdr>
        <w:top w:val="none" w:sz="0" w:space="0" w:color="auto"/>
        <w:left w:val="none" w:sz="0" w:space="0" w:color="auto"/>
        <w:bottom w:val="none" w:sz="0" w:space="0" w:color="auto"/>
        <w:right w:val="none" w:sz="0" w:space="0" w:color="auto"/>
      </w:divBdr>
    </w:div>
    <w:div w:id="230817856">
      <w:marLeft w:val="0"/>
      <w:marRight w:val="0"/>
      <w:marTop w:val="0"/>
      <w:marBottom w:val="0"/>
      <w:divBdr>
        <w:top w:val="none" w:sz="0" w:space="0" w:color="auto"/>
        <w:left w:val="none" w:sz="0" w:space="0" w:color="auto"/>
        <w:bottom w:val="none" w:sz="0" w:space="0" w:color="auto"/>
        <w:right w:val="none" w:sz="0" w:space="0" w:color="auto"/>
      </w:divBdr>
    </w:div>
    <w:div w:id="254945462">
      <w:marLeft w:val="0"/>
      <w:marRight w:val="0"/>
      <w:marTop w:val="0"/>
      <w:marBottom w:val="0"/>
      <w:divBdr>
        <w:top w:val="none" w:sz="0" w:space="0" w:color="auto"/>
        <w:left w:val="none" w:sz="0" w:space="0" w:color="auto"/>
        <w:bottom w:val="none" w:sz="0" w:space="0" w:color="auto"/>
        <w:right w:val="none" w:sz="0" w:space="0" w:color="auto"/>
      </w:divBdr>
    </w:div>
    <w:div w:id="280114684">
      <w:marLeft w:val="0"/>
      <w:marRight w:val="0"/>
      <w:marTop w:val="0"/>
      <w:marBottom w:val="0"/>
      <w:divBdr>
        <w:top w:val="none" w:sz="0" w:space="0" w:color="auto"/>
        <w:left w:val="none" w:sz="0" w:space="0" w:color="auto"/>
        <w:bottom w:val="none" w:sz="0" w:space="0" w:color="auto"/>
        <w:right w:val="none" w:sz="0" w:space="0" w:color="auto"/>
      </w:divBdr>
    </w:div>
    <w:div w:id="324820126">
      <w:marLeft w:val="0"/>
      <w:marRight w:val="0"/>
      <w:marTop w:val="0"/>
      <w:marBottom w:val="0"/>
      <w:divBdr>
        <w:top w:val="none" w:sz="0" w:space="0" w:color="auto"/>
        <w:left w:val="none" w:sz="0" w:space="0" w:color="auto"/>
        <w:bottom w:val="none" w:sz="0" w:space="0" w:color="auto"/>
        <w:right w:val="none" w:sz="0" w:space="0" w:color="auto"/>
      </w:divBdr>
    </w:div>
    <w:div w:id="332727042">
      <w:marLeft w:val="0"/>
      <w:marRight w:val="0"/>
      <w:marTop w:val="0"/>
      <w:marBottom w:val="0"/>
      <w:divBdr>
        <w:top w:val="none" w:sz="0" w:space="0" w:color="auto"/>
        <w:left w:val="none" w:sz="0" w:space="0" w:color="auto"/>
        <w:bottom w:val="none" w:sz="0" w:space="0" w:color="auto"/>
        <w:right w:val="none" w:sz="0" w:space="0" w:color="auto"/>
      </w:divBdr>
    </w:div>
    <w:div w:id="366369830">
      <w:marLeft w:val="0"/>
      <w:marRight w:val="0"/>
      <w:marTop w:val="0"/>
      <w:marBottom w:val="0"/>
      <w:divBdr>
        <w:top w:val="none" w:sz="0" w:space="0" w:color="auto"/>
        <w:left w:val="none" w:sz="0" w:space="0" w:color="auto"/>
        <w:bottom w:val="none" w:sz="0" w:space="0" w:color="auto"/>
        <w:right w:val="none" w:sz="0" w:space="0" w:color="auto"/>
      </w:divBdr>
    </w:div>
    <w:div w:id="391975573">
      <w:marLeft w:val="0"/>
      <w:marRight w:val="0"/>
      <w:marTop w:val="0"/>
      <w:marBottom w:val="0"/>
      <w:divBdr>
        <w:top w:val="none" w:sz="0" w:space="0" w:color="auto"/>
        <w:left w:val="none" w:sz="0" w:space="0" w:color="auto"/>
        <w:bottom w:val="none" w:sz="0" w:space="0" w:color="auto"/>
        <w:right w:val="none" w:sz="0" w:space="0" w:color="auto"/>
      </w:divBdr>
    </w:div>
    <w:div w:id="411582887">
      <w:marLeft w:val="0"/>
      <w:marRight w:val="0"/>
      <w:marTop w:val="0"/>
      <w:marBottom w:val="0"/>
      <w:divBdr>
        <w:top w:val="none" w:sz="0" w:space="0" w:color="auto"/>
        <w:left w:val="none" w:sz="0" w:space="0" w:color="auto"/>
        <w:bottom w:val="none" w:sz="0" w:space="0" w:color="auto"/>
        <w:right w:val="none" w:sz="0" w:space="0" w:color="auto"/>
      </w:divBdr>
    </w:div>
    <w:div w:id="419765450">
      <w:marLeft w:val="0"/>
      <w:marRight w:val="0"/>
      <w:marTop w:val="0"/>
      <w:marBottom w:val="0"/>
      <w:divBdr>
        <w:top w:val="none" w:sz="0" w:space="0" w:color="auto"/>
        <w:left w:val="none" w:sz="0" w:space="0" w:color="auto"/>
        <w:bottom w:val="none" w:sz="0" w:space="0" w:color="auto"/>
        <w:right w:val="none" w:sz="0" w:space="0" w:color="auto"/>
      </w:divBdr>
    </w:div>
    <w:div w:id="488250172">
      <w:marLeft w:val="0"/>
      <w:marRight w:val="0"/>
      <w:marTop w:val="0"/>
      <w:marBottom w:val="0"/>
      <w:divBdr>
        <w:top w:val="none" w:sz="0" w:space="0" w:color="auto"/>
        <w:left w:val="none" w:sz="0" w:space="0" w:color="auto"/>
        <w:bottom w:val="none" w:sz="0" w:space="0" w:color="auto"/>
        <w:right w:val="none" w:sz="0" w:space="0" w:color="auto"/>
      </w:divBdr>
    </w:div>
    <w:div w:id="567108562">
      <w:marLeft w:val="0"/>
      <w:marRight w:val="0"/>
      <w:marTop w:val="0"/>
      <w:marBottom w:val="0"/>
      <w:divBdr>
        <w:top w:val="none" w:sz="0" w:space="0" w:color="auto"/>
        <w:left w:val="none" w:sz="0" w:space="0" w:color="auto"/>
        <w:bottom w:val="none" w:sz="0" w:space="0" w:color="auto"/>
        <w:right w:val="none" w:sz="0" w:space="0" w:color="auto"/>
      </w:divBdr>
    </w:div>
    <w:div w:id="601113331">
      <w:marLeft w:val="0"/>
      <w:marRight w:val="0"/>
      <w:marTop w:val="0"/>
      <w:marBottom w:val="0"/>
      <w:divBdr>
        <w:top w:val="none" w:sz="0" w:space="0" w:color="auto"/>
        <w:left w:val="none" w:sz="0" w:space="0" w:color="auto"/>
        <w:bottom w:val="none" w:sz="0" w:space="0" w:color="auto"/>
        <w:right w:val="none" w:sz="0" w:space="0" w:color="auto"/>
      </w:divBdr>
    </w:div>
    <w:div w:id="639306582">
      <w:marLeft w:val="0"/>
      <w:marRight w:val="0"/>
      <w:marTop w:val="0"/>
      <w:marBottom w:val="0"/>
      <w:divBdr>
        <w:top w:val="none" w:sz="0" w:space="0" w:color="auto"/>
        <w:left w:val="none" w:sz="0" w:space="0" w:color="auto"/>
        <w:bottom w:val="none" w:sz="0" w:space="0" w:color="auto"/>
        <w:right w:val="none" w:sz="0" w:space="0" w:color="auto"/>
      </w:divBdr>
    </w:div>
    <w:div w:id="653027753">
      <w:marLeft w:val="0"/>
      <w:marRight w:val="0"/>
      <w:marTop w:val="0"/>
      <w:marBottom w:val="0"/>
      <w:divBdr>
        <w:top w:val="none" w:sz="0" w:space="0" w:color="auto"/>
        <w:left w:val="none" w:sz="0" w:space="0" w:color="auto"/>
        <w:bottom w:val="none" w:sz="0" w:space="0" w:color="auto"/>
        <w:right w:val="none" w:sz="0" w:space="0" w:color="auto"/>
      </w:divBdr>
    </w:div>
    <w:div w:id="664092402">
      <w:marLeft w:val="0"/>
      <w:marRight w:val="0"/>
      <w:marTop w:val="0"/>
      <w:marBottom w:val="0"/>
      <w:divBdr>
        <w:top w:val="none" w:sz="0" w:space="0" w:color="auto"/>
        <w:left w:val="none" w:sz="0" w:space="0" w:color="auto"/>
        <w:bottom w:val="none" w:sz="0" w:space="0" w:color="auto"/>
        <w:right w:val="none" w:sz="0" w:space="0" w:color="auto"/>
      </w:divBdr>
    </w:div>
    <w:div w:id="706679134">
      <w:marLeft w:val="0"/>
      <w:marRight w:val="0"/>
      <w:marTop w:val="0"/>
      <w:marBottom w:val="0"/>
      <w:divBdr>
        <w:top w:val="none" w:sz="0" w:space="0" w:color="auto"/>
        <w:left w:val="none" w:sz="0" w:space="0" w:color="auto"/>
        <w:bottom w:val="none" w:sz="0" w:space="0" w:color="auto"/>
        <w:right w:val="none" w:sz="0" w:space="0" w:color="auto"/>
      </w:divBdr>
    </w:div>
    <w:div w:id="784496822">
      <w:marLeft w:val="0"/>
      <w:marRight w:val="0"/>
      <w:marTop w:val="0"/>
      <w:marBottom w:val="0"/>
      <w:divBdr>
        <w:top w:val="none" w:sz="0" w:space="0" w:color="auto"/>
        <w:left w:val="none" w:sz="0" w:space="0" w:color="auto"/>
        <w:bottom w:val="none" w:sz="0" w:space="0" w:color="auto"/>
        <w:right w:val="none" w:sz="0" w:space="0" w:color="auto"/>
      </w:divBdr>
    </w:div>
    <w:div w:id="799222360">
      <w:marLeft w:val="0"/>
      <w:marRight w:val="0"/>
      <w:marTop w:val="0"/>
      <w:marBottom w:val="0"/>
      <w:divBdr>
        <w:top w:val="none" w:sz="0" w:space="0" w:color="auto"/>
        <w:left w:val="none" w:sz="0" w:space="0" w:color="auto"/>
        <w:bottom w:val="none" w:sz="0" w:space="0" w:color="auto"/>
        <w:right w:val="none" w:sz="0" w:space="0" w:color="auto"/>
      </w:divBdr>
    </w:div>
    <w:div w:id="826167414">
      <w:marLeft w:val="0"/>
      <w:marRight w:val="0"/>
      <w:marTop w:val="0"/>
      <w:marBottom w:val="0"/>
      <w:divBdr>
        <w:top w:val="none" w:sz="0" w:space="0" w:color="auto"/>
        <w:left w:val="none" w:sz="0" w:space="0" w:color="auto"/>
        <w:bottom w:val="none" w:sz="0" w:space="0" w:color="auto"/>
        <w:right w:val="none" w:sz="0" w:space="0" w:color="auto"/>
      </w:divBdr>
    </w:div>
    <w:div w:id="830635785">
      <w:marLeft w:val="0"/>
      <w:marRight w:val="0"/>
      <w:marTop w:val="0"/>
      <w:marBottom w:val="0"/>
      <w:divBdr>
        <w:top w:val="none" w:sz="0" w:space="0" w:color="auto"/>
        <w:left w:val="none" w:sz="0" w:space="0" w:color="auto"/>
        <w:bottom w:val="none" w:sz="0" w:space="0" w:color="auto"/>
        <w:right w:val="none" w:sz="0" w:space="0" w:color="auto"/>
      </w:divBdr>
    </w:div>
    <w:div w:id="877358856">
      <w:marLeft w:val="0"/>
      <w:marRight w:val="0"/>
      <w:marTop w:val="0"/>
      <w:marBottom w:val="0"/>
      <w:divBdr>
        <w:top w:val="none" w:sz="0" w:space="0" w:color="auto"/>
        <w:left w:val="none" w:sz="0" w:space="0" w:color="auto"/>
        <w:bottom w:val="none" w:sz="0" w:space="0" w:color="auto"/>
        <w:right w:val="none" w:sz="0" w:space="0" w:color="auto"/>
      </w:divBdr>
    </w:div>
    <w:div w:id="961762627">
      <w:marLeft w:val="0"/>
      <w:marRight w:val="0"/>
      <w:marTop w:val="0"/>
      <w:marBottom w:val="0"/>
      <w:divBdr>
        <w:top w:val="none" w:sz="0" w:space="0" w:color="auto"/>
        <w:left w:val="none" w:sz="0" w:space="0" w:color="auto"/>
        <w:bottom w:val="none" w:sz="0" w:space="0" w:color="auto"/>
        <w:right w:val="none" w:sz="0" w:space="0" w:color="auto"/>
      </w:divBdr>
    </w:div>
    <w:div w:id="1007753354">
      <w:marLeft w:val="0"/>
      <w:marRight w:val="0"/>
      <w:marTop w:val="0"/>
      <w:marBottom w:val="0"/>
      <w:divBdr>
        <w:top w:val="none" w:sz="0" w:space="0" w:color="auto"/>
        <w:left w:val="none" w:sz="0" w:space="0" w:color="auto"/>
        <w:bottom w:val="none" w:sz="0" w:space="0" w:color="auto"/>
        <w:right w:val="none" w:sz="0" w:space="0" w:color="auto"/>
      </w:divBdr>
    </w:div>
    <w:div w:id="1036662968">
      <w:marLeft w:val="0"/>
      <w:marRight w:val="0"/>
      <w:marTop w:val="0"/>
      <w:marBottom w:val="0"/>
      <w:divBdr>
        <w:top w:val="none" w:sz="0" w:space="0" w:color="auto"/>
        <w:left w:val="none" w:sz="0" w:space="0" w:color="auto"/>
        <w:bottom w:val="none" w:sz="0" w:space="0" w:color="auto"/>
        <w:right w:val="none" w:sz="0" w:space="0" w:color="auto"/>
      </w:divBdr>
    </w:div>
    <w:div w:id="1063991746">
      <w:marLeft w:val="0"/>
      <w:marRight w:val="0"/>
      <w:marTop w:val="0"/>
      <w:marBottom w:val="0"/>
      <w:divBdr>
        <w:top w:val="none" w:sz="0" w:space="0" w:color="auto"/>
        <w:left w:val="none" w:sz="0" w:space="0" w:color="auto"/>
        <w:bottom w:val="none" w:sz="0" w:space="0" w:color="auto"/>
        <w:right w:val="none" w:sz="0" w:space="0" w:color="auto"/>
      </w:divBdr>
    </w:div>
    <w:div w:id="1069577064">
      <w:marLeft w:val="0"/>
      <w:marRight w:val="0"/>
      <w:marTop w:val="0"/>
      <w:marBottom w:val="0"/>
      <w:divBdr>
        <w:top w:val="none" w:sz="0" w:space="0" w:color="auto"/>
        <w:left w:val="none" w:sz="0" w:space="0" w:color="auto"/>
        <w:bottom w:val="none" w:sz="0" w:space="0" w:color="auto"/>
        <w:right w:val="none" w:sz="0" w:space="0" w:color="auto"/>
      </w:divBdr>
    </w:div>
    <w:div w:id="1124420924">
      <w:marLeft w:val="0"/>
      <w:marRight w:val="0"/>
      <w:marTop w:val="0"/>
      <w:marBottom w:val="0"/>
      <w:divBdr>
        <w:top w:val="none" w:sz="0" w:space="0" w:color="auto"/>
        <w:left w:val="none" w:sz="0" w:space="0" w:color="auto"/>
        <w:bottom w:val="none" w:sz="0" w:space="0" w:color="auto"/>
        <w:right w:val="none" w:sz="0" w:space="0" w:color="auto"/>
      </w:divBdr>
    </w:div>
    <w:div w:id="1178077324">
      <w:marLeft w:val="0"/>
      <w:marRight w:val="0"/>
      <w:marTop w:val="0"/>
      <w:marBottom w:val="0"/>
      <w:divBdr>
        <w:top w:val="none" w:sz="0" w:space="0" w:color="auto"/>
        <w:left w:val="none" w:sz="0" w:space="0" w:color="auto"/>
        <w:bottom w:val="none" w:sz="0" w:space="0" w:color="auto"/>
        <w:right w:val="none" w:sz="0" w:space="0" w:color="auto"/>
      </w:divBdr>
    </w:div>
    <w:div w:id="1183279754">
      <w:marLeft w:val="0"/>
      <w:marRight w:val="0"/>
      <w:marTop w:val="0"/>
      <w:marBottom w:val="0"/>
      <w:divBdr>
        <w:top w:val="none" w:sz="0" w:space="0" w:color="auto"/>
        <w:left w:val="none" w:sz="0" w:space="0" w:color="auto"/>
        <w:bottom w:val="none" w:sz="0" w:space="0" w:color="auto"/>
        <w:right w:val="none" w:sz="0" w:space="0" w:color="auto"/>
      </w:divBdr>
    </w:div>
    <w:div w:id="1256745399">
      <w:marLeft w:val="0"/>
      <w:marRight w:val="0"/>
      <w:marTop w:val="0"/>
      <w:marBottom w:val="0"/>
      <w:divBdr>
        <w:top w:val="none" w:sz="0" w:space="0" w:color="auto"/>
        <w:left w:val="none" w:sz="0" w:space="0" w:color="auto"/>
        <w:bottom w:val="none" w:sz="0" w:space="0" w:color="auto"/>
        <w:right w:val="none" w:sz="0" w:space="0" w:color="auto"/>
      </w:divBdr>
    </w:div>
    <w:div w:id="1288852245">
      <w:marLeft w:val="0"/>
      <w:marRight w:val="0"/>
      <w:marTop w:val="0"/>
      <w:marBottom w:val="0"/>
      <w:divBdr>
        <w:top w:val="none" w:sz="0" w:space="0" w:color="auto"/>
        <w:left w:val="none" w:sz="0" w:space="0" w:color="auto"/>
        <w:bottom w:val="none" w:sz="0" w:space="0" w:color="auto"/>
        <w:right w:val="none" w:sz="0" w:space="0" w:color="auto"/>
      </w:divBdr>
    </w:div>
    <w:div w:id="1290672840">
      <w:marLeft w:val="0"/>
      <w:marRight w:val="0"/>
      <w:marTop w:val="0"/>
      <w:marBottom w:val="0"/>
      <w:divBdr>
        <w:top w:val="none" w:sz="0" w:space="0" w:color="auto"/>
        <w:left w:val="none" w:sz="0" w:space="0" w:color="auto"/>
        <w:bottom w:val="none" w:sz="0" w:space="0" w:color="auto"/>
        <w:right w:val="none" w:sz="0" w:space="0" w:color="auto"/>
      </w:divBdr>
    </w:div>
    <w:div w:id="1299191650">
      <w:marLeft w:val="0"/>
      <w:marRight w:val="0"/>
      <w:marTop w:val="0"/>
      <w:marBottom w:val="0"/>
      <w:divBdr>
        <w:top w:val="none" w:sz="0" w:space="0" w:color="auto"/>
        <w:left w:val="none" w:sz="0" w:space="0" w:color="auto"/>
        <w:bottom w:val="none" w:sz="0" w:space="0" w:color="auto"/>
        <w:right w:val="none" w:sz="0" w:space="0" w:color="auto"/>
      </w:divBdr>
    </w:div>
    <w:div w:id="1370688429">
      <w:marLeft w:val="0"/>
      <w:marRight w:val="0"/>
      <w:marTop w:val="0"/>
      <w:marBottom w:val="0"/>
      <w:divBdr>
        <w:top w:val="none" w:sz="0" w:space="0" w:color="auto"/>
        <w:left w:val="none" w:sz="0" w:space="0" w:color="auto"/>
        <w:bottom w:val="none" w:sz="0" w:space="0" w:color="auto"/>
        <w:right w:val="none" w:sz="0" w:space="0" w:color="auto"/>
      </w:divBdr>
    </w:div>
    <w:div w:id="1372195833">
      <w:marLeft w:val="0"/>
      <w:marRight w:val="0"/>
      <w:marTop w:val="0"/>
      <w:marBottom w:val="0"/>
      <w:divBdr>
        <w:top w:val="none" w:sz="0" w:space="0" w:color="auto"/>
        <w:left w:val="none" w:sz="0" w:space="0" w:color="auto"/>
        <w:bottom w:val="none" w:sz="0" w:space="0" w:color="auto"/>
        <w:right w:val="none" w:sz="0" w:space="0" w:color="auto"/>
      </w:divBdr>
    </w:div>
    <w:div w:id="1377436674">
      <w:marLeft w:val="0"/>
      <w:marRight w:val="0"/>
      <w:marTop w:val="0"/>
      <w:marBottom w:val="0"/>
      <w:divBdr>
        <w:top w:val="none" w:sz="0" w:space="0" w:color="auto"/>
        <w:left w:val="none" w:sz="0" w:space="0" w:color="auto"/>
        <w:bottom w:val="none" w:sz="0" w:space="0" w:color="auto"/>
        <w:right w:val="none" w:sz="0" w:space="0" w:color="auto"/>
      </w:divBdr>
    </w:div>
    <w:div w:id="1466971355">
      <w:marLeft w:val="0"/>
      <w:marRight w:val="0"/>
      <w:marTop w:val="0"/>
      <w:marBottom w:val="0"/>
      <w:divBdr>
        <w:top w:val="none" w:sz="0" w:space="0" w:color="auto"/>
        <w:left w:val="none" w:sz="0" w:space="0" w:color="auto"/>
        <w:bottom w:val="none" w:sz="0" w:space="0" w:color="auto"/>
        <w:right w:val="none" w:sz="0" w:space="0" w:color="auto"/>
      </w:divBdr>
    </w:div>
    <w:div w:id="1545214497">
      <w:marLeft w:val="0"/>
      <w:marRight w:val="0"/>
      <w:marTop w:val="0"/>
      <w:marBottom w:val="0"/>
      <w:divBdr>
        <w:top w:val="none" w:sz="0" w:space="0" w:color="auto"/>
        <w:left w:val="none" w:sz="0" w:space="0" w:color="auto"/>
        <w:bottom w:val="none" w:sz="0" w:space="0" w:color="auto"/>
        <w:right w:val="none" w:sz="0" w:space="0" w:color="auto"/>
      </w:divBdr>
    </w:div>
    <w:div w:id="1567255731">
      <w:marLeft w:val="0"/>
      <w:marRight w:val="0"/>
      <w:marTop w:val="0"/>
      <w:marBottom w:val="0"/>
      <w:divBdr>
        <w:top w:val="none" w:sz="0" w:space="0" w:color="auto"/>
        <w:left w:val="none" w:sz="0" w:space="0" w:color="auto"/>
        <w:bottom w:val="none" w:sz="0" w:space="0" w:color="auto"/>
        <w:right w:val="none" w:sz="0" w:space="0" w:color="auto"/>
      </w:divBdr>
    </w:div>
    <w:div w:id="1652559314">
      <w:marLeft w:val="0"/>
      <w:marRight w:val="0"/>
      <w:marTop w:val="0"/>
      <w:marBottom w:val="0"/>
      <w:divBdr>
        <w:top w:val="none" w:sz="0" w:space="0" w:color="auto"/>
        <w:left w:val="none" w:sz="0" w:space="0" w:color="auto"/>
        <w:bottom w:val="none" w:sz="0" w:space="0" w:color="auto"/>
        <w:right w:val="none" w:sz="0" w:space="0" w:color="auto"/>
      </w:divBdr>
    </w:div>
    <w:div w:id="1697072079">
      <w:marLeft w:val="0"/>
      <w:marRight w:val="0"/>
      <w:marTop w:val="0"/>
      <w:marBottom w:val="0"/>
      <w:divBdr>
        <w:top w:val="none" w:sz="0" w:space="0" w:color="auto"/>
        <w:left w:val="none" w:sz="0" w:space="0" w:color="auto"/>
        <w:bottom w:val="none" w:sz="0" w:space="0" w:color="auto"/>
        <w:right w:val="none" w:sz="0" w:space="0" w:color="auto"/>
      </w:divBdr>
    </w:div>
    <w:div w:id="1730420722">
      <w:marLeft w:val="0"/>
      <w:marRight w:val="0"/>
      <w:marTop w:val="0"/>
      <w:marBottom w:val="0"/>
      <w:divBdr>
        <w:top w:val="none" w:sz="0" w:space="0" w:color="auto"/>
        <w:left w:val="none" w:sz="0" w:space="0" w:color="auto"/>
        <w:bottom w:val="none" w:sz="0" w:space="0" w:color="auto"/>
        <w:right w:val="none" w:sz="0" w:space="0" w:color="auto"/>
      </w:divBdr>
    </w:div>
    <w:div w:id="1741051154">
      <w:marLeft w:val="0"/>
      <w:marRight w:val="0"/>
      <w:marTop w:val="0"/>
      <w:marBottom w:val="0"/>
      <w:divBdr>
        <w:top w:val="none" w:sz="0" w:space="0" w:color="auto"/>
        <w:left w:val="none" w:sz="0" w:space="0" w:color="auto"/>
        <w:bottom w:val="none" w:sz="0" w:space="0" w:color="auto"/>
        <w:right w:val="none" w:sz="0" w:space="0" w:color="auto"/>
      </w:divBdr>
    </w:div>
    <w:div w:id="1760129780">
      <w:marLeft w:val="0"/>
      <w:marRight w:val="0"/>
      <w:marTop w:val="0"/>
      <w:marBottom w:val="0"/>
      <w:divBdr>
        <w:top w:val="none" w:sz="0" w:space="0" w:color="auto"/>
        <w:left w:val="none" w:sz="0" w:space="0" w:color="auto"/>
        <w:bottom w:val="none" w:sz="0" w:space="0" w:color="auto"/>
        <w:right w:val="none" w:sz="0" w:space="0" w:color="auto"/>
      </w:divBdr>
    </w:div>
    <w:div w:id="1765762139">
      <w:marLeft w:val="0"/>
      <w:marRight w:val="0"/>
      <w:marTop w:val="0"/>
      <w:marBottom w:val="0"/>
      <w:divBdr>
        <w:top w:val="none" w:sz="0" w:space="0" w:color="auto"/>
        <w:left w:val="none" w:sz="0" w:space="0" w:color="auto"/>
        <w:bottom w:val="none" w:sz="0" w:space="0" w:color="auto"/>
        <w:right w:val="none" w:sz="0" w:space="0" w:color="auto"/>
      </w:divBdr>
    </w:div>
    <w:div w:id="1819229230">
      <w:marLeft w:val="0"/>
      <w:marRight w:val="0"/>
      <w:marTop w:val="0"/>
      <w:marBottom w:val="0"/>
      <w:divBdr>
        <w:top w:val="none" w:sz="0" w:space="0" w:color="auto"/>
        <w:left w:val="none" w:sz="0" w:space="0" w:color="auto"/>
        <w:bottom w:val="none" w:sz="0" w:space="0" w:color="auto"/>
        <w:right w:val="none" w:sz="0" w:space="0" w:color="auto"/>
      </w:divBdr>
    </w:div>
    <w:div w:id="1938057086">
      <w:marLeft w:val="0"/>
      <w:marRight w:val="0"/>
      <w:marTop w:val="0"/>
      <w:marBottom w:val="0"/>
      <w:divBdr>
        <w:top w:val="none" w:sz="0" w:space="0" w:color="auto"/>
        <w:left w:val="none" w:sz="0" w:space="0" w:color="auto"/>
        <w:bottom w:val="none" w:sz="0" w:space="0" w:color="auto"/>
        <w:right w:val="none" w:sz="0" w:space="0" w:color="auto"/>
      </w:divBdr>
    </w:div>
    <w:div w:id="1953197579">
      <w:marLeft w:val="0"/>
      <w:marRight w:val="0"/>
      <w:marTop w:val="0"/>
      <w:marBottom w:val="0"/>
      <w:divBdr>
        <w:top w:val="none" w:sz="0" w:space="0" w:color="auto"/>
        <w:left w:val="none" w:sz="0" w:space="0" w:color="auto"/>
        <w:bottom w:val="none" w:sz="0" w:space="0" w:color="auto"/>
        <w:right w:val="none" w:sz="0" w:space="0" w:color="auto"/>
      </w:divBdr>
    </w:div>
    <w:div w:id="2014530491">
      <w:marLeft w:val="0"/>
      <w:marRight w:val="0"/>
      <w:marTop w:val="0"/>
      <w:marBottom w:val="0"/>
      <w:divBdr>
        <w:top w:val="none" w:sz="0" w:space="0" w:color="auto"/>
        <w:left w:val="none" w:sz="0" w:space="0" w:color="auto"/>
        <w:bottom w:val="none" w:sz="0" w:space="0" w:color="auto"/>
        <w:right w:val="none" w:sz="0" w:space="0" w:color="auto"/>
      </w:divBdr>
    </w:div>
    <w:div w:id="2031684507">
      <w:marLeft w:val="0"/>
      <w:marRight w:val="0"/>
      <w:marTop w:val="0"/>
      <w:marBottom w:val="0"/>
      <w:divBdr>
        <w:top w:val="none" w:sz="0" w:space="0" w:color="auto"/>
        <w:left w:val="none" w:sz="0" w:space="0" w:color="auto"/>
        <w:bottom w:val="none" w:sz="0" w:space="0" w:color="auto"/>
        <w:right w:val="none" w:sz="0" w:space="0" w:color="auto"/>
      </w:divBdr>
    </w:div>
    <w:div w:id="2062704006">
      <w:marLeft w:val="0"/>
      <w:marRight w:val="0"/>
      <w:marTop w:val="0"/>
      <w:marBottom w:val="0"/>
      <w:divBdr>
        <w:top w:val="none" w:sz="0" w:space="0" w:color="auto"/>
        <w:left w:val="none" w:sz="0" w:space="0" w:color="auto"/>
        <w:bottom w:val="none" w:sz="0" w:space="0" w:color="auto"/>
        <w:right w:val="none" w:sz="0" w:space="0" w:color="auto"/>
      </w:divBdr>
    </w:div>
    <w:div w:id="206532738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_160266.htm" TargetMode="External"/><Relationship Id="rId5" Type="http://schemas.openxmlformats.org/officeDocument/2006/relationships/hyperlink" Target="ex_160265.htm" TargetMode="External"/><Relationship Id="rId4" Type="http://schemas.openxmlformats.org/officeDocument/2006/relationships/hyperlink" Target="ex_160264.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27763</Words>
  <Characters>158251</Characters>
  <Application>Microsoft Office Word</Application>
  <DocSecurity>0</DocSecurity>
  <Lines>1318</Lines>
  <Paragraphs>371</Paragraphs>
  <ScaleCrop>false</ScaleCrop>
  <Company/>
  <LinksUpToDate>false</LinksUpToDate>
  <CharactersWithSpaces>185643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kim20190930_10q.htm</dc:title>
  <dc:subject/>
  <dc:creator>Chongjian.Yue</dc:creator>
  <cp:keywords/>
  <dc:description/>
  <cp:lastModifiedBy>Yue Chongjian</cp:lastModifiedBy>
  <cp:revision>1</cp:revision>
  <dcterms:created xsi:type="dcterms:W3CDTF">2024-01-04T15:48:00Z</dcterms:created>
  <dcterms:modified xsi:type="dcterms:W3CDTF">2024-01-04T15:48:00Z</dcterms:modified>
</cp:coreProperties>
</file>